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Style w:val="15"/>
          <w:rFonts w:hint="default" w:ascii="Times New Roman" w:hAnsi="Times New Roman" w:eastAsia="宋体" w:cs="Times New Roman"/>
          <w:color w:val="000000"/>
          <w:sz w:val="48"/>
          <w:szCs w:val="48"/>
        </w:rPr>
      </w:pPr>
      <w:r>
        <w:rPr>
          <w:rStyle w:val="15"/>
          <w:rFonts w:hint="default" w:ascii="Times New Roman" w:hAnsi="Times New Roman" w:eastAsia="宋体" w:cs="Times New Roman"/>
          <w:color w:val="000000"/>
          <w:sz w:val="48"/>
          <w:szCs w:val="48"/>
        </w:rPr>
        <w:t xml:space="preserve"> 2025年度攸县文旅广体局</w:t>
      </w:r>
    </w:p>
    <w:p>
      <w:pPr>
        <w:spacing w:after="2"/>
        <w:jc w:val="center"/>
        <w:rPr>
          <w:rFonts w:hint="default" w:ascii="Times New Roman" w:hAnsi="Times New Roman" w:cs="Times New Roman"/>
        </w:rPr>
      </w:pPr>
      <w:r>
        <w:rPr>
          <w:rStyle w:val="15"/>
          <w:rFonts w:hint="default" w:ascii="Times New Roman" w:hAnsi="Times New Roman" w:eastAsia="宋体" w:cs="Times New Roman"/>
          <w:color w:val="000000"/>
          <w:sz w:val="48"/>
          <w:szCs w:val="48"/>
        </w:rPr>
        <w:t>部门预算公开说明</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5"/>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5"/>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5"/>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5"/>
          <w:rFonts w:hint="default" w:ascii="Times New Roman" w:hAnsi="Times New Roman" w:eastAsia="宋体" w:cs="Times New Roman"/>
          <w:color w:val="000000"/>
          <w:sz w:val="32"/>
          <w:szCs w:val="32"/>
        </w:rPr>
        <w:t>一、部门基本概况</w:t>
      </w:r>
      <w:r>
        <w:rPr>
          <w:rStyle w:val="15"/>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5"/>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一）贯彻执行党和国家有关文化、旅游、体育、广播电视、体育的方针政策和法律法规；组织拟订并实施全县文化旅游体育广播电视业发展规划、政策措施；负责全县文化旅游、广播电视体育工作人才队伍的建设，加强中青年文化艺术人才的培养，开展技能培训。统筹推进相关产业融合发展，指导推进全县文化、旅游、广播电视、体育领域的体制机制创新。</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二）管理全县性的文化、旅游、广播电视、体育活动，指导全县重点文化、旅游、广播电视、体育基础建设，负责组织全县文化、旅游整体形象宣传推广，促进对外合作和国际市场推广，制定旅游市场开发营销战略并组织实施，指导、推进全域旅游。</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 xml:space="preserve">（三）指导全县文化、旅游、广播电视、体育市场发展，负责对全县文化、旅游、广播电视、体育市场经营活动进行行业监管，推进行业信用体系和行业标准化建设，依法规范市场。        </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四）负责全县公共文体文化、旅游、广播电视、体育事业发展，推进全县公共文化文化、旅游、广播电视、体育服务体系建设；负责全县公共文化、体育设施监督管理，深入实施相关惠民工程，统筹推进基本公共服务标准化、均等化</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（五）统筹规划文化、旅游、广播电视、体育产业，组织实施文化和旅游、广播电视、体育资源普查、挖掘、保护和利用工作，促进各门类产业发展工作。</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六）指导、推进全县文化、旅游、广播电视、体育与科技创新扫展，推进行业信息化、标准化建设。负责推进广播电视与新媒体、新技术、新业态融合发展，协调推进三网融合。推动智慧文化、旅游、广播电视、体育发展。指导协调广播电视系统安全和保卫工作。</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（七）指导全县文化、旅游、广播电视、体育对外及对港澳台交流、合作和宣传、推广工作，组织大型文化、旅游、广播电视、体育对外及对港澳台交流活动。</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（八）指导、管理全县文艺事业，指导艺术创作生产 ，扶持体现社会主义核心价值观，具有导向性、代表性、示范性的文艺作品，推动各门类艺术、各艺术品种发展。</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（九）负责全县非物质文化遗产保护；推动非物质文化遗产发掘、保护、传承、普及、弘扬和振兴。</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十）负责全县文物保护和考古工作。指导，管理全县文物调查、审报、保护、抢救、维修和利用工作；组织全县考古调查勘探发掘项目及发掘单位和领队人员资格的申报及考古项目的管理；组织国家教研遗址公园的申报；依据《株洲市政工业遗产保护条例》开展全县工业遗产调查、认定、申报、保护和利用工作；协调有关部门开展历史文化名城（镇 、村）和传统村落 的保护和监督管理工作。</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（十一）负责全县博物馆、纪念馆和社会文物流通市场工作。负责申报文物商店和文物拍卖公司的设立和注销；负责依法管理社会文物流通市场、负责全县行业博物馆和民办博物馆的申报。</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（十二）指导电视行业发展；监督管理、审查广播电视节目、网络视听节目的内容和质量、指导监督广播电视广告播放。</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（十三）负责广播电视业务指导和行业监管。负责对广播电视节目传输覆盖、监测和安全播出进行监管，指导、推进应急广播体系建设。</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（十四）统筹规划群众体育发展，负责推行全民健身计划，指导全县群众体育活动的开展，协调 区域性体育事业的发展，指导和推动公共服务和体育体制改革；监督实施国家体育锻炼标准，开展国民体制质监测和社会体育指导工作队伍制度建设。负责全县体育彩票的发行管理工作。</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十五）统筹规划竞技体育发展，研究平衡全县体育竞赛、竞技运动项目的设置和重点布局，组织管理体育训练、体育竞赛、运动员社会保障工作；规划指导和推进青少年体育工作，协调体育后备人才基地建设工作；负责全县青少年竞技体育人才的培训和输送。组织协调监督体育运动中的反兴奋剂工作。</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十六）负责全县文化市场综合执法工作。组织查处全县性、跨区域文化、文物、新闻出版、广播电视、电影、旅游、体育等市场违行为，督查督办大案要案，维护市场秩序。配合相关部门做好“扫黄打非”工作。</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（十七）负责全县文化、旅游、广播电视 、体育领域的行政审批等工作.</w:t>
      </w:r>
    </w:p>
    <w:p>
      <w:pPr>
        <w:pStyle w:val="12"/>
        <w:spacing w:beforeAutospacing="0" w:afterAutospacing="0" w:line="585" w:lineRule="atLeast"/>
        <w:ind w:firstLine="646"/>
        <w:rPr>
          <w:rFonts w:hint="default" w:ascii="Times New Roman" w:hAnsi="Times New Roman" w:cs="Times New Roman"/>
          <w:color w:val="000000"/>
          <w:kern w:val="2"/>
          <w:sz w:val="32"/>
          <w:szCs w:val="32"/>
          <w:lang w:bidi="ar"/>
        </w:rPr>
      </w:pPr>
      <w:r>
        <w:rPr>
          <w:rFonts w:hint="default" w:ascii="Times New Roman" w:hAnsi="Times New Roman" w:cs="Times New Roman"/>
          <w:color w:val="000000"/>
          <w:kern w:val="2"/>
          <w:sz w:val="32"/>
          <w:szCs w:val="32"/>
          <w:lang w:bidi="ar"/>
        </w:rPr>
        <w:t>（十八）负责全县文化、旅游、广播电视 、体育领域的有关行政复议和行政诉讼应诉工作。</w:t>
      </w:r>
    </w:p>
    <w:p>
      <w:pPr>
        <w:pStyle w:val="8"/>
        <w:spacing w:line="600" w:lineRule="exact"/>
        <w:ind w:firstLine="640" w:firstLineChars="200"/>
        <w:rPr>
          <w:rFonts w:hint="default" w:ascii="Times New Roman" w:hAnsi="Times New Roman" w:eastAsia="宋体" w:cs="Times New Roman"/>
          <w:color w:val="000000"/>
          <w:sz w:val="32"/>
          <w:szCs w:val="32"/>
          <w:lang w:bidi="ar"/>
        </w:rPr>
      </w:pPr>
      <w:r>
        <w:rPr>
          <w:rFonts w:hint="default" w:ascii="Times New Roman" w:hAnsi="Times New Roman" w:eastAsia="宋体" w:cs="Times New Roman"/>
          <w:color w:val="000000"/>
          <w:sz w:val="32"/>
          <w:szCs w:val="32"/>
          <w:lang w:bidi="ar"/>
        </w:rPr>
        <w:t>（十九）承办县委、县人民政府交办的其他事项。</w:t>
      </w:r>
    </w:p>
    <w:p>
      <w:pPr>
        <w:keepNext w:val="0"/>
        <w:keepLines w:val="0"/>
        <w:pageBreakBefore w:val="0"/>
        <w:widowControl w:val="0"/>
        <w:kinsoku/>
        <w:wordWrap/>
        <w:overflowPunct/>
        <w:topLinePunct w:val="0"/>
        <w:bidi w:val="0"/>
        <w:adjustRightInd/>
        <w:snapToGrid/>
        <w:ind w:left="0" w:firstLine="643" w:firstLineChars="20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攸县文化旅游广电体育局内设机构包括：下设机构14个</w:t>
      </w:r>
      <w:r>
        <w:rPr>
          <w:rFonts w:hint="eastAsia"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其中内设机构6个,分别为：办公室、行政审批股、文化艺术股、文化遗产保护股、体育股、旅游股。本部门现有编制人数82名,在编人员70人；离退休人数78人，其中退休人员78人。</w:t>
      </w:r>
      <w:r>
        <w:rPr>
          <w:rFonts w:hint="default" w:ascii="Times New Roman" w:hAnsi="Times New Roman" w:cs="Times New Roman"/>
          <w:color w:val="000000"/>
        </w:rPr>
        <w:t xml:space="preserve"> </w:t>
      </w:r>
      <w:r>
        <w:rPr>
          <w:rFonts w:hint="default" w:ascii="Times New Roman" w:hAnsi="Times New Roman" w:eastAsia="宋体" w:cs="Times New Roman"/>
          <w:color w:val="000000"/>
          <w:sz w:val="32"/>
          <w:szCs w:val="32"/>
        </w:rPr>
        <w:t>下设二级机构8个：</w:t>
      </w:r>
    </w:p>
    <w:p>
      <w:pPr>
        <w:pStyle w:val="17"/>
        <w:keepNext w:val="0"/>
        <w:keepLines w:val="0"/>
        <w:pageBreakBefore w:val="0"/>
        <w:widowControl w:val="0"/>
        <w:numPr>
          <w:numId w:val="0"/>
        </w:numPr>
        <w:tabs>
          <w:tab w:val="left" w:pos="1063"/>
        </w:tabs>
        <w:kinsoku/>
        <w:wordWrap/>
        <w:overflowPunct/>
        <w:topLinePunct w:val="0"/>
        <w:autoSpaceDE w:val="0"/>
        <w:autoSpaceDN w:val="0"/>
        <w:bidi w:val="0"/>
        <w:adjustRightInd/>
        <w:snapToGrid/>
        <w:ind w:firstLine="640" w:firstLineChars="200"/>
        <w:textAlignment w:val="auto"/>
        <w:rPr>
          <w:rFonts w:hint="default" w:ascii="Times New Roman" w:hAnsi="Times New Roman" w:eastAsia="宋体" w:cs="Times New Roman"/>
          <w:color w:val="000000"/>
          <w:sz w:val="32"/>
          <w:szCs w:val="32"/>
        </w:rPr>
      </w:pPr>
      <w:r>
        <w:rPr>
          <w:rFonts w:hint="eastAsia"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攸县文化市场综合行政执法大队</w:t>
      </w:r>
    </w:p>
    <w:p>
      <w:pPr>
        <w:pStyle w:val="17"/>
        <w:keepNext w:val="0"/>
        <w:keepLines w:val="0"/>
        <w:pageBreakBefore w:val="0"/>
        <w:widowControl w:val="0"/>
        <w:numPr>
          <w:numId w:val="0"/>
        </w:numPr>
        <w:tabs>
          <w:tab w:val="left" w:pos="1063"/>
        </w:tabs>
        <w:kinsoku/>
        <w:wordWrap/>
        <w:overflowPunct/>
        <w:topLinePunct w:val="0"/>
        <w:autoSpaceDE w:val="0"/>
        <w:autoSpaceDN w:val="0"/>
        <w:bidi w:val="0"/>
        <w:adjustRightInd/>
        <w:snapToGrid/>
        <w:ind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2.攸县公共文化服务中心</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3.攸县考古研究和文物保护中心（攸县博物馆、谭震林纪念馆）</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4.攸县文化馆</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5.攸县图书馆</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6.攸县少年儿童业余体育学校</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7.攸县青少年活动中心</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8.攸县花鼓戏保护传承中心，现有在职人员25人，退休人员20人</w:t>
      </w:r>
      <w:r>
        <w:rPr>
          <w:rFonts w:hint="default" w:ascii="Times New Roman" w:hAnsi="Times New Roman" w:eastAsia="仿宋" w:cs="Times New Roman"/>
          <w:bCs/>
          <w:sz w:val="28"/>
          <w:szCs w:val="28"/>
        </w:rPr>
        <w:t>，</w:t>
      </w:r>
    </w:p>
    <w:p>
      <w:pPr>
        <w:keepNext w:val="0"/>
        <w:keepLines w:val="0"/>
        <w:pageBreakBefore w:val="0"/>
        <w:widowControl w:val="0"/>
        <w:kinsoku/>
        <w:wordWrap/>
        <w:overflowPunct/>
        <w:topLinePunct w:val="0"/>
        <w:bidi w:val="0"/>
        <w:adjustRightInd/>
        <w:snapToGrid/>
        <w:ind w:firstLine="643" w:firstLineChars="200"/>
        <w:textAlignment w:val="auto"/>
        <w:rPr>
          <w:rFonts w:hint="default" w:ascii="Times New Roman" w:hAnsi="Times New Roman" w:cs="Times New Roman"/>
        </w:rPr>
      </w:pPr>
      <w:r>
        <w:rPr>
          <w:rStyle w:val="15"/>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纳入2025年度部门预算编制范围的为我局局机关本级和下设7个二级机构。具体单位为：</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1.局机关</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2.攸县文化市场综合行政执法大队</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3.攸县公共文化服务中心</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4.攸县考古研究和文物保护中心（攸县博物馆、谭震林纪念馆）</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5.攸县文化馆</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6.攸县图书馆</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7.攸县少年儿童业余体育学校</w:t>
      </w:r>
    </w:p>
    <w:p>
      <w:pPr>
        <w:pStyle w:val="17"/>
        <w:keepNext w:val="0"/>
        <w:keepLines w:val="0"/>
        <w:pageBreakBefore w:val="0"/>
        <w:widowControl w:val="0"/>
        <w:tabs>
          <w:tab w:val="left" w:pos="1063"/>
        </w:tabs>
        <w:kinsoku/>
        <w:wordWrap/>
        <w:overflowPunct/>
        <w:topLinePunct w:val="0"/>
        <w:autoSpaceDE w:val="0"/>
        <w:autoSpaceDN w:val="0"/>
        <w:bidi w:val="0"/>
        <w:adjustRightInd/>
        <w:snapToGrid/>
        <w:ind w:left="0" w:leftChars="0" w:firstLine="640"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8.攸县青少年活动中心</w:t>
      </w:r>
    </w:p>
    <w:p>
      <w:pPr>
        <w:spacing w:after="2"/>
        <w:ind w:firstLine="627"/>
        <w:rPr>
          <w:rFonts w:hint="default" w:ascii="Times New Roman" w:hAnsi="Times New Roman" w:cs="Times New Roman"/>
        </w:rPr>
      </w:pPr>
      <w:r>
        <w:rPr>
          <w:rStyle w:val="15"/>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5"/>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2025年年初预算数1202万元，其中，一般公共预算拨款1202万元，其他收入0万元；因上年结转数暂未最终确定，本年度收支预算中均不含上年结转数字。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5"/>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2025年年初预算数1202万元，其中：文化旅游体育与传媒支出973万元，社会保障和就业支出99万元，卫生健康支出42万元，住房保障支出88万元。</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5"/>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2025年度本单位年初预算数为1202万元，与上年相比</w:t>
      </w:r>
      <w:r>
        <w:rPr>
          <w:rFonts w:hint="default" w:ascii="Times New Roman" w:hAnsi="Times New Roman" w:eastAsia="宋体" w:cs="Times New Roman"/>
          <w:color w:val="000000" w:themeColor="text1"/>
          <w:sz w:val="32"/>
          <w:szCs w:val="32"/>
          <w14:textFill>
            <w14:solidFill>
              <w14:schemeClr w14:val="tx1"/>
            </w14:solidFill>
          </w14:textFill>
        </w:rPr>
        <w:t>减少</w:t>
      </w:r>
      <w:r>
        <w:rPr>
          <w:rFonts w:hint="default" w:ascii="Times New Roman" w:hAnsi="Times New Roman" w:eastAsia="宋体" w:cs="Times New Roman"/>
          <w:color w:val="000000"/>
          <w:sz w:val="32"/>
          <w:szCs w:val="32"/>
        </w:rPr>
        <w:t>32万元，主要原因是政策因素，实行“零基预算”文化专项经费预算减少。</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2025年一般公共预算拨款支出预算1202万元，具体安排情况如下：</w:t>
      </w:r>
      <w:r>
        <w:rPr>
          <w:rFonts w:hint="default" w:ascii="Times New Roman" w:hAnsi="Times New Roman" w:cs="Times New Roman"/>
          <w:color w:val="000000"/>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宋体" w:cs="Times New Roman"/>
          <w:color w:val="000000"/>
          <w:sz w:val="32"/>
          <w:szCs w:val="32"/>
        </w:rPr>
      </w:pPr>
      <w:r>
        <w:rPr>
          <w:rFonts w:hint="eastAsia" w:ascii="Times New Roman" w:hAnsi="Times New Roman" w:eastAsia="宋体" w:cs="Times New Roman"/>
          <w:b/>
          <w:color w:val="000000"/>
          <w:sz w:val="32"/>
          <w:szCs w:val="32"/>
          <w:lang w:eastAsia="zh-CN"/>
        </w:rPr>
        <w:t>（一）</w:t>
      </w:r>
      <w:r>
        <w:rPr>
          <w:rFonts w:hint="default" w:ascii="Times New Roman" w:hAnsi="Times New Roman" w:eastAsia="宋体" w:cs="Times New Roman"/>
          <w:b/>
          <w:color w:val="000000"/>
          <w:sz w:val="32"/>
          <w:szCs w:val="32"/>
        </w:rPr>
        <w:t>人员类支出：</w:t>
      </w:r>
      <w:r>
        <w:rPr>
          <w:rFonts w:hint="default" w:ascii="Times New Roman" w:hAnsi="Times New Roman" w:eastAsia="宋体" w:cs="Times New Roman"/>
          <w:color w:val="000000"/>
          <w:sz w:val="32"/>
          <w:szCs w:val="32"/>
        </w:rPr>
        <w:t>2025年年初人员类预算数为917万元，其中，工资福利支出：基本工资315万元、津贴补贴157万元、奖金210万元、机关事业单位基本养老保险缴费99万元、职工基本医疗保险缴费42万元、其他社会保障缴费6万元、住房公积金88万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 xml:space="preserve">2025年年初运转类预算数为159万元，其中包括：办公费15万元、印刷费15万元、电费5万元、邮电费5万元、差旅费2万元、维修（护）费7万元、会议费2万元、培训费1万元、公务接待费3万元、劳务费2万元、工会经费10万元、福利费15万元、公务用车运行维护费5万元、其他交通费用50万元、其他商品和服务支出22万元。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2025年年初特定目标类预算数为126万元，其中包括： 文化旅游专项经费126万元。</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具体为：</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1.群众文化。公共文化服务体系建设专项59万元。</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2.其他文化和旅游支出。文物保护和文物普查经费42万元、石山书院和文昌阁运行维护费25万。</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keepNext w:val="0"/>
        <w:keepLines w:val="0"/>
        <w:pageBreakBefore w:val="0"/>
        <w:widowControl w:val="0"/>
        <w:numPr>
          <w:numId w:val="0"/>
        </w:numPr>
        <w:kinsoku/>
        <w:wordWrap/>
        <w:overflowPunct/>
        <w:topLinePunct w:val="0"/>
        <w:autoSpaceDE/>
        <w:autoSpaceDN/>
        <w:bidi w:val="0"/>
        <w:adjustRightInd/>
        <w:snapToGrid/>
        <w:ind w:firstLine="643" w:firstLineChars="200"/>
        <w:textAlignment w:val="auto"/>
        <w:rPr>
          <w:rStyle w:val="15"/>
          <w:rFonts w:hint="default" w:ascii="Times New Roman" w:hAnsi="Times New Roman" w:eastAsia="宋体" w:cs="Times New Roman"/>
          <w:color w:val="000000"/>
          <w:sz w:val="32"/>
          <w:szCs w:val="32"/>
        </w:rPr>
      </w:pPr>
      <w:r>
        <w:rPr>
          <w:rStyle w:val="15"/>
          <w:rFonts w:hint="eastAsia" w:ascii="Times New Roman" w:hAnsi="Times New Roman" w:eastAsia="宋体" w:cs="Times New Roman"/>
          <w:color w:val="000000"/>
          <w:sz w:val="32"/>
          <w:szCs w:val="32"/>
          <w:lang w:eastAsia="zh-CN"/>
        </w:rPr>
        <w:t>七、</w:t>
      </w:r>
      <w:r>
        <w:rPr>
          <w:rStyle w:val="15"/>
          <w:rFonts w:hint="default" w:ascii="Times New Roman" w:hAnsi="Times New Roman" w:eastAsia="宋体" w:cs="Times New Roman"/>
          <w:color w:val="000000"/>
          <w:sz w:val="32"/>
          <w:szCs w:val="32"/>
        </w:rPr>
        <w:t>国有资本经营预算支出</w:t>
      </w:r>
    </w:p>
    <w:p>
      <w:pPr>
        <w:spacing w:after="2"/>
        <w:ind w:firstLine="660"/>
        <w:rPr>
          <w:rStyle w:val="15"/>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2025年本部门机关运行经费159万元，预算比上年预算减少5万元，主要原因是执行中央八项八项精神，减少公用经费。</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2025年本部门政府采购预算总额61万元，其中，货物类采购预算30万元；工程类采购预算17万元；服务类采购预算14万元。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2辆，其中，机要通信用车0辆，应急保障用车0辆，执法执勤用车2辆，特种专业技术用车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本部门所有支出实行绩效目标管理，其中：纳入2025年部门整体支出绩效目标的金额为1202万元，基本支出1076万元，项目支出126万元。具体绩效目标详见附表。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8万元，其中，公务接待费3万元，公务用车购置及运行费5万元（其中，公务用车购置费0万元，公务用车运行费5万元），因公出国（境）费0万元。2025年“三公”经费预算较2024年减少2万元，主要原因是执行中央八项规定精神，精减公务接待经费。</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2025年预算安排会议费2万元，拟召开2次会议，人数200人，主要用于召开文化旅游业务专项工作会议等。</w:t>
      </w:r>
    </w:p>
    <w:p>
      <w:pPr>
        <w:spacing w:after="2"/>
        <w:ind w:firstLine="660"/>
        <w:rPr>
          <w:rFonts w:hint="default" w:ascii="Times New Roman" w:hAnsi="Times New Roman" w:eastAsia="宋体" w:cs="Times New Roman"/>
          <w:color w:val="000000"/>
        </w:rPr>
      </w:pPr>
      <w:r>
        <w:rPr>
          <w:rFonts w:hint="default" w:ascii="Times New Roman" w:hAnsi="Times New Roman" w:eastAsia="宋体" w:cs="Times New Roman"/>
          <w:color w:val="000000"/>
          <w:sz w:val="32"/>
          <w:szCs w:val="32"/>
        </w:rPr>
        <w:t>2025年预算安排培训费1万元，拟召开2次培训，人数100人，内容为新媒体宣传短视频培训等。</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未举办节庆、晚会、论坛、赛事活动，经费预算0万元。</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w:t>
      </w:r>
      <w:bookmarkStart w:id="0" w:name="_GoBack"/>
      <w:bookmarkEnd w:id="0"/>
      <w:r>
        <w:rPr>
          <w:rFonts w:hint="default" w:ascii="Times New Roman" w:hAnsi="Times New Roman" w:eastAsia="宋体" w:cs="Times New Roman"/>
          <w:color w:val="000000"/>
          <w:sz w:val="32"/>
          <w:szCs w:val="32"/>
        </w:rPr>
        <w:t>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5"/>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1A538D"/>
    <w:rsid w:val="001A538D"/>
    <w:rsid w:val="009F149A"/>
    <w:rsid w:val="00E57E1B"/>
    <w:rsid w:val="00E916C4"/>
    <w:rsid w:val="019C1745"/>
    <w:rsid w:val="077B68BF"/>
    <w:rsid w:val="0AB55AC9"/>
    <w:rsid w:val="0D3C4F80"/>
    <w:rsid w:val="0EE130CF"/>
    <w:rsid w:val="0F6956C4"/>
    <w:rsid w:val="115E60CE"/>
    <w:rsid w:val="141146D3"/>
    <w:rsid w:val="14784A5D"/>
    <w:rsid w:val="17A67AC2"/>
    <w:rsid w:val="1823790B"/>
    <w:rsid w:val="18355884"/>
    <w:rsid w:val="19FA7CBC"/>
    <w:rsid w:val="1D0C4ADF"/>
    <w:rsid w:val="1D550E29"/>
    <w:rsid w:val="1EAF1A31"/>
    <w:rsid w:val="1FED1EC6"/>
    <w:rsid w:val="2063467B"/>
    <w:rsid w:val="21B85CFD"/>
    <w:rsid w:val="22E04F40"/>
    <w:rsid w:val="23C23970"/>
    <w:rsid w:val="24FC1DF2"/>
    <w:rsid w:val="25645916"/>
    <w:rsid w:val="25A21694"/>
    <w:rsid w:val="26DA02D7"/>
    <w:rsid w:val="26E55F15"/>
    <w:rsid w:val="27E623AC"/>
    <w:rsid w:val="282052BC"/>
    <w:rsid w:val="2A84085A"/>
    <w:rsid w:val="2B795054"/>
    <w:rsid w:val="2FCB5FBE"/>
    <w:rsid w:val="30195425"/>
    <w:rsid w:val="30380FAE"/>
    <w:rsid w:val="31D13224"/>
    <w:rsid w:val="31D93E11"/>
    <w:rsid w:val="32357615"/>
    <w:rsid w:val="33295289"/>
    <w:rsid w:val="342D7D62"/>
    <w:rsid w:val="3B91694A"/>
    <w:rsid w:val="3E3451B3"/>
    <w:rsid w:val="3E7A1A0D"/>
    <w:rsid w:val="410D2834"/>
    <w:rsid w:val="42560E53"/>
    <w:rsid w:val="450B5C90"/>
    <w:rsid w:val="452655C6"/>
    <w:rsid w:val="46200B03"/>
    <w:rsid w:val="4A7F176D"/>
    <w:rsid w:val="4BD94BB6"/>
    <w:rsid w:val="4C0A58AA"/>
    <w:rsid w:val="4C5C3A28"/>
    <w:rsid w:val="4D801F4B"/>
    <w:rsid w:val="4F1D6A04"/>
    <w:rsid w:val="50F04351"/>
    <w:rsid w:val="51202704"/>
    <w:rsid w:val="5318723B"/>
    <w:rsid w:val="536461B4"/>
    <w:rsid w:val="55870ECF"/>
    <w:rsid w:val="564F73D8"/>
    <w:rsid w:val="56BC015E"/>
    <w:rsid w:val="59F0543D"/>
    <w:rsid w:val="5A0510BB"/>
    <w:rsid w:val="5B791423"/>
    <w:rsid w:val="5EBD76F3"/>
    <w:rsid w:val="61EB714F"/>
    <w:rsid w:val="6B034621"/>
    <w:rsid w:val="6DE86669"/>
    <w:rsid w:val="71C64208"/>
    <w:rsid w:val="74B742EE"/>
    <w:rsid w:val="76CF33C0"/>
    <w:rsid w:val="77EE03ED"/>
    <w:rsid w:val="7959640F"/>
    <w:rsid w:val="7A394809"/>
    <w:rsid w:val="7A806876"/>
    <w:rsid w:val="7D433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8">
    <w:name w:val="Plain Text"/>
    <w:basedOn w:val="1"/>
    <w:qFormat/>
    <w:uiPriority w:val="0"/>
    <w:rPr>
      <w:rFonts w:ascii="宋体" w:hAnsi="Courier New" w:cs="Courier New"/>
      <w:szCs w:val="21"/>
    </w:rPr>
  </w:style>
  <w:style w:type="paragraph" w:styleId="9">
    <w:name w:val="footer"/>
    <w:basedOn w:val="1"/>
    <w:link w:val="19"/>
    <w:uiPriority w:val="0"/>
    <w:pPr>
      <w:tabs>
        <w:tab w:val="center" w:pos="4153"/>
        <w:tab w:val="right" w:pos="8306"/>
      </w:tabs>
      <w:snapToGrid w:val="0"/>
      <w:jc w:val="left"/>
    </w:pPr>
    <w:rPr>
      <w:sz w:val="18"/>
      <w:szCs w:val="18"/>
    </w:rPr>
  </w:style>
  <w:style w:type="paragraph" w:styleId="10">
    <w:name w:val="header"/>
    <w:basedOn w:val="1"/>
    <w:link w:val="18"/>
    <w:qFormat/>
    <w:uiPriority w:val="0"/>
    <w:pP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2">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5">
    <w:name w:val="Strong"/>
    <w:basedOn w:val="14"/>
    <w:qFormat/>
    <w:uiPriority w:val="0"/>
    <w:rPr>
      <w:b/>
    </w:rPr>
  </w:style>
  <w:style w:type="paragraph" w:customStyle="1" w:styleId="16">
    <w:name w:val="18"/>
    <w:basedOn w:val="1"/>
    <w:qFormat/>
    <w:uiPriority w:val="0"/>
  </w:style>
  <w:style w:type="paragraph" w:customStyle="1" w:styleId="17">
    <w:name w:val="列出段落"/>
    <w:basedOn w:val="1"/>
    <w:qFormat/>
    <w:uiPriority w:val="1"/>
    <w:pPr>
      <w:ind w:firstLine="420" w:firstLineChars="200"/>
    </w:pPr>
    <w:rPr>
      <w:rFonts w:ascii="Calibri" w:hAnsi="Calibri"/>
    </w:rPr>
  </w:style>
  <w:style w:type="character" w:customStyle="1" w:styleId="18">
    <w:name w:val="页眉 字符"/>
    <w:basedOn w:val="14"/>
    <w:link w:val="10"/>
    <w:uiPriority w:val="0"/>
    <w:rPr>
      <w:rFonts w:ascii="等线" w:hAnsi="等线" w:eastAsia="等线"/>
      <w:kern w:val="2"/>
      <w:sz w:val="18"/>
      <w:szCs w:val="18"/>
    </w:rPr>
  </w:style>
  <w:style w:type="character" w:customStyle="1" w:styleId="19">
    <w:name w:val="页脚 字符"/>
    <w:basedOn w:val="14"/>
    <w:link w:val="9"/>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2646</Words>
  <Characters>2726</Characters>
  <Lines>151</Lines>
  <Paragraphs>134</Paragraphs>
  <TotalTime>10</TotalTime>
  <ScaleCrop>false</ScaleCrop>
  <LinksUpToDate>false</LinksUpToDate>
  <CharactersWithSpaces>5238</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2025-06-23T02:08:20Z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A7E2567674634C9DA4B153ABD2C77874_13</vt:lpwstr>
  </property>
  <property fmtid="{D5CDD505-2E9C-101B-9397-08002B2CF9AE}" pid="4" name="KSOTemplateDocerSaveRecord">
    <vt:lpwstr>eyJoZGlkIjoiN2QxMjIyMzgwMGVmY2UyMTFiODQzYjlhMDg5ZGMwZDEiLCJ1c2VySWQiOiI2MTAyMDgwNTMifQ==</vt:lpwstr>
  </property>
</Properties>
</file>