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 xml:space="preserve">年度攸县科技和工业信息化局部门预算公开说明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 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目 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一、部门基本概况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三、部门预算单位构成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四、部门收支总体情况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（一）收入预算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（二）支出预算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五、一般公共预算拨款支出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（一）人员类支出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（二）运转类支出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、其他重要事项的情况说明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（一）机关运行经费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（二）政府采购预算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（三）国有资产占有情况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（四）预算绩效目标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（五）“三公”经费预算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（六）会议费、培训费等预算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、名词解释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1、收支总表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2、收入总表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3、支出总表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4、支出预算分类汇总表（按政府预算经济分类）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5、支出预算分类汇总表（按部门预算经济分类）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6、财政拨款收支总表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7、一般公共预算支出表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8、一般公共预算基本支出表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9、一般公共预算基本支出表--人员经费(工资福利支出)(按政府预算经济分类)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10、一般公共预算基本支出表--人员经费(工资福利支出)(按部门预算经济分类)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11、一般公共预算基本支出表--人员经费(对个人和家庭的补助)(按政府预算经济分类)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12、一般公共预算基本支出表--人员经费(对个人和家庭的补助)（按部门预算经济分类）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13、一般公共预算基本支出表--公用经费(商品和服务支出)（按政府预算经济分类）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14、一般公共预算基本支出表--公用经费(商品和服务支出)(按部门预算经济分类)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15、一般公共预算“三公”经费支出表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16、政府性基金预算支出表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17、政府性基金预算支出分类汇总表（按政府预算经济分类）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18、政府性基金预算支出分类汇总表（按部门预算经济分类）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19、国有资本经营预算支出表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20、财政专户管理资金预算支出表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21、专项资金预算汇总表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22、项目支出绩效目标表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23、整体支出绩效目标表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注：以上部门预算报表中，空表表示本部门无相关收支情况。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  </w:t>
      </w:r>
    </w:p>
    <w:p>
      <w:pPr>
        <w:spacing w:before="0" w:beforeAutospacing="0" w:after="2" w:afterAutospacing="0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一、部门基本概况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（一）贯彻执行国家、省市有关工业和信息化的法律、法规和方针、政策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（二）负责全县工业经济日常运行调节，编制近期工业经济运行调控目标、政策和措施并组织实施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（三）会同有关部门综合管理全县工业经济，指导、协调和服务工业企业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（四）拟订全县工业、信息化的发展专项规划并组织实施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（五）负责监督检查工业和信息化领域相关法律法规的执行情况；协调减轻工业企业负担工作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（六）组织拟订全县工业企业技术进步的发展规划和高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技术产业规划和政策并组织实施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（七）研究提出促进全县非公有制经济和中小企业发展的政策措施，协调解决重大问题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）组织拟订全县信息化发展专项规划及相关政策，协调解决重大问题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4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）拟订全县信息安全发展规划，指导、协调信息安全保障体系建设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（十）组织拟订软件业和信息服务业发展专项规划及相关政策，协调解决重大问题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（十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）完成县委、县人民政府交办的其他事项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tabs>
          <w:tab w:val="left" w:pos="20"/>
        </w:tabs>
        <w:spacing w:line="600" w:lineRule="exact"/>
        <w:ind w:firstLine="640" w:firstLineChars="200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攸县科技和工业信息化局内设机构包括：攸县科技和工业信息化局属正科级行政单位，内设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室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5股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个二级机构，核定行政编制1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人，事业编制1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人。实有在职员工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人，退休人员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人，临聘人员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,涉军人员2人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。内设机构分别为是办公室、科技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创新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股、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科技成果股、工业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经济运行股、企业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发展促进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股、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信息产业股。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财政全额拨款股级二级机构—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中小企业服务中心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2025年度部门预算编制范围的为攸县科技和工业信息化局。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 xml:space="preserve">部门收支总体情况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638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万元；因上年结转数暂未最终确定，本年度收支预算中均不含上年结转数字。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638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科学技术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541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638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单位人员增加以及增加了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1名长期临聘人员经费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五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、一般公共预算拨款支出预算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万元，具体安排情况如下：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398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、工会经费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4万元、福利费7万元、公务用车运行维护费9万元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其他交通费14万元。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shd w:val="clear" w:fill="FFFFFF"/>
          <w:lang w:eastAsia="zh-CN"/>
        </w:rPr>
        <w:t>六、政府性基金预算支出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3" w:firstLineChars="200"/>
        <w:textAlignment w:val="auto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七、国有资本经营预算支出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textAlignment w:val="auto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与上年持平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638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万元。具体绩效目标详见附表。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一般性支出情况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  <w:t>：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次会议，人数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科技成果转换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工作会议，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工业企业培育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业务培训会议；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年预算安排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2025年度无培训费预算支出；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政府门户网站公开。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（具体见附件）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D234"/>
    <w:multiLevelType w:val="singleLevel"/>
    <w:tmpl w:val="3C76D2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2E56AB9"/>
    <w:rsid w:val="077B68BF"/>
    <w:rsid w:val="09D16F5E"/>
    <w:rsid w:val="0A14375B"/>
    <w:rsid w:val="0AB55AC9"/>
    <w:rsid w:val="0B066570"/>
    <w:rsid w:val="0CC016BA"/>
    <w:rsid w:val="0D3C4F80"/>
    <w:rsid w:val="0EE130CF"/>
    <w:rsid w:val="0F6956C4"/>
    <w:rsid w:val="115E60CE"/>
    <w:rsid w:val="1160041C"/>
    <w:rsid w:val="141146D3"/>
    <w:rsid w:val="146F0359"/>
    <w:rsid w:val="14784A5D"/>
    <w:rsid w:val="152E2536"/>
    <w:rsid w:val="17A67AC2"/>
    <w:rsid w:val="1823790B"/>
    <w:rsid w:val="18355884"/>
    <w:rsid w:val="18E2498B"/>
    <w:rsid w:val="18F461D9"/>
    <w:rsid w:val="192E4C3E"/>
    <w:rsid w:val="19A945D7"/>
    <w:rsid w:val="1AF64220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8D6542"/>
    <w:rsid w:val="25A21694"/>
    <w:rsid w:val="26DA02D7"/>
    <w:rsid w:val="26E55F15"/>
    <w:rsid w:val="27E623AC"/>
    <w:rsid w:val="282052BC"/>
    <w:rsid w:val="29582853"/>
    <w:rsid w:val="295E44E9"/>
    <w:rsid w:val="2AA7340C"/>
    <w:rsid w:val="2B795054"/>
    <w:rsid w:val="2FC62795"/>
    <w:rsid w:val="30195425"/>
    <w:rsid w:val="30380FAE"/>
    <w:rsid w:val="31D93E11"/>
    <w:rsid w:val="32357615"/>
    <w:rsid w:val="33295289"/>
    <w:rsid w:val="342D7D62"/>
    <w:rsid w:val="388D7C5B"/>
    <w:rsid w:val="3B91694A"/>
    <w:rsid w:val="3E3451B3"/>
    <w:rsid w:val="3E7A1A0D"/>
    <w:rsid w:val="3EDE0E72"/>
    <w:rsid w:val="410D2834"/>
    <w:rsid w:val="43597287"/>
    <w:rsid w:val="450B5C90"/>
    <w:rsid w:val="452655C6"/>
    <w:rsid w:val="45FD6F5F"/>
    <w:rsid w:val="487C2ED4"/>
    <w:rsid w:val="4A323BA5"/>
    <w:rsid w:val="4A7F176D"/>
    <w:rsid w:val="4BD94BB6"/>
    <w:rsid w:val="4C0A58AA"/>
    <w:rsid w:val="4C5C3A28"/>
    <w:rsid w:val="4C8A139D"/>
    <w:rsid w:val="4D1A4B6F"/>
    <w:rsid w:val="4D801F4B"/>
    <w:rsid w:val="4DE4260B"/>
    <w:rsid w:val="50F04351"/>
    <w:rsid w:val="51202704"/>
    <w:rsid w:val="521D6729"/>
    <w:rsid w:val="536461B4"/>
    <w:rsid w:val="55870ECF"/>
    <w:rsid w:val="564F73D8"/>
    <w:rsid w:val="56BC015E"/>
    <w:rsid w:val="5A0510BB"/>
    <w:rsid w:val="5B791423"/>
    <w:rsid w:val="5EBD76F3"/>
    <w:rsid w:val="5FC11112"/>
    <w:rsid w:val="61EB714F"/>
    <w:rsid w:val="69A04E81"/>
    <w:rsid w:val="6DE86669"/>
    <w:rsid w:val="71156931"/>
    <w:rsid w:val="71C64208"/>
    <w:rsid w:val="736764E4"/>
    <w:rsid w:val="74686AEA"/>
    <w:rsid w:val="74B742EE"/>
    <w:rsid w:val="765A5865"/>
    <w:rsid w:val="768732EE"/>
    <w:rsid w:val="76CF33C0"/>
    <w:rsid w:val="77EE03ED"/>
    <w:rsid w:val="7959640F"/>
    <w:rsid w:val="796C51EF"/>
    <w:rsid w:val="7A394809"/>
    <w:rsid w:val="7A806876"/>
    <w:rsid w:val="7E624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3735</Words>
  <Characters>4045</Characters>
  <TotalTime>4</TotalTime>
  <ScaleCrop>false</ScaleCrop>
  <LinksUpToDate>false</LinksUpToDate>
  <CharactersWithSpaces>4138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2025-06-23T01:11:24Z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</Properties>
</file>