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jc w:val="center"/>
        <w:rPr>
          <w:rFonts w:hint="default" w:ascii="Times New Roman" w:hAnsi="Times New Roman" w:cs="Times New Roman"/>
        </w:rPr>
      </w:pPr>
      <w:bookmarkStart w:id="0" w:name="_GoBack"/>
      <w:r>
        <w:rPr>
          <w:rStyle w:val="12"/>
          <w:rFonts w:hint="default" w:ascii="Times New Roman" w:hAnsi="Times New Roman" w:eastAsia="宋体" w:cs="Times New Roman"/>
          <w:color w:val="000000"/>
          <w:sz w:val="48"/>
          <w:szCs w:val="48"/>
        </w:rPr>
        <w:t>2025年度攸县</w:t>
      </w:r>
      <w:r>
        <w:rPr>
          <w:rStyle w:val="12"/>
          <w:rFonts w:hint="default" w:ascii="Times New Roman" w:hAnsi="Times New Roman" w:eastAsia="宋体" w:cs="Times New Roman"/>
          <w:color w:val="000000"/>
          <w:sz w:val="48"/>
          <w:szCs w:val="48"/>
          <w:lang w:eastAsia="zh-CN"/>
        </w:rPr>
        <w:t>人力资源和社会保障局部门</w:t>
      </w:r>
      <w:r>
        <w:rPr>
          <w:rStyle w:val="12"/>
          <w:rFonts w:hint="default" w:ascii="Times New Roman" w:hAnsi="Times New Roman" w:eastAsia="宋体" w:cs="Times New Roman"/>
          <w:color w:val="000000"/>
          <w:sz w:val="48"/>
          <w:szCs w:val="48"/>
        </w:rPr>
        <w:t>预算公开说明</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2025年部门预算说明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after="2"/>
        <w:ind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after="2"/>
        <w:ind w:firstLine="643"/>
        <w:rPr>
          <w:rFonts w:hint="default" w:ascii="Times New Roman" w:hAnsi="Times New Roman" w:eastAsia="宋体" w:cs="Times New Roman"/>
        </w:rPr>
      </w:pPr>
      <w:r>
        <w:rPr>
          <w:rFonts w:hint="default" w:ascii="Times New Roman" w:hAnsi="Times New Roman" w:eastAsia="宋体" w:cs="Times New Roman"/>
          <w:color w:val="000000"/>
          <w:sz w:val="32"/>
          <w:szCs w:val="32"/>
        </w:rPr>
        <w:t>七、国有资本经营预算支出</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2025年部门预算表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rPr>
          <w:rFonts w:hint="default" w:ascii="Times New Roman" w:hAnsi="Times New Roman" w:cs="Times New Roman"/>
        </w:rPr>
      </w:pP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2025年部门预算说明</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本部门主要职责是：</w:t>
      </w:r>
      <w:r>
        <w:rPr>
          <w:rFonts w:hint="default" w:ascii="Times New Roman" w:hAnsi="Times New Roman" w:cs="Times New Roman"/>
          <w:color w:val="000000"/>
        </w:rPr>
        <w:t xml:space="preserve"> </w:t>
      </w:r>
    </w:p>
    <w:p>
      <w:pPr>
        <w:widowControl/>
        <w:spacing w:after="2"/>
        <w:ind w:firstLine="630"/>
        <w:rPr>
          <w:rFonts w:hint="default" w:ascii="Times New Roman" w:hAnsi="Times New Roman" w:cs="Times New Roman"/>
          <w:color w:val="000000"/>
          <w:kern w:val="0"/>
          <w:szCs w:val="21"/>
        </w:rPr>
      </w:pPr>
      <w:r>
        <w:rPr>
          <w:rFonts w:hint="default" w:ascii="Times New Roman" w:hAnsi="Times New Roman" w:eastAsia="宋体" w:cs="Times New Roman"/>
          <w:color w:val="000000"/>
          <w:kern w:val="0"/>
          <w:sz w:val="32"/>
          <w:szCs w:val="32"/>
        </w:rPr>
        <w:t>1、贯彻执行国家、省、市有关人力资源和社会保障工作的法律、法规和方针、政策；拟订全县人力资源市场发展规划和人力资源流动政策并组织实施；指导全县建立统一规范的人力资源市场。</w:t>
      </w:r>
      <w:r>
        <w:rPr>
          <w:rFonts w:hint="default" w:ascii="Times New Roman" w:hAnsi="Times New Roman" w:cs="Times New Roman"/>
          <w:color w:val="000000"/>
          <w:kern w:val="0"/>
          <w:sz w:val="32"/>
          <w:szCs w:val="32"/>
        </w:rPr>
        <w:t> </w:t>
      </w:r>
    </w:p>
    <w:p>
      <w:pPr>
        <w:widowControl/>
        <w:spacing w:after="2"/>
        <w:ind w:firstLine="630"/>
        <w:rPr>
          <w:rFonts w:hint="default" w:ascii="Times New Roman" w:hAnsi="Times New Roman" w:cs="Times New Roman"/>
          <w:color w:val="000000"/>
          <w:kern w:val="0"/>
          <w:szCs w:val="21"/>
        </w:rPr>
      </w:pPr>
      <w:r>
        <w:rPr>
          <w:rFonts w:hint="default" w:ascii="Times New Roman" w:hAnsi="Times New Roman" w:eastAsia="宋体" w:cs="Times New Roman"/>
          <w:color w:val="000000"/>
          <w:kern w:val="0"/>
          <w:sz w:val="32"/>
          <w:szCs w:val="32"/>
        </w:rPr>
        <w:t>2、负责促进就业工作，拟订统筹城乡就业发展规划、政策，完善公共就业服务体系，统筹建立面向城乡劳动者的职业技能培训制度，会同有关部门拟订各类技能人才、农村实用人才的培养和激励政策。组织落实就业援助制度，落实职业资格制度相关政策。</w:t>
      </w:r>
      <w:r>
        <w:rPr>
          <w:rFonts w:hint="default" w:ascii="Times New Roman" w:hAnsi="Times New Roman" w:cs="Times New Roman"/>
          <w:color w:val="000000"/>
          <w:kern w:val="0"/>
          <w:sz w:val="32"/>
          <w:szCs w:val="32"/>
        </w:rPr>
        <w:t> </w:t>
      </w:r>
    </w:p>
    <w:p>
      <w:pPr>
        <w:widowControl/>
        <w:spacing w:after="2"/>
        <w:ind w:firstLine="630"/>
        <w:rPr>
          <w:rFonts w:hint="default" w:ascii="Times New Roman" w:hAnsi="Times New Roman" w:cs="Times New Roman"/>
          <w:color w:val="000000"/>
          <w:kern w:val="0"/>
          <w:szCs w:val="21"/>
        </w:rPr>
      </w:pPr>
      <w:r>
        <w:rPr>
          <w:rFonts w:hint="default" w:ascii="Times New Roman" w:hAnsi="Times New Roman" w:eastAsia="宋体" w:cs="Times New Roman"/>
          <w:color w:val="000000"/>
          <w:kern w:val="0"/>
          <w:sz w:val="32"/>
          <w:szCs w:val="32"/>
        </w:rPr>
        <w:t>3、统筹推进建立全县覆盖城乡的多层次社会保障体系，统筹拟定并组织实施基本养老保险、失业保险、工伤保险及其补充保险政策；负责管理全县基本养老保险、失业保险、工伤保险基金并实施监督；指导全县基本养老保险社会化管理服务工作；负责职工工伤认定和劳动能力鉴定申报工作；负责全县企事业单位职工和城乡居民参保人员退休审批工作。</w:t>
      </w:r>
      <w:r>
        <w:rPr>
          <w:rFonts w:hint="default" w:ascii="Times New Roman" w:hAnsi="Times New Roman" w:cs="Times New Roman"/>
          <w:color w:val="000000"/>
          <w:kern w:val="0"/>
          <w:sz w:val="32"/>
          <w:szCs w:val="32"/>
        </w:rPr>
        <w:t> </w:t>
      </w:r>
    </w:p>
    <w:p>
      <w:pPr>
        <w:widowControl/>
        <w:spacing w:after="2"/>
        <w:ind w:firstLine="630"/>
        <w:rPr>
          <w:rFonts w:hint="default" w:ascii="Times New Roman" w:hAnsi="Times New Roman" w:cs="Times New Roman"/>
          <w:color w:val="000000"/>
          <w:kern w:val="0"/>
          <w:szCs w:val="21"/>
        </w:rPr>
      </w:pPr>
      <w:r>
        <w:rPr>
          <w:rFonts w:hint="default" w:ascii="Times New Roman" w:hAnsi="Times New Roman" w:eastAsia="宋体" w:cs="Times New Roman"/>
          <w:color w:val="000000"/>
          <w:kern w:val="0"/>
          <w:sz w:val="32"/>
          <w:szCs w:val="32"/>
        </w:rPr>
        <w:t>4、负责全县基本养老保险、失业保险、工伤保险基金和就业资金的预测预警和信息引导，拟订应对预案，实施预防、调节和控制。</w:t>
      </w:r>
      <w:r>
        <w:rPr>
          <w:rFonts w:hint="default" w:ascii="Times New Roman" w:hAnsi="Times New Roman" w:cs="Times New Roman"/>
          <w:color w:val="000000"/>
          <w:kern w:val="0"/>
          <w:sz w:val="32"/>
          <w:szCs w:val="32"/>
        </w:rPr>
        <w:t> </w:t>
      </w:r>
    </w:p>
    <w:p>
      <w:pPr>
        <w:widowControl/>
        <w:spacing w:after="2"/>
        <w:ind w:firstLine="630"/>
        <w:rPr>
          <w:rFonts w:hint="default" w:ascii="Times New Roman" w:hAnsi="Times New Roman" w:cs="Times New Roman"/>
          <w:color w:val="000000"/>
          <w:kern w:val="0"/>
          <w:szCs w:val="21"/>
        </w:rPr>
      </w:pPr>
      <w:r>
        <w:rPr>
          <w:rFonts w:hint="default" w:ascii="Times New Roman" w:hAnsi="Times New Roman" w:eastAsia="宋体" w:cs="Times New Roman"/>
          <w:color w:val="000000"/>
          <w:kern w:val="0"/>
          <w:sz w:val="32"/>
          <w:szCs w:val="32"/>
        </w:rPr>
        <w:t>5、会同有关部门拟订农民工工作综合性政策和规划，推动相关政策落实，协调解决重点难点问题，维护农民工合法权益。</w:t>
      </w:r>
      <w:r>
        <w:rPr>
          <w:rFonts w:hint="default" w:ascii="Times New Roman" w:hAnsi="Times New Roman" w:cs="Times New Roman"/>
          <w:color w:val="000000"/>
          <w:kern w:val="0"/>
          <w:sz w:val="32"/>
          <w:szCs w:val="32"/>
        </w:rPr>
        <w:t> </w:t>
      </w:r>
    </w:p>
    <w:p>
      <w:pPr>
        <w:widowControl/>
        <w:spacing w:after="2"/>
        <w:ind w:firstLine="630"/>
        <w:rPr>
          <w:rFonts w:hint="default" w:ascii="Times New Roman" w:hAnsi="Times New Roman" w:cs="Times New Roman"/>
          <w:color w:val="000000"/>
          <w:kern w:val="0"/>
          <w:szCs w:val="21"/>
        </w:rPr>
      </w:pPr>
      <w:r>
        <w:rPr>
          <w:rFonts w:hint="default" w:ascii="Times New Roman" w:hAnsi="Times New Roman" w:eastAsia="宋体" w:cs="Times New Roman"/>
          <w:color w:val="000000"/>
          <w:kern w:val="0"/>
          <w:sz w:val="32"/>
          <w:szCs w:val="32"/>
        </w:rPr>
        <w:t>6、统筹实施劳动人事争议调解仲裁制度和劳动关系政策，完善劳动关系协调机制；指导和协调企业职工分流安置工作；监督实施职工工作时间、休息休假和假期制度；监督实施消除非法使用童工政策和女工、未成年工的特殊劳动保护政策；组织实施劳动保障监察，协调劳动者维权工作，依法查处劳动保障案件。</w:t>
      </w:r>
      <w:r>
        <w:rPr>
          <w:rFonts w:hint="default" w:ascii="Times New Roman" w:hAnsi="Times New Roman" w:cs="Times New Roman"/>
          <w:color w:val="000000"/>
          <w:kern w:val="0"/>
          <w:sz w:val="32"/>
          <w:szCs w:val="32"/>
        </w:rPr>
        <w:t> </w:t>
      </w:r>
    </w:p>
    <w:p>
      <w:pPr>
        <w:widowControl/>
        <w:spacing w:after="2"/>
        <w:ind w:firstLine="630"/>
        <w:rPr>
          <w:rFonts w:hint="default" w:ascii="Times New Roman" w:hAnsi="Times New Roman" w:cs="Times New Roman"/>
          <w:color w:val="000000"/>
          <w:kern w:val="0"/>
          <w:szCs w:val="21"/>
        </w:rPr>
      </w:pPr>
      <w:r>
        <w:rPr>
          <w:rFonts w:hint="default" w:ascii="Times New Roman" w:hAnsi="Times New Roman" w:eastAsia="宋体" w:cs="Times New Roman"/>
          <w:color w:val="000000"/>
          <w:kern w:val="0"/>
          <w:sz w:val="32"/>
          <w:szCs w:val="32"/>
        </w:rPr>
        <w:t>7、会同有关部门实施全县事业单位人员工资收入分配政策，建立全县事业单位人员工资正常增长和支付保障机制；配合相关部门审核纳入县级财政统一发放工资范围的机关工勤人员和事业单位人员的工资、奖金、津补贴标准和离退休费；实施全县企事业单位人员福利和离退休政策。</w:t>
      </w:r>
      <w:r>
        <w:rPr>
          <w:rFonts w:hint="default" w:ascii="Times New Roman" w:hAnsi="Times New Roman" w:cs="Times New Roman"/>
          <w:color w:val="000000"/>
          <w:kern w:val="0"/>
          <w:sz w:val="32"/>
          <w:szCs w:val="32"/>
        </w:rPr>
        <w:t> </w:t>
      </w:r>
    </w:p>
    <w:p>
      <w:pPr>
        <w:widowControl/>
        <w:spacing w:after="2"/>
        <w:ind w:firstLine="630"/>
        <w:rPr>
          <w:rFonts w:hint="default" w:ascii="Times New Roman" w:hAnsi="Times New Roman" w:cs="Times New Roman"/>
          <w:color w:val="000000"/>
          <w:kern w:val="0"/>
          <w:szCs w:val="21"/>
        </w:rPr>
      </w:pPr>
      <w:r>
        <w:rPr>
          <w:rFonts w:hint="default" w:ascii="Times New Roman" w:hAnsi="Times New Roman" w:eastAsia="宋体" w:cs="Times New Roman"/>
          <w:color w:val="000000"/>
          <w:kern w:val="0"/>
          <w:sz w:val="32"/>
          <w:szCs w:val="32"/>
        </w:rPr>
        <w:t>8、会同有关部门指导全县事业单位人事制度改革；实施事业单位人员和机关工勤人员管理政策；参与人才管理工作；综合管理全县专业技术人员和机关事业单位工勤人员的培训和继续教育工作；牵头推进深化职称制度改革，归口管理专业技术人员的职称工作。</w:t>
      </w:r>
      <w:r>
        <w:rPr>
          <w:rFonts w:hint="default" w:ascii="Times New Roman" w:hAnsi="Times New Roman" w:cs="Times New Roman"/>
          <w:color w:val="000000"/>
          <w:kern w:val="0"/>
          <w:sz w:val="32"/>
          <w:szCs w:val="32"/>
        </w:rPr>
        <w:t> </w:t>
      </w:r>
    </w:p>
    <w:p>
      <w:pPr>
        <w:widowControl/>
        <w:spacing w:after="2"/>
        <w:ind w:firstLine="630"/>
        <w:rPr>
          <w:rFonts w:hint="default" w:ascii="Times New Roman" w:hAnsi="Times New Roman" w:cs="Times New Roman"/>
          <w:color w:val="000000"/>
          <w:kern w:val="0"/>
          <w:szCs w:val="21"/>
        </w:rPr>
      </w:pPr>
      <w:r>
        <w:rPr>
          <w:rFonts w:hint="default" w:ascii="Times New Roman" w:hAnsi="Times New Roman" w:eastAsia="宋体" w:cs="Times New Roman"/>
          <w:color w:val="000000"/>
          <w:kern w:val="0"/>
          <w:sz w:val="32"/>
          <w:szCs w:val="32"/>
        </w:rPr>
        <w:t>9、负责事业单位人员流动工作；承担全县为民办实事考核工作；会同有关部门拟订并实施事业单位奖励制度。</w:t>
      </w:r>
      <w:r>
        <w:rPr>
          <w:rFonts w:hint="default" w:ascii="Times New Roman" w:hAnsi="Times New Roman" w:cs="Times New Roman"/>
          <w:color w:val="000000"/>
          <w:kern w:val="0"/>
          <w:sz w:val="32"/>
          <w:szCs w:val="32"/>
        </w:rPr>
        <w:t> </w:t>
      </w:r>
    </w:p>
    <w:p>
      <w:pPr>
        <w:widowControl/>
        <w:spacing w:after="2"/>
        <w:ind w:firstLine="630"/>
        <w:rPr>
          <w:rFonts w:hint="default" w:ascii="Times New Roman" w:hAnsi="Times New Roman" w:cs="Times New Roman"/>
          <w:color w:val="000000"/>
          <w:kern w:val="0"/>
          <w:szCs w:val="21"/>
        </w:rPr>
      </w:pPr>
      <w:r>
        <w:rPr>
          <w:rFonts w:hint="default" w:ascii="Times New Roman" w:hAnsi="Times New Roman" w:eastAsia="宋体" w:cs="Times New Roman"/>
          <w:color w:val="000000"/>
          <w:kern w:val="0"/>
          <w:sz w:val="32"/>
          <w:szCs w:val="32"/>
        </w:rPr>
        <w:t>10、承担全县事业单位岗位设置、合同聘用等管理工作;负责实施全县事业单位公开招聘工作的指导、监督和管理，会同有关部门进行新考录人员的管理工作。</w:t>
      </w:r>
      <w:r>
        <w:rPr>
          <w:rFonts w:hint="default" w:ascii="Times New Roman" w:hAnsi="Times New Roman" w:cs="Times New Roman"/>
          <w:color w:val="000000"/>
          <w:kern w:val="0"/>
          <w:sz w:val="32"/>
          <w:szCs w:val="32"/>
        </w:rPr>
        <w:t> </w:t>
      </w:r>
    </w:p>
    <w:p>
      <w:pPr>
        <w:widowControl/>
        <w:spacing w:after="2"/>
        <w:ind w:firstLine="630"/>
        <w:rPr>
          <w:rFonts w:hint="default" w:ascii="Times New Roman" w:hAnsi="Times New Roman" w:cs="Times New Roman"/>
          <w:color w:val="000000"/>
          <w:kern w:val="0"/>
          <w:szCs w:val="21"/>
        </w:rPr>
      </w:pPr>
      <w:r>
        <w:rPr>
          <w:rFonts w:hint="default" w:ascii="Times New Roman" w:hAnsi="Times New Roman" w:eastAsia="宋体" w:cs="Times New Roman"/>
          <w:color w:val="000000"/>
          <w:kern w:val="0"/>
          <w:sz w:val="32"/>
          <w:szCs w:val="32"/>
        </w:rPr>
        <w:t>11、完成县委、县人民政府交办的其他事项。</w:t>
      </w:r>
    </w:p>
    <w:p>
      <w:pPr>
        <w:spacing w:after="2"/>
        <w:ind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cs="Times New Roman"/>
          <w:color w:val="000000"/>
          <w:sz w:val="32"/>
          <w:szCs w:val="32"/>
        </w:rPr>
        <w:t>攸县人力资源和社会保障局内设机构包括：</w:t>
      </w:r>
      <w:r>
        <w:rPr>
          <w:rFonts w:hint="default" w:ascii="Times New Roman" w:hAnsi="Times New Roman" w:eastAsia="宋体" w:cs="Times New Roman"/>
          <w:color w:val="000000"/>
          <w:sz w:val="32"/>
          <w:szCs w:val="32"/>
        </w:rPr>
        <w:t>下设机构12个</w:t>
      </w:r>
      <w:r>
        <w:rPr>
          <w:rFonts w:hint="default" w:ascii="Times New Roman" w:hAnsi="Times New Roman" w:cs="Times New Roman"/>
          <w:color w:val="000000"/>
          <w:sz w:val="32"/>
          <w:szCs w:val="32"/>
        </w:rPr>
        <w:t>，其中</w:t>
      </w:r>
      <w:r>
        <w:rPr>
          <w:rFonts w:hint="default" w:ascii="Times New Roman" w:hAnsi="Times New Roman" w:cs="Times New Roman"/>
          <w:color w:val="000000"/>
          <w:sz w:val="32"/>
          <w:szCs w:val="32"/>
        </w:rPr>
        <w:t>内设机构12个，分别为：办公室、政工股、计划财务股、法规和行政审批股、劳动关系股、人力资源和就业促进股、社会保险股、工资福利股、专业技术人员管理股、事业单位人员管理股、社会保险基金监督股、劳动保障监察股。</w:t>
      </w:r>
      <w:r>
        <w:rPr>
          <w:rFonts w:hint="default" w:ascii="Times New Roman" w:hAnsi="Times New Roman" w:eastAsia="宋体" w:cs="Times New Roman"/>
          <w:sz w:val="32"/>
          <w:szCs w:val="32"/>
        </w:rPr>
        <w:t>本部门现有编制人数104名,在编人员93人；离退休人数54人，其中退休人员54人。</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Fonts w:hint="default" w:ascii="Times New Roman" w:hAnsi="Times New Roman" w:eastAsia="宋体" w:cs="Times New Roman"/>
          <w:sz w:val="32"/>
          <w:szCs w:val="32"/>
        </w:rPr>
        <w:t>我单位只有本级，没有其他预算单位，因此纳入2025年度部门预算编制范围的为攸县人力资源和社会保障局。</w:t>
      </w:r>
    </w:p>
    <w:p>
      <w:pPr>
        <w:spacing w:after="2"/>
        <w:ind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2025年部门预算收入包括：一般公共预算拨款、其他收入；支出包括保障部门基本运行的经费：工资福利支出、商品和服务支出、对个人和家庭的补助。具体作如下安排：</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2025年年初预算数2028万元，其中，一般公共预算拨款1358万元，其他收入670万元；因上年结转数暂未最终确定，本年度收支预算中均不含上年结转数字。</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（二）支出预算：</w:t>
      </w:r>
      <w:r>
        <w:rPr>
          <w:rFonts w:hint="default" w:ascii="Times New Roman" w:hAnsi="Times New Roman" w:eastAsia="宋体" w:cs="Times New Roman"/>
          <w:color w:val="000000"/>
          <w:sz w:val="32"/>
          <w:szCs w:val="32"/>
        </w:rPr>
        <w:t>2025年年初预算数2028万元，其中：社会保障和就业支出</w:t>
      </w:r>
      <w:r>
        <w:rPr>
          <w:rFonts w:hint="default" w:ascii="Times New Roman" w:hAnsi="Times New Roman" w:eastAsia="宋体" w:cs="Times New Roman"/>
          <w:color w:val="000000"/>
          <w:sz w:val="32"/>
          <w:szCs w:val="32"/>
        </w:rPr>
        <w:t>1864</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rPr>
        <w:t>54</w:t>
      </w:r>
      <w:r>
        <w:rPr>
          <w:rFonts w:hint="default" w:ascii="Times New Roman" w:hAnsi="Times New Roman" w:eastAsia="宋体" w:cs="Times New Roman"/>
          <w:color w:val="000000"/>
          <w:sz w:val="32"/>
          <w:szCs w:val="32"/>
        </w:rPr>
        <w:t>万元，住房保障支出110万元。</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（三）预算收支增减变化情况说明：</w:t>
      </w:r>
      <w:r>
        <w:rPr>
          <w:rFonts w:hint="default" w:ascii="Times New Roman" w:hAnsi="Times New Roman" w:eastAsia="宋体" w:cs="Times New Roman"/>
          <w:color w:val="000000"/>
          <w:sz w:val="32"/>
          <w:szCs w:val="32"/>
        </w:rPr>
        <w:t>2025年度本单位年初预算数为2028万元，与上年相比持平。</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2025年一般公共预算拨款支出预算1358万元，具体安排情况如下：</w:t>
      </w:r>
      <w:r>
        <w:rPr>
          <w:rFonts w:hint="default" w:ascii="Times New Roman" w:hAnsi="Times New Roman" w:cs="Times New Roman"/>
          <w:color w:val="000000"/>
        </w:rPr>
        <w:t xml:space="preserve"> </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2025年年初人员类预算数为1148万元，其中，工资福利支出：基本工资</w:t>
      </w:r>
      <w:r>
        <w:rPr>
          <w:rFonts w:hint="default" w:ascii="Times New Roman" w:hAnsi="Times New Roman" w:eastAsia="宋体" w:cs="Times New Roman"/>
          <w:color w:val="000000"/>
          <w:sz w:val="32"/>
          <w:szCs w:val="32"/>
        </w:rPr>
        <w:t>373</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rPr>
        <w:t>207</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rPr>
        <w:t>273</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rPr>
        <w:t>124</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rPr>
        <w:t>54</w:t>
      </w:r>
      <w:r>
        <w:rPr>
          <w:rFonts w:hint="default" w:ascii="Times New Roman" w:hAnsi="Times New Roman" w:eastAsia="宋体" w:cs="Times New Roman"/>
          <w:color w:val="000000"/>
          <w:sz w:val="32"/>
          <w:szCs w:val="32"/>
        </w:rPr>
        <w:t>万元、其他社会保障缴费</w:t>
      </w:r>
      <w:r>
        <w:rPr>
          <w:rFonts w:hint="default" w:ascii="Times New Roman" w:hAnsi="Times New Roman" w:eastAsia="宋体" w:cs="Times New Roman"/>
          <w:color w:val="000000"/>
          <w:sz w:val="32"/>
          <w:szCs w:val="32"/>
        </w:rPr>
        <w:t>7</w:t>
      </w:r>
      <w:r>
        <w:rPr>
          <w:rFonts w:hint="default" w:ascii="Times New Roman" w:hAnsi="Times New Roman" w:eastAsia="宋体" w:cs="Times New Roman"/>
          <w:color w:val="000000"/>
          <w:sz w:val="32"/>
          <w:szCs w:val="32"/>
        </w:rPr>
        <w:t>万元、住房公积金</w:t>
      </w:r>
      <w:r>
        <w:rPr>
          <w:rFonts w:hint="default" w:ascii="Times New Roman" w:hAnsi="Times New Roman" w:eastAsia="宋体" w:cs="Times New Roman"/>
          <w:color w:val="000000"/>
          <w:sz w:val="32"/>
          <w:szCs w:val="32"/>
        </w:rPr>
        <w:t>110</w:t>
      </w:r>
      <w:r>
        <w:rPr>
          <w:rFonts w:hint="default" w:ascii="Times New Roman" w:hAnsi="Times New Roman" w:eastAsia="宋体" w:cs="Times New Roman"/>
          <w:color w:val="000000"/>
          <w:sz w:val="32"/>
          <w:szCs w:val="32"/>
        </w:rPr>
        <w:t>万元。</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2025年年初运转类预算数为210万元，其中包括：办公费22万元、印刷费15万元、水费4万元、电费6万元、邮电费5万元、差旅费15万元、维修</w:t>
      </w:r>
      <w:r>
        <w:rPr>
          <w:rFonts w:hint="default" w:ascii="Times New Roman" w:hAnsi="Times New Roman" w:eastAsia="宋体" w:cs="Times New Roman"/>
          <w:color w:val="000000"/>
          <w:sz w:val="32"/>
          <w:szCs w:val="32"/>
        </w:rPr>
        <w:t>(护)费</w:t>
      </w:r>
      <w:r>
        <w:rPr>
          <w:rFonts w:hint="default" w:ascii="Times New Roman" w:hAnsi="Times New Roman" w:eastAsia="宋体" w:cs="Times New Roman"/>
          <w:color w:val="000000"/>
          <w:sz w:val="32"/>
          <w:szCs w:val="32"/>
        </w:rPr>
        <w:t>7万元、租赁费2万元、会议费6万元、培训费6万元、公务接待费8万元、劳务费16万元、工会经费12万元、福利费18万元、其他交通费用68万元。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numPr>
          <w:ilvl w:val="0"/>
          <w:numId w:val="1"/>
        </w:numPr>
        <w:spacing w:after="2"/>
        <w:ind w:firstLine="660"/>
        <w:rPr>
          <w:rStyle w:val="12"/>
          <w:rFonts w:hint="default" w:ascii="Times New Roman" w:hAnsi="Times New Roman" w:eastAsia="宋体" w:cs="Times New Roman"/>
          <w:color w:val="000000"/>
          <w:sz w:val="32"/>
          <w:szCs w:val="32"/>
        </w:rPr>
      </w:pPr>
      <w:r>
        <w:rPr>
          <w:rStyle w:val="12"/>
          <w:rFonts w:hint="default" w:ascii="Times New Roman" w:hAnsi="Times New Roman" w:eastAsia="宋体" w:cs="Times New Roman"/>
          <w:color w:val="000000"/>
          <w:sz w:val="32"/>
          <w:szCs w:val="32"/>
        </w:rPr>
        <w:t>国有资本经营预算支出</w:t>
      </w:r>
    </w:p>
    <w:p>
      <w:pPr>
        <w:spacing w:after="2"/>
        <w:ind w:firstLine="660"/>
        <w:rPr>
          <w:rStyle w:val="12"/>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2025年本部门机关运行经费210万元，比上年预算增加127万元，主要原因是统计口径不一致。</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2025年本部门政府采购预算总额5.7万元，其中，货物类采购预算5.7万元。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2024年12月底，本部门共有公务用车0辆，其中，机要通信用车0辆，应急保障用车0辆，执法执勤用车0辆，特种专业技术用车0辆，其他按照规定配备的公务用车0辆；单位价值50万元以上通用设备0台，单位价值100万元以上专用设备0台。2025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本部门所有支出实行绩效目标管理，其中：纳入2025年部门整体支出绩效目标的金额为2028万元，基本支出1508万元，项目支出520万元。具体绩效目标详见附表。</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2025年一般公共预算拨款“三公”经费预算数为8万元，其中，公务接待费8万元，公务用车购置及运行费0万元（其中，公务用车购置费0万元，公务用车运行费0万元），因公出国（境）费0万元。2025年“三公”经费预算较2024年减少12万元，主要原因是公务接待费减少。</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after="2"/>
        <w:ind w:firstLine="660"/>
        <w:rPr>
          <w:rFonts w:hint="default" w:ascii="Times New Roman" w:hAnsi="Times New Roman" w:eastAsia="宋体" w:cs="Times New Roman"/>
        </w:rPr>
      </w:pPr>
      <w:r>
        <w:rPr>
          <w:rFonts w:hint="default" w:ascii="Times New Roman" w:hAnsi="Times New Roman" w:eastAsia="宋体" w:cs="Times New Roman"/>
          <w:color w:val="000000"/>
          <w:sz w:val="32"/>
          <w:szCs w:val="32"/>
        </w:rPr>
        <w:t>2025年预算安排会议费6万元，拟召开20次会议，人数1500人，内容为就业工作会议，社保会议，人事工作会议，业务培训会议；</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2025年预算安排培训费6万元，拟召开20次培训，人数1500人，内容为就业业务培训，社保业务培训；</w:t>
      </w:r>
    </w:p>
    <w:p>
      <w:pPr>
        <w:spacing w:after="2"/>
        <w:ind w:firstLine="660"/>
        <w:rPr>
          <w:rFonts w:hint="default" w:ascii="Times New Roman" w:hAnsi="Times New Roman" w:cs="Times New Roman"/>
        </w:rPr>
      </w:pPr>
      <w:r>
        <w:rPr>
          <w:rFonts w:hint="default" w:ascii="Times New Roman" w:hAnsi="Times New Roman" w:eastAsia="宋体" w:cs="Times New Roman"/>
          <w:sz w:val="32"/>
          <w:szCs w:val="32"/>
        </w:rPr>
        <w:t>未举办节庆、晚会、论坛、赛事活动，</w:t>
      </w:r>
      <w:r>
        <w:rPr>
          <w:rFonts w:hint="default" w:ascii="Times New Roman" w:hAnsi="Times New Roman" w:eastAsia="宋体" w:cs="Times New Roman"/>
          <w:sz w:val="32"/>
          <w:szCs w:val="32"/>
          <w:lang w:eastAsia="zh-CN"/>
        </w:rPr>
        <w:t>无</w:t>
      </w:r>
      <w:r>
        <w:rPr>
          <w:rFonts w:hint="default" w:ascii="Times New Roman" w:hAnsi="Times New Roman" w:eastAsia="宋体" w:cs="Times New Roman"/>
          <w:sz w:val="32"/>
          <w:szCs w:val="32"/>
        </w:rPr>
        <w:t>经费预算。</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本单位无单独网站，部门预算统一在攸县人民政府门户网站公开。</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after="2"/>
        <w:ind w:firstLine="660"/>
        <w:rPr>
          <w:rFonts w:hint="default" w:ascii="Times New Roman" w:hAnsi="Times New Roman" w:cs="Times New Roman"/>
        </w:rPr>
      </w:pPr>
    </w:p>
    <w:p>
      <w:pPr>
        <w:spacing w:after="2"/>
        <w:ind w:firstLine="660"/>
        <w:rPr>
          <w:rFonts w:hint="default" w:ascii="Times New Roman" w:hAnsi="Times New Roman" w:cs="Times New Roman"/>
        </w:rPr>
      </w:pP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2025年部门预算表</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Yjk1ODg3MGY0NDM3OGQ4NDhlOGYyNTYxNTZjZjIifQ=="/>
    <w:docVar w:name="KSO_WPS_MARK_KEY" w:val="088ed08e-40d3-4249-9486-bef68dc6f042"/>
  </w:docVars>
  <w:rsids>
    <w:rsidRoot w:val="006D4B1E"/>
    <w:rsid w:val="000F2B16"/>
    <w:rsid w:val="00154DF3"/>
    <w:rsid w:val="001A282A"/>
    <w:rsid w:val="002179B7"/>
    <w:rsid w:val="002A3AF6"/>
    <w:rsid w:val="004F6FD5"/>
    <w:rsid w:val="005F3EFA"/>
    <w:rsid w:val="0062079F"/>
    <w:rsid w:val="006D4B1E"/>
    <w:rsid w:val="007D1044"/>
    <w:rsid w:val="00814B82"/>
    <w:rsid w:val="0091033F"/>
    <w:rsid w:val="00911DBE"/>
    <w:rsid w:val="00993344"/>
    <w:rsid w:val="009A73BB"/>
    <w:rsid w:val="009F3618"/>
    <w:rsid w:val="00A33B1B"/>
    <w:rsid w:val="00B95F32"/>
    <w:rsid w:val="00BB495B"/>
    <w:rsid w:val="00C238EB"/>
    <w:rsid w:val="00E02247"/>
    <w:rsid w:val="00E555D0"/>
    <w:rsid w:val="00E771B0"/>
    <w:rsid w:val="00F75209"/>
    <w:rsid w:val="00FE3AD6"/>
    <w:rsid w:val="019C1745"/>
    <w:rsid w:val="077B68BF"/>
    <w:rsid w:val="0AB55AC9"/>
    <w:rsid w:val="0D3C4F80"/>
    <w:rsid w:val="0EE130CF"/>
    <w:rsid w:val="0F6956C4"/>
    <w:rsid w:val="115E60CE"/>
    <w:rsid w:val="141146D3"/>
    <w:rsid w:val="14784A5D"/>
    <w:rsid w:val="17A67AC2"/>
    <w:rsid w:val="1823790B"/>
    <w:rsid w:val="18355884"/>
    <w:rsid w:val="1D550E29"/>
    <w:rsid w:val="1EAF1A31"/>
    <w:rsid w:val="1EBA5829"/>
    <w:rsid w:val="1FED1EC6"/>
    <w:rsid w:val="2063467B"/>
    <w:rsid w:val="21B85CFD"/>
    <w:rsid w:val="22E04F40"/>
    <w:rsid w:val="23C23970"/>
    <w:rsid w:val="24FC1DF2"/>
    <w:rsid w:val="25645916"/>
    <w:rsid w:val="25A21694"/>
    <w:rsid w:val="26DA02D7"/>
    <w:rsid w:val="26E55F15"/>
    <w:rsid w:val="27E623AC"/>
    <w:rsid w:val="282052BC"/>
    <w:rsid w:val="2B795054"/>
    <w:rsid w:val="30195425"/>
    <w:rsid w:val="30380FAE"/>
    <w:rsid w:val="31D93E11"/>
    <w:rsid w:val="32357615"/>
    <w:rsid w:val="33295289"/>
    <w:rsid w:val="342D7D62"/>
    <w:rsid w:val="3B91694A"/>
    <w:rsid w:val="3CD35DD2"/>
    <w:rsid w:val="3E3451B3"/>
    <w:rsid w:val="3E7A1A0D"/>
    <w:rsid w:val="410D2834"/>
    <w:rsid w:val="450B5C90"/>
    <w:rsid w:val="452655C6"/>
    <w:rsid w:val="4A7F176D"/>
    <w:rsid w:val="4BD94BB6"/>
    <w:rsid w:val="4C0A58AA"/>
    <w:rsid w:val="4C5C3A28"/>
    <w:rsid w:val="4D801F4B"/>
    <w:rsid w:val="4F166A9E"/>
    <w:rsid w:val="50F04351"/>
    <w:rsid w:val="51202704"/>
    <w:rsid w:val="536461B4"/>
    <w:rsid w:val="55870ECF"/>
    <w:rsid w:val="564F73D8"/>
    <w:rsid w:val="56BC015E"/>
    <w:rsid w:val="5A0510BB"/>
    <w:rsid w:val="5B791423"/>
    <w:rsid w:val="5EBD76F3"/>
    <w:rsid w:val="61EB714F"/>
    <w:rsid w:val="66FA5389"/>
    <w:rsid w:val="6DE86669"/>
    <w:rsid w:val="71C64208"/>
    <w:rsid w:val="74B742EE"/>
    <w:rsid w:val="76CF33C0"/>
    <w:rsid w:val="77EE03ED"/>
    <w:rsid w:val="7959640F"/>
    <w:rsid w:val="7A394809"/>
    <w:rsid w:val="7A80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等线" w:hAnsi="等线" w:eastAsia="等线" w:cs="Times New Roman"/>
      <w:kern w:val="2"/>
      <w:sz w:val="21"/>
      <w:szCs w:val="22"/>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eastAsia="宋体"/>
      <w:b/>
      <w:kern w:val="44"/>
      <w:sz w:val="48"/>
      <w:szCs w:val="48"/>
    </w:rPr>
  </w:style>
  <w:style w:type="paragraph" w:styleId="3">
    <w:name w:val="heading 2"/>
    <w:basedOn w:val="1"/>
    <w:next w:val="1"/>
    <w:semiHidden/>
    <w:unhideWhenUsed/>
    <w:qFormat/>
    <w:uiPriority w:val="0"/>
    <w:pPr>
      <w:widowControl/>
      <w:spacing w:beforeAutospacing="1" w:afterAutospacing="1"/>
      <w:jc w:val="left"/>
      <w:outlineLvl w:val="1"/>
    </w:pPr>
    <w:rPr>
      <w:rFonts w:ascii="宋体" w:hAnsi="宋体" w:eastAsia="宋体"/>
      <w:b/>
      <w:kern w:val="0"/>
      <w:sz w:val="36"/>
      <w:szCs w:val="36"/>
    </w:rPr>
  </w:style>
  <w:style w:type="paragraph" w:styleId="4">
    <w:name w:val="heading 3"/>
    <w:basedOn w:val="1"/>
    <w:next w:val="1"/>
    <w:semiHidden/>
    <w:unhideWhenUsed/>
    <w:qFormat/>
    <w:uiPriority w:val="0"/>
    <w:pPr>
      <w:widowControl/>
      <w:spacing w:beforeAutospacing="1" w:afterAutospacing="1"/>
      <w:jc w:val="left"/>
      <w:outlineLvl w:val="2"/>
    </w:pPr>
    <w:rPr>
      <w:rFonts w:ascii="宋体" w:hAnsi="宋体" w:eastAsia="宋体"/>
      <w:b/>
      <w:kern w:val="0"/>
      <w:sz w:val="27"/>
      <w:szCs w:val="27"/>
    </w:rPr>
  </w:style>
  <w:style w:type="paragraph" w:styleId="5">
    <w:name w:val="heading 4"/>
    <w:basedOn w:val="1"/>
    <w:next w:val="1"/>
    <w:semiHidden/>
    <w:unhideWhenUsed/>
    <w:qFormat/>
    <w:uiPriority w:val="0"/>
    <w:pPr>
      <w:widowControl/>
      <w:spacing w:beforeAutospacing="1" w:afterAutospacing="1"/>
      <w:jc w:val="left"/>
      <w:outlineLvl w:val="3"/>
    </w:pPr>
    <w:rPr>
      <w:rFonts w:ascii="宋体" w:hAnsi="宋体" w:eastAsia="宋体"/>
      <w:b/>
      <w:kern w:val="0"/>
      <w:sz w:val="24"/>
      <w:szCs w:val="24"/>
    </w:rPr>
  </w:style>
  <w:style w:type="paragraph" w:styleId="6">
    <w:name w:val="heading 5"/>
    <w:basedOn w:val="1"/>
    <w:next w:val="1"/>
    <w:semiHidden/>
    <w:unhideWhenUsed/>
    <w:qFormat/>
    <w:uiPriority w:val="0"/>
    <w:pPr>
      <w:widowControl/>
      <w:spacing w:beforeAutospacing="1" w:afterAutospacing="1"/>
      <w:jc w:val="left"/>
      <w:outlineLvl w:val="4"/>
    </w:pPr>
    <w:rPr>
      <w:rFonts w:ascii="宋体" w:hAnsi="宋体" w:eastAsia="宋体"/>
      <w:b/>
      <w:kern w:val="0"/>
      <w:sz w:val="20"/>
      <w:szCs w:val="20"/>
    </w:rPr>
  </w:style>
  <w:style w:type="paragraph" w:styleId="7">
    <w:name w:val="heading 6"/>
    <w:basedOn w:val="1"/>
    <w:next w:val="1"/>
    <w:semiHidden/>
    <w:unhideWhenUsed/>
    <w:qFormat/>
    <w:uiPriority w:val="0"/>
    <w:pPr>
      <w:widowControl/>
      <w:spacing w:beforeAutospacing="1" w:afterAutospacing="1"/>
      <w:jc w:val="left"/>
      <w:outlineLvl w:val="5"/>
    </w:pPr>
    <w:rPr>
      <w:rFonts w:ascii="宋体" w:hAnsi="宋体" w:eastAsia="宋体"/>
      <w:b/>
      <w:kern w:val="0"/>
      <w:sz w:val="15"/>
      <w:szCs w:val="15"/>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9">
    <w:name w:val="Normal (Web)"/>
    <w:basedOn w:val="1"/>
    <w:qFormat/>
    <w:uiPriority w:val="0"/>
    <w:pPr>
      <w:widowControl/>
      <w:spacing w:beforeAutospacing="1" w:afterAutospacing="1"/>
      <w:jc w:val="left"/>
    </w:pPr>
    <w:rPr>
      <w:rFonts w:hint="default" w:ascii="宋体" w:hAnsi="宋体" w:eastAsia="宋体"/>
      <w:kern w:val="0"/>
      <w:sz w:val="24"/>
      <w:szCs w:val="24"/>
    </w:rPr>
  </w:style>
  <w:style w:type="character" w:styleId="12">
    <w:name w:val="Strong"/>
    <w:basedOn w:val="11"/>
    <w:qFormat/>
    <w:uiPriority w:val="0"/>
    <w:rPr>
      <w:b/>
    </w:rPr>
  </w:style>
  <w:style w:type="paragraph" w:customStyle="1" w:styleId="13">
    <w:name w:val="18"/>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3953</Words>
  <Characters>4138</Characters>
  <Lines>30</Lines>
  <Paragraphs>8</Paragraphs>
  <TotalTime>199</TotalTime>
  <ScaleCrop>false</ScaleCrop>
  <LinksUpToDate>false</LinksUpToDate>
  <CharactersWithSpaces>4231</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2025-06-23T00:51:53Z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ies>
</file>