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Autospacing="0" w:after="2" w:afterAutospacing="0"/>
        <w:jc w:val="center"/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eastAsia="zh-CN"/>
        </w:rPr>
      </w:pPr>
      <w:bookmarkStart w:id="0" w:name="_GoBack"/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202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年度攸县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eastAsia="zh-CN"/>
        </w:rPr>
        <w:t>疾病预防控制中心</w:t>
      </w:r>
    </w:p>
    <w:p>
      <w:pPr>
        <w:spacing w:before="0" w:beforeAutospacing="0" w:after="2" w:afterAutospacing="0"/>
        <w:jc w:val="center"/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eastAsia="zh-C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eastAsia="zh-CN"/>
        </w:rPr>
        <w:t>（卫生综合监督执法局）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部门预算公开说明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2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负责全县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疾病预防与控制、疫情和突发公共卫生事件应急处置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健康危害因素监测与评价、健康教育与健康促进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疾病防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制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、检验检测、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冷链运转、基本公共卫生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培训与技术指导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卫生许可现场审核、医疗机构、母婴保健、职业卫生、放射诊疗卫生、学校卫生、公共场所及消毒产品、计划生育等卫生综合监督执法工作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完成县委、县政府交办的其他任务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攸县疾病预防控制中心（卫生综合监督执法局）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内设机构包括：下设机构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个,其中内设机构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个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,分别为：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疾病预防控制中心、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卫生综合监督执法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本部门现有编制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人数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94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名,在编人员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74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；离退休人数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45人，其中退休人员45人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eastAsia="等线" w:cs="Times New Roman"/>
          <w:color w:val="000000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我单位只有本级，没有其他预算单位，因此纳入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2025年度部门预算编制范围的为攸县疾病预防控制中心（卫生综合监督执法局）。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1158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1158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，其他收入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1158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万元，其中：社会保障和就业支出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1107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万元，住房保障支出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年度本单位年初预算数为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1158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万元，与上年相比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增加42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万元，主要原因是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人员工资调标与五险二金缴费基数增加，从而导致人员经费增加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支出预算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1158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年年初人员类预算数为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万元，其中，工资福利支出：基本工资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万元、津贴补贴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万元、奖金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万元、机关事业单位基本养老保险缴费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万元、职工基本医疗保险缴费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其他社会保障缴费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住房公积金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万元、其他工资福利支出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864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 xml:space="preserve">                </w:t>
      </w:r>
    </w:p>
    <w:p>
      <w:pPr>
        <w:numPr>
          <w:ilvl w:val="0"/>
          <w:numId w:val="0"/>
        </w:numPr>
        <w:spacing w:before="0" w:beforeAutospacing="0" w:after="2" w:afterAutospacing="0"/>
        <w:ind w:right="0" w:rightChars="0" w:firstLine="643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年年初运转类预算数为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工会经费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福利费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其他交通费用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其他商品和服务支出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年年初特定目标类预算数为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color="auto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2"/>
        </w:num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color="auto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年本部门机关运行经费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万元，预算与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比上年预算减少34万元，主要原因是落实政府“过紧日子”的要求，主动压减一般性支出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年本部门政府采购预算总额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年12月底，本部门共有公务用车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年拟新增配置公务用车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辆；新增配备单位价值50万元以上通用设备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年部门整体支出绩效目标的金额为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1158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其中，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基本支出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1158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万元，公务用车购置及运行费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万元（其中，公务用车购置费0万元，公务用车运行费0万元），因公出国（境）费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年“三公”经费预算较202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，主要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原因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本单位无此项预算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年预算安排会议费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我单位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2025年度无会议费预算支出；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年预算安排培训费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，我单位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2025年度无培训费预算支出；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未举办节庆、晚会、论坛、赛事活动，经费预算0万元。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</w:p>
    <w:bookmarkEnd w:id="0"/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283" w:usb1="180F0C1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C1CD0"/>
    <w:rsid w:val="11B10F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paragraph" w:styleId="5">
    <w:name w:val="heading 4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/>
    </w:rPr>
  </w:style>
  <w:style w:type="paragraph" w:styleId="6">
    <w:name w:val="heading 5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/>
    </w:rPr>
  </w:style>
  <w:style w:type="paragraph" w:styleId="7">
    <w:name w:val="heading 6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9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3086</Words>
  <Characters>3245</Characters>
  <Paragraphs>105</Paragraphs>
  <TotalTime>144</TotalTime>
  <ScaleCrop>false</ScaleCrop>
  <LinksUpToDate>false</LinksUpToDate>
  <CharactersWithSpaces>3350</CharactersWithSpaces>
  <Application>WPS Office_11.1.0.10168_F1E327BC-269C-435d-A152-05C5408002CA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2025-06-23T00:49:51Z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c660fd440d9f417b8739b8c6e704f4bc_23</vt:lpwstr>
  </property>
  <property fmtid="{D5CDD505-2E9C-101B-9397-08002B2CF9AE}" pid="4" name="KSOTemplateDocerSaveRecord">
    <vt:lpwstr>eyJoZGlkIjoiNzE1ZjhkZmE5MDQ3N2M0MWIwYjAwZWFlNWZlOGE3MzUiLCJ1c2VySWQiOiI0Mjk1OTY5MTYifQ==</vt:lpwstr>
  </property>
</Properties>
</file>