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人大常委会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 xml:space="preserve">组织本级人大的工作。县级人大常委会负责本级人大各项组织工作，包括领导和主持本级人大代表的选举；召集本级人大会议；在本级人大闭会期间，领导本级人大各专委会的工作；联系本级人大代表；组织代表开展活动；依法补选上一级人大出缺的代表或罢免个别人大代表； 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。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2、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确保宪法、法律、行政法规和上级人大及其常委会决议的遵守和执行。县级人大常委会在本行政区域内，保证宪法、法律、行政法规、上级人大及其常委会的决议的遵守和执行；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3、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重大事项决定权。讨论、决定本行政区域内的政治、经济、教育、科学、文化、卫生、环境和资源保护、民政、民族等工作的重大事项；根据本级人民政府的建议，决定对本行政区域内的国民经济计划和社会发展计划、预算的部分变更；决定授予地方性的荣誉称号等；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 </w:t>
      </w:r>
    </w:p>
    <w:p>
      <w:pPr>
        <w:tabs>
          <w:tab w:val="left" w:pos="20"/>
        </w:tabs>
        <w:spacing w:line="560" w:lineRule="exact"/>
        <w:ind w:firstLine="640" w:firstLineChars="20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4、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人事任免权。在本级人大闭会期间，决定本级人民政府副职领导人的个别任免；在本级人民政府、人民法院和人民检察院正职领导人员因故不能担任职务时，从本级人民政府、人民法院和人民检察院副职领导人员中决定代理人选；根据本级人民政府正职领导人的提名，决定本级人民政府其他组成人员的任免；在本级人大闭会期间，决定撤销本级人民政府个别副职领导人员的职务；决定撤销由它任命的本级人民政府其他组成人员和人民法院副院长、庭长、副庭长、审判委员会委员、审判员，人民检察院副检察长、检察委员会委员、检察员；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5、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监督权。监督同级“一府一委两院”的工作；受理人民群众对上述机关及其工作人员的申诉意见；撤销下级人大不适当的决议；撤销本级人民政府不适当的决定和命令等。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tabs>
          <w:tab w:val="left" w:pos="20"/>
        </w:tabs>
        <w:spacing w:line="560" w:lineRule="exact"/>
        <w:ind w:firstLine="624" w:firstLineChars="195"/>
        <w:rPr>
          <w:rFonts w:hint="default" w:ascii="Times New Roman" w:hAnsi="Times New Roman" w:cs="Times New Roman" w:eastAsiaTheme="minorEastAsia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  <w:shd w:val="clear" w:color="auto" w:fill="FFFFFF"/>
          <w:lang w:eastAsia="zh-CN"/>
        </w:rPr>
        <w:t>攸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  <w:shd w:val="clear" w:color="auto" w:fill="FFFFFF"/>
        </w:rPr>
        <w:t>县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  <w:shd w:val="clear" w:color="auto" w:fill="FFFFFF"/>
          <w:lang w:eastAsia="zh-CN"/>
        </w:rPr>
        <w:t>人民代表大会常务委员会下设八个工作机构，即</w:t>
      </w:r>
      <w:r>
        <w:rPr>
          <w:rFonts w:hint="default" w:ascii="Times New Roman" w:hAnsi="Times New Roman" w:cs="Times New Roman" w:eastAsiaTheme="minorEastAsia"/>
          <w:color w:val="000000"/>
          <w:kern w:val="2"/>
          <w:sz w:val="32"/>
          <w:szCs w:val="32"/>
          <w:lang w:val="en-US" w:eastAsia="zh-CN" w:bidi="ar-SA"/>
        </w:rPr>
        <w:t>监司委（法制委）、财经委（预算工委）、教科文卫委（民族华侨外事委）、环资委、农业与农村委、社建委6个专门委员会，常委会下设办公室、联工委2个工作委员会，联工委下设副科级机构</w:t>
      </w: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  <w:shd w:val="clear" w:color="auto" w:fill="FFFFFF"/>
        </w:rPr>
        <w:t xml:space="preserve">县人大代表服务中心。 </w:t>
      </w:r>
    </w:p>
    <w:p>
      <w:pPr>
        <w:tabs>
          <w:tab w:val="left" w:pos="20"/>
        </w:tabs>
        <w:spacing w:line="560" w:lineRule="exact"/>
        <w:ind w:firstLine="624" w:firstLineChars="195"/>
        <w:rPr>
          <w:rFonts w:hint="default" w:ascii="Times New Roman" w:hAnsi="Times New Roman" w:cs="Times New Roman" w:eastAsiaTheme="minorEastAsia"/>
          <w:b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  <w:shd w:val="clear" w:color="auto" w:fill="FFFFFF"/>
        </w:rPr>
        <w:t>现有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在职人员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人，离休人员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人，退休人员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人，劳务派遣人员1人，遗属补助人员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人，共计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人。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 xml:space="preserve"> 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2025年度部门预算编制范围的为攸县人大常委会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983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1253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人员减少了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983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595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对个人和家庭的补助：离休费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39万元。</w:t>
      </w:r>
    </w:p>
    <w:p>
      <w:pPr>
        <w:numPr>
          <w:ilvl w:val="0"/>
          <w:numId w:val="0"/>
        </w:numPr>
        <w:spacing w:before="0" w:beforeAutospacing="0" w:after="2" w:afterAutospacing="0"/>
        <w:ind w:left="660" w:leftChars="0"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邮电费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差旅费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劳务费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2万元、工会经费7万元、福利费10万元、其他交通费用40万元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人大代表履职活动经费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人大各项会议及专项工作经费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比上年预算增加67万元，主要原因是增加培训费用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，无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单位价值100万元以上专用设备。202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无新增购置计划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873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585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2025年度无培训费预算支出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F9E184"/>
    <w:multiLevelType w:val="singleLevel"/>
    <w:tmpl w:val="DFF9E1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7F36A34"/>
    <w:rsid w:val="1823790B"/>
    <w:rsid w:val="18355884"/>
    <w:rsid w:val="1A441D4A"/>
    <w:rsid w:val="1D550E29"/>
    <w:rsid w:val="1E51259C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46357"/>
    <w:rsid w:val="30380FAE"/>
    <w:rsid w:val="31D93E11"/>
    <w:rsid w:val="32357615"/>
    <w:rsid w:val="33295289"/>
    <w:rsid w:val="342D7D62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791423"/>
    <w:rsid w:val="5EBD76F3"/>
    <w:rsid w:val="61EB714F"/>
    <w:rsid w:val="63107694"/>
    <w:rsid w:val="64B6611F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4447</Words>
  <Characters>4743</Characters>
  <TotalTime>4</TotalTime>
  <ScaleCrop>false</ScaleCrop>
  <LinksUpToDate>false</LinksUpToDate>
  <CharactersWithSpaces>4835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C5BA483E68864077834F45237522EDE1_13</vt:lpwstr>
  </property>
  <property fmtid="{D5CDD505-2E9C-101B-9397-08002B2CF9AE}" pid="4" name="KSOTemplateDocerSaveRecord">
    <vt:lpwstr>eyJoZGlkIjoiZDY2NDM2YTNiNjNlMjBlZWIwMTQyYThlZDIxZTVmMTgiLCJ1c2VySWQiOiI2NTk5NTM2NDgifQ==</vt:lpwstr>
  </property>
</Properties>
</file>