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附件</w:t>
      </w:r>
      <w:r>
        <w:rPr>
          <w:rFonts w:hint="eastAsia" w:eastAsia="仿宋_GB2312" w:cs="Times New Roman"/>
          <w:color w:val="auto"/>
          <w:kern w:val="2"/>
          <w:sz w:val="32"/>
          <w:szCs w:val="32"/>
          <w:lang w:val="en-US" w:eastAsia="zh-CN" w:bidi="ar-SA"/>
        </w:rPr>
        <w:t>1</w:t>
      </w:r>
    </w:p>
    <w:p>
      <w:pPr>
        <w:keepNext w:val="0"/>
        <w:keepLines w:val="0"/>
        <w:pageBreakBefore w:val="0"/>
        <w:widowControl/>
        <w:kinsoku/>
        <w:wordWrap/>
        <w:overflowPunct/>
        <w:topLinePunct w:val="0"/>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关于推进养老服务</w:t>
      </w:r>
      <w:bookmarkStart w:id="0" w:name="_GoBack"/>
      <w:bookmarkEnd w:id="0"/>
      <w:r>
        <w:rPr>
          <w:rFonts w:hint="eastAsia" w:ascii="方正小标宋简体" w:hAnsi="方正小标宋简体" w:eastAsia="方正小标宋简体" w:cs="方正小标宋简体"/>
          <w:color w:val="auto"/>
          <w:kern w:val="0"/>
          <w:sz w:val="44"/>
          <w:szCs w:val="44"/>
          <w:lang w:val="en-US" w:eastAsia="zh-CN"/>
        </w:rPr>
        <w:t>高质量发展的实施意见</w:t>
      </w:r>
    </w:p>
    <w:p>
      <w:pPr>
        <w:pStyle w:val="7"/>
        <w:keepNext w:val="0"/>
        <w:keepLines w:val="0"/>
        <w:pageBreakBefore w:val="0"/>
        <w:widowControl/>
        <w:kinsoku/>
        <w:wordWrap/>
        <w:overflowPunct/>
        <w:topLinePunct w:val="0"/>
        <w:autoSpaceDE/>
        <w:autoSpaceDN/>
        <w:bidi w:val="0"/>
        <w:adjustRightInd/>
        <w:snapToGrid/>
        <w:spacing w:afterAutospacing="0" w:line="580" w:lineRule="exact"/>
        <w:jc w:val="center"/>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（征求意见稿）</w:t>
      </w:r>
    </w:p>
    <w:p>
      <w:pPr>
        <w:keepNext w:val="0"/>
        <w:keepLines w:val="0"/>
        <w:pageBreakBefore w:val="0"/>
        <w:kinsoku/>
        <w:wordWrap/>
        <w:overflowPunct/>
        <w:topLinePunct w:val="0"/>
        <w:autoSpaceDE/>
        <w:autoSpaceDN/>
        <w:bidi w:val="0"/>
        <w:adjustRightInd/>
        <w:snapToGrid/>
        <w:spacing w:afterAutospacing="0" w:line="580" w:lineRule="exact"/>
        <w:textAlignment w:val="auto"/>
        <w:rPr>
          <w:color w:va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rPr>
        <w:t>为进一步扩大养老服务供给，促进养老服务消费，加快推进我市养老服务高质量发展，有效满足老年人多样化、多层次养老服务需求，根据《国务院办公厅关于推进养老服务发展的意见》（国办发〔</w:t>
      </w:r>
      <w:r>
        <w:rPr>
          <w:rFonts w:hint="eastAsia" w:eastAsia="仿宋_GB2312" w:cs="Times New Roman"/>
          <w:color w:val="auto"/>
          <w:kern w:val="2"/>
          <w:sz w:val="32"/>
          <w:szCs w:val="32"/>
          <w:lang w:val="en-US" w:eastAsia="zh-CN" w:bidi="ar-SA"/>
        </w:rPr>
        <w:t>2019</w:t>
      </w:r>
      <w:r>
        <w:rPr>
          <w:rFonts w:hint="eastAsia" w:ascii="仿宋_GB2312" w:hAnsi="仿宋_GB2312" w:eastAsia="仿宋_GB2312" w:cs="仿宋_GB2312"/>
          <w:i w:val="0"/>
          <w:caps w:val="0"/>
          <w:color w:val="auto"/>
          <w:spacing w:val="0"/>
          <w:sz w:val="32"/>
          <w:szCs w:val="32"/>
          <w:shd w:val="clear" w:fill="FFFFFF"/>
        </w:rPr>
        <w:t>〕</w:t>
      </w:r>
      <w:r>
        <w:rPr>
          <w:rFonts w:hint="eastAsia" w:eastAsia="仿宋_GB2312" w:cs="Times New Roman"/>
          <w:color w:val="auto"/>
          <w:kern w:val="2"/>
          <w:sz w:val="32"/>
          <w:szCs w:val="32"/>
          <w:lang w:val="en-US" w:eastAsia="zh-CN" w:bidi="ar-SA"/>
        </w:rPr>
        <w:t>5</w:t>
      </w:r>
      <w:r>
        <w:rPr>
          <w:rFonts w:hint="eastAsia" w:ascii="仿宋_GB2312" w:hAnsi="仿宋_GB2312" w:eastAsia="仿宋_GB2312" w:cs="仿宋_GB2312"/>
          <w:i w:val="0"/>
          <w:caps w:val="0"/>
          <w:color w:val="auto"/>
          <w:spacing w:val="0"/>
          <w:sz w:val="32"/>
          <w:szCs w:val="32"/>
          <w:shd w:val="clear" w:fill="FFFFFF"/>
        </w:rPr>
        <w:t>号）、《民政部关于进一步扩大养老服务供给促进养老服务消费的实施意见》（民发〔</w:t>
      </w:r>
      <w:r>
        <w:rPr>
          <w:rFonts w:hint="eastAsia" w:eastAsia="仿宋_GB2312" w:cs="Times New Roman"/>
          <w:color w:val="auto"/>
          <w:kern w:val="2"/>
          <w:sz w:val="32"/>
          <w:szCs w:val="32"/>
          <w:lang w:val="en-US" w:eastAsia="zh-CN" w:bidi="ar-SA"/>
        </w:rPr>
        <w:t>2019〕88</w:t>
      </w:r>
      <w:r>
        <w:rPr>
          <w:rFonts w:hint="eastAsia" w:ascii="仿宋_GB2312" w:hAnsi="仿宋_GB2312" w:eastAsia="仿宋_GB2312" w:cs="仿宋_GB2312"/>
          <w:i w:val="0"/>
          <w:caps w:val="0"/>
          <w:color w:val="auto"/>
          <w:spacing w:val="0"/>
          <w:sz w:val="32"/>
          <w:szCs w:val="32"/>
          <w:shd w:val="clear" w:fill="FFFFFF"/>
        </w:rPr>
        <w:t>号）、《湖南省人民政府办公厅关于推进养老服务高质量发展的实施意见》（湘政办发〔</w:t>
      </w:r>
      <w:r>
        <w:rPr>
          <w:rFonts w:hint="eastAsia" w:eastAsia="仿宋_GB2312" w:cs="Times New Roman"/>
          <w:color w:val="auto"/>
          <w:kern w:val="2"/>
          <w:sz w:val="32"/>
          <w:szCs w:val="32"/>
          <w:lang w:val="en-US" w:eastAsia="zh-CN" w:bidi="ar-SA"/>
        </w:rPr>
        <w:t>2020〕59</w:t>
      </w:r>
      <w:r>
        <w:rPr>
          <w:rFonts w:hint="eastAsia" w:ascii="仿宋_GB2312" w:hAnsi="仿宋_GB2312" w:eastAsia="仿宋_GB2312" w:cs="仿宋_GB2312"/>
          <w:i w:val="0"/>
          <w:caps w:val="0"/>
          <w:color w:val="auto"/>
          <w:spacing w:val="0"/>
          <w:sz w:val="32"/>
          <w:szCs w:val="32"/>
          <w:shd w:val="clear" w:fill="FFFFFF"/>
        </w:rPr>
        <w:t>号）等精神，结合</w:t>
      </w:r>
      <w:r>
        <w:rPr>
          <w:rFonts w:hint="eastAsia" w:ascii="仿宋_GB2312" w:hAnsi="仿宋_GB2312" w:eastAsia="仿宋_GB2312" w:cs="仿宋_GB2312"/>
          <w:i w:val="0"/>
          <w:caps w:val="0"/>
          <w:color w:val="auto"/>
          <w:spacing w:val="0"/>
          <w:sz w:val="32"/>
          <w:szCs w:val="32"/>
          <w:shd w:val="clear" w:fill="FFFFFF"/>
          <w:lang w:val="en-US" w:eastAsia="zh-CN"/>
        </w:rPr>
        <w:t>株洲</w:t>
      </w:r>
      <w:r>
        <w:rPr>
          <w:rFonts w:hint="eastAsia" w:ascii="仿宋_GB2312" w:hAnsi="仿宋_GB2312" w:eastAsia="仿宋_GB2312" w:cs="仿宋_GB2312"/>
          <w:i w:val="0"/>
          <w:caps w:val="0"/>
          <w:color w:val="auto"/>
          <w:spacing w:val="0"/>
          <w:sz w:val="32"/>
          <w:szCs w:val="32"/>
          <w:shd w:val="clear" w:fill="FFFFFF"/>
        </w:rPr>
        <w:t>实际，</w:t>
      </w:r>
      <w:r>
        <w:rPr>
          <w:rFonts w:hint="eastAsia" w:ascii="仿宋_GB2312" w:hAnsi="仿宋_GB2312" w:eastAsia="仿宋_GB2312" w:cs="仿宋_GB2312"/>
          <w:i w:val="0"/>
          <w:caps w:val="0"/>
          <w:color w:val="auto"/>
          <w:spacing w:val="0"/>
          <w:sz w:val="32"/>
          <w:szCs w:val="32"/>
          <w:shd w:val="clear" w:fill="FFFFFF"/>
          <w:lang w:val="en-US" w:eastAsia="zh-CN"/>
        </w:rPr>
        <w:t>现就推进养老服务高质量发展提出如下实施意见：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val="0"/>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一、</w:t>
      </w:r>
      <w:r>
        <w:rPr>
          <w:rFonts w:hint="eastAsia" w:ascii="黑体" w:hAnsi="黑体" w:eastAsia="黑体" w:cs="黑体"/>
          <w:b w:val="0"/>
          <w:bCs w:val="0"/>
          <w:i w:val="0"/>
          <w:caps w:val="0"/>
          <w:color w:val="auto"/>
          <w:spacing w:val="0"/>
          <w:sz w:val="32"/>
          <w:szCs w:val="32"/>
          <w:shd w:val="clear" w:fill="FFFFFF"/>
          <w:lang w:val="en-US" w:eastAsia="zh-CN"/>
        </w:rPr>
        <w:t xml:space="preserve">优化养老服务布局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val="en-US" w:eastAsia="zh-CN"/>
        </w:rPr>
        <w:t>（一）推进城市居家和社区养老服务布局。</w:t>
      </w:r>
      <w:r>
        <w:rPr>
          <w:rFonts w:hint="eastAsia" w:ascii="仿宋_GB2312" w:hAnsi="仿宋_GB2312" w:eastAsia="仿宋_GB2312" w:cs="仿宋_GB2312"/>
          <w:i w:val="0"/>
          <w:iCs w:val="0"/>
          <w:caps w:val="0"/>
          <w:color w:val="auto"/>
          <w:spacing w:val="0"/>
          <w:sz w:val="32"/>
          <w:szCs w:val="32"/>
          <w:shd w:val="clear" w:fill="FFFFFF"/>
        </w:rPr>
        <w:t>要推进养老服务骨干网建设，发展集中管理运营的社区嵌入式、分布式、小型化、连锁化的养老服务设施和带护理型床位的日间照料机构。增加家庭服务功能模块，鼓励设立家庭养老服务床位。</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精心培育一批品牌化、规模化、连锁化的居家和社区养老服务机构或组织，支持养老服务企业或机构通过兼并重组、连锁经营、承接政府购买服务等方式做大做强，每个县（市、区）培养</w:t>
      </w:r>
      <w:r>
        <w:rPr>
          <w:rFonts w:hint="eastAsia" w:eastAsia="仿宋_GB2312" w:cs="Times New Roman"/>
          <w:color w:val="auto"/>
          <w:kern w:val="2"/>
          <w:sz w:val="32"/>
          <w:szCs w:val="32"/>
          <w:lang w:val="en-US" w:eastAsia="zh-CN" w:bidi="ar-SA"/>
        </w:rPr>
        <w:t>3—5</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个养老服务领军企业或社会组织，加快形成一批专业服务能力强、综合效益明显、可持续发展的国省知名品牌。</w:t>
      </w:r>
      <w:r>
        <w:rPr>
          <w:rFonts w:hint="eastAsia" w:ascii="仿宋_GB2312" w:hAnsi="仿宋_GB2312" w:eastAsia="仿宋_GB2312" w:cs="仿宋_GB2312"/>
          <w:i w:val="0"/>
          <w:iCs w:val="0"/>
          <w:caps w:val="0"/>
          <w:color w:val="auto"/>
          <w:spacing w:val="0"/>
          <w:sz w:val="32"/>
          <w:szCs w:val="32"/>
          <w:shd w:val="clear" w:fill="FFFFFF"/>
        </w:rPr>
        <w:t>在每个</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县市区</w:t>
      </w:r>
      <w:r>
        <w:rPr>
          <w:rFonts w:hint="eastAsia" w:ascii="仿宋_GB2312" w:hAnsi="仿宋_GB2312" w:eastAsia="仿宋_GB2312" w:cs="仿宋_GB2312"/>
          <w:i w:val="0"/>
          <w:iCs w:val="0"/>
          <w:caps w:val="0"/>
          <w:color w:val="auto"/>
          <w:spacing w:val="0"/>
          <w:sz w:val="32"/>
          <w:szCs w:val="32"/>
          <w:shd w:val="clear" w:fill="FFFFFF"/>
        </w:rPr>
        <w:t>建设一所以上集康复治疗、医疗护理、养老服务为一体的示范性</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"http://www.yanglaocn.com/yanglaoyuan" \o "养老机构" \t "https://www.yanglaocn.com/shtml/20210105/_blank"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1"/>
          <w:rFonts w:hint="eastAsia" w:ascii="仿宋_GB2312" w:hAnsi="仿宋_GB2312" w:eastAsia="仿宋_GB2312" w:cs="仿宋_GB2312"/>
          <w:i w:val="0"/>
          <w:iCs w:val="0"/>
          <w:caps w:val="0"/>
          <w:color w:val="auto"/>
          <w:spacing w:val="0"/>
          <w:sz w:val="32"/>
          <w:szCs w:val="32"/>
          <w:u w:val="none"/>
          <w:shd w:val="clear" w:fill="FFFFFF"/>
        </w:rPr>
        <w:t>养老机构</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；在每个街道建设具备全托、日托、上门服务等功能的综合养老服务中心；在90%以上的社区建设兼具全托、日托、助餐、助洁、助浴、助护等服务的日间照料机构，打造</w:t>
      </w:r>
      <w:r>
        <w:rPr>
          <w:rFonts w:hint="eastAsia" w:eastAsia="仿宋_GB2312" w:cs="Times New Roman"/>
          <w:color w:val="auto"/>
          <w:kern w:val="2"/>
          <w:sz w:val="32"/>
          <w:szCs w:val="32"/>
          <w:lang w:val="en-US" w:eastAsia="zh-CN" w:bidi="ar-SA"/>
        </w:rPr>
        <w:t>15</w:t>
      </w:r>
      <w:r>
        <w:rPr>
          <w:rFonts w:hint="eastAsia" w:ascii="仿宋_GB2312" w:hAnsi="仿宋_GB2312" w:eastAsia="仿宋_GB2312" w:cs="仿宋_GB2312"/>
          <w:i w:val="0"/>
          <w:iCs w:val="0"/>
          <w:caps w:val="0"/>
          <w:color w:val="auto"/>
          <w:spacing w:val="0"/>
          <w:sz w:val="32"/>
          <w:szCs w:val="32"/>
          <w:shd w:val="clear" w:fill="FFFFFF"/>
        </w:rPr>
        <w:t>分钟及以内社区养老服务圈。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（二）推进农村养老服务布局。</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鼓励</w:t>
      </w:r>
      <w:r>
        <w:rPr>
          <w:rFonts w:hint="eastAsia" w:ascii="仿宋_GB2312" w:hAnsi="仿宋_GB2312" w:eastAsia="仿宋_GB2312" w:cs="仿宋_GB2312"/>
          <w:i w:val="0"/>
          <w:iCs w:val="0"/>
          <w:caps w:val="0"/>
          <w:color w:val="auto"/>
          <w:spacing w:val="0"/>
          <w:sz w:val="32"/>
          <w:szCs w:val="32"/>
          <w:shd w:val="clear" w:fill="FFFFFF"/>
        </w:rPr>
        <w:t>基础条件好、辐射能力强、交通便利的乡镇，建设具备医疗护理、养老服务功能的区域性（中心）</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"http://www.yanglaocn.com/yanglaoyuan/yly/?BTSelect=3" \o "敬老院" \t "https://www.yanglaocn.com/shtml/20210105/_blank"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1"/>
          <w:rFonts w:hint="eastAsia" w:ascii="仿宋_GB2312" w:hAnsi="仿宋_GB2312" w:eastAsia="仿宋_GB2312" w:cs="仿宋_GB2312"/>
          <w:i w:val="0"/>
          <w:iCs w:val="0"/>
          <w:caps w:val="0"/>
          <w:color w:val="auto"/>
          <w:spacing w:val="0"/>
          <w:sz w:val="32"/>
          <w:szCs w:val="32"/>
          <w:u w:val="none"/>
          <w:shd w:val="clear" w:fill="FFFFFF"/>
        </w:rPr>
        <w:t>敬老院</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在村居按照“政府扶得起、老人用得上、服务可持续”原则，依托村级活动中心等公共服务平台，打造兼具集中居住和公共服务功能的农村养老服务设施，大力发展农村互助养老服务设施。支持区域性（中心）敬老院运营主体发挥辐射作用，连锁运营农村养老服务设施。</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满足农村特困人员集中供养需求，为农村低收入老年人和失能、半失能老年人提供便捷可及的养老服务。全市</w:t>
      </w:r>
      <w:r>
        <w:rPr>
          <w:rFonts w:hint="eastAsia" w:ascii="Times New Roman" w:hAnsi="Times New Roman" w:eastAsia="仿宋_GB2312" w:cs="Times New Roman"/>
          <w:color w:val="auto"/>
          <w:kern w:val="2"/>
          <w:sz w:val="32"/>
          <w:szCs w:val="32"/>
          <w:lang w:val="en-US" w:eastAsia="zh-CN" w:bidi="ar-SA"/>
        </w:rPr>
        <w:t>100%</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以上的乡镇和</w:t>
      </w:r>
      <w:r>
        <w:rPr>
          <w:rFonts w:hint="eastAsia" w:ascii="Times New Roman" w:hAnsi="Times New Roman" w:eastAsia="仿宋_GB2312" w:cs="Times New Roman"/>
          <w:color w:val="auto"/>
          <w:kern w:val="2"/>
          <w:sz w:val="32"/>
          <w:szCs w:val="32"/>
          <w:lang w:val="en-US" w:eastAsia="zh-CN" w:bidi="ar-SA"/>
        </w:rPr>
        <w:t>90%</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以上的农村社区建立包含养老服务在内的社区综合服务设施和站点。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（三）推进多元化</w: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instrText xml:space="preserve"> HYPERLINK "http://www.yanglaocn.com/ylzx/yanglaochanye/" \o "养老产业" \t "https://www.yanglaocn.com/shtml/20210105/_blank" </w:instrTex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养老产业</w: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布局。</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引导和支持本土养老机构</w:t>
      </w:r>
      <w:r>
        <w:rPr>
          <w:rFonts w:hint="eastAsia" w:ascii="仿宋_GB2312" w:hAnsi="仿宋_GB2312" w:eastAsia="仿宋_GB2312" w:cs="仿宋_GB2312"/>
          <w:i w:val="0"/>
          <w:iCs w:val="0"/>
          <w:caps w:val="0"/>
          <w:color w:val="auto"/>
          <w:spacing w:val="0"/>
          <w:sz w:val="32"/>
          <w:szCs w:val="32"/>
          <w:shd w:val="clear" w:fill="FFFFFF"/>
        </w:rPr>
        <w:t>加快养老产业与医疗、保险、旅游等产业融合步伐，大力发展旅居养老、康养小镇、森林康养等新兴业态，促进老年人生活照料、康复护理、健康服务等融合发展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依托株洲现有的服装、陶瓷、职业教育、体育健身、旅游观光等产业优势，建设一批功能突出、特色鲜明、辐射面广、带动力强的产业集聚区，推动我市老年生活照料、老年产品用品、老年健康服务、老年体育健身、老年文化娱乐、老年金融服务、老年旅游等七大产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 xml:space="preserve">二、提质养老服务设施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sz w:val="32"/>
          <w:szCs w:val="32"/>
          <w:shd w:val="clear" w:fill="FFFFFF"/>
          <w:lang w:val="en-US" w:eastAsia="zh-CN"/>
        </w:rPr>
        <w:t>（四）加强社区养老服务设施建设。</w:t>
      </w:r>
      <w:r>
        <w:rPr>
          <w:rFonts w:hint="eastAsia" w:ascii="仿宋_GB2312" w:hAnsi="仿宋_GB2312" w:eastAsia="仿宋_GB2312" w:cs="仿宋_GB2312"/>
          <w:i w:val="0"/>
          <w:caps w:val="0"/>
          <w:color w:val="auto"/>
          <w:spacing w:val="0"/>
          <w:sz w:val="32"/>
          <w:szCs w:val="32"/>
          <w:shd w:val="clear" w:fill="FFFFFF"/>
        </w:rPr>
        <w:t>新建住宅</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小</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区按照</w:t>
      </w:r>
      <w:r>
        <w:rPr>
          <w:rFonts w:hint="eastAsia" w:ascii="仿宋_GB2312" w:hAnsi="仿宋_GB2312" w:eastAsia="仿宋_GB2312" w:cs="仿宋_GB2312"/>
          <w:i w:val="0"/>
          <w:caps w:val="0"/>
          <w:color w:val="auto"/>
          <w:spacing w:val="0"/>
          <w:sz w:val="32"/>
          <w:szCs w:val="32"/>
          <w:shd w:val="clear" w:fill="FFFFFF"/>
          <w:lang w:val="en-US" w:eastAsia="zh-CN"/>
        </w:rPr>
        <w:t>人均建筑面积不少于</w:t>
      </w:r>
      <w:r>
        <w:rPr>
          <w:rFonts w:hint="eastAsia" w:eastAsia="仿宋_GB2312" w:cs="Times New Roman"/>
          <w:color w:val="auto"/>
          <w:kern w:val="2"/>
          <w:sz w:val="32"/>
          <w:szCs w:val="32"/>
          <w:lang w:val="en-US" w:eastAsia="zh-CN" w:bidi="ar-SA"/>
        </w:rPr>
        <w:t>0.25</w:t>
      </w:r>
      <w:r>
        <w:rPr>
          <w:rFonts w:hint="eastAsia" w:ascii="仿宋_GB2312" w:hAnsi="仿宋_GB2312" w:eastAsia="仿宋_GB2312" w:cs="仿宋_GB2312"/>
          <w:i w:val="0"/>
          <w:caps w:val="0"/>
          <w:color w:val="auto"/>
          <w:spacing w:val="0"/>
          <w:sz w:val="32"/>
          <w:szCs w:val="32"/>
          <w:shd w:val="clear" w:fill="FFFFFF"/>
          <w:lang w:val="en-US" w:eastAsia="zh-CN"/>
        </w:rPr>
        <w:t>平方米的标准规划设置养老服务设施，而且</w:t>
      </w:r>
      <w:r>
        <w:rPr>
          <w:rFonts w:hint="eastAsia" w:ascii="仿宋_GB2312" w:hAnsi="仿宋_GB2312" w:eastAsia="仿宋_GB2312" w:cs="仿宋_GB2312"/>
          <w:i w:val="0"/>
          <w:caps w:val="0"/>
          <w:color w:val="auto"/>
          <w:spacing w:val="0"/>
          <w:sz w:val="32"/>
          <w:szCs w:val="32"/>
          <w:shd w:val="clear" w:fill="FFFFFF"/>
        </w:rPr>
        <w:t>与住宅同步规划、同步建设、同步验收、同步交付使用；已建成的住宅区可以采取政府回购、租赁等形式，按照每百户不低于</w:t>
      </w:r>
      <w:r>
        <w:rPr>
          <w:rFonts w:hint="eastAsia" w:eastAsia="仿宋_GB2312" w:cs="Times New Roman"/>
          <w:color w:val="auto"/>
          <w:kern w:val="2"/>
          <w:sz w:val="32"/>
          <w:szCs w:val="32"/>
          <w:lang w:val="en-US" w:eastAsia="zh-CN" w:bidi="ar-SA"/>
        </w:rPr>
        <w:t>20</w:t>
      </w:r>
      <w:r>
        <w:rPr>
          <w:rFonts w:hint="eastAsia" w:ascii="仿宋_GB2312" w:hAnsi="仿宋_GB2312" w:eastAsia="仿宋_GB2312" w:cs="仿宋_GB2312"/>
          <w:i w:val="0"/>
          <w:caps w:val="0"/>
          <w:color w:val="auto"/>
          <w:spacing w:val="0"/>
          <w:sz w:val="32"/>
          <w:szCs w:val="32"/>
          <w:shd w:val="clear" w:fill="FFFFFF"/>
        </w:rPr>
        <w:t>平方米、单体面积不小于</w:t>
      </w:r>
      <w:r>
        <w:rPr>
          <w:rFonts w:hint="eastAsia" w:eastAsia="仿宋_GB2312" w:cs="Times New Roman"/>
          <w:color w:val="auto"/>
          <w:kern w:val="2"/>
          <w:sz w:val="32"/>
          <w:szCs w:val="32"/>
          <w:lang w:val="en-US" w:eastAsia="zh-CN" w:bidi="ar-SA"/>
        </w:rPr>
        <w:t>200</w:t>
      </w:r>
      <w:r>
        <w:rPr>
          <w:rFonts w:hint="eastAsia" w:ascii="仿宋_GB2312" w:hAnsi="仿宋_GB2312" w:eastAsia="仿宋_GB2312" w:cs="仿宋_GB2312"/>
          <w:i w:val="0"/>
          <w:caps w:val="0"/>
          <w:color w:val="auto"/>
          <w:spacing w:val="0"/>
          <w:sz w:val="32"/>
          <w:szCs w:val="32"/>
          <w:shd w:val="clear" w:fill="FFFFFF"/>
        </w:rPr>
        <w:t>平方米的标准调剂解决。新建住宅小区和已建成住宅区配建（调剂）的养老服务用房到位后，移交房屋所在地乡镇（街道），由所在社区（村）专项用于养老服务</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加强农村敬老院建设和改造，推动服务设施达标，满足农村特困人员集中供养需求，为农村低收入老年人和失能、半失能老年人提供便捷可及的养老服务。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val="en-US" w:eastAsia="zh-CN"/>
        </w:rPr>
        <w:t>（五）加强</w:t>
      </w:r>
      <w:r>
        <w:rPr>
          <w:rFonts w:hint="eastAsia" w:ascii="仿宋_GB2312" w:hAnsi="仿宋_GB2312" w:eastAsia="仿宋_GB2312" w:cs="仿宋_GB2312"/>
          <w:b/>
          <w:bCs/>
          <w:i w:val="0"/>
          <w:caps w:val="0"/>
          <w:color w:val="auto"/>
          <w:spacing w:val="0"/>
          <w:sz w:val="32"/>
          <w:szCs w:val="32"/>
          <w:shd w:val="clear" w:fill="FFFFFF"/>
          <w:lang w:eastAsia="zh-CN"/>
        </w:rPr>
        <w:t>闲置资源提升转化。</w:t>
      </w:r>
      <w:r>
        <w:rPr>
          <w:rFonts w:hint="eastAsia" w:ascii="仿宋_GB2312" w:hAnsi="仿宋_GB2312" w:eastAsia="仿宋_GB2312" w:cs="仿宋_GB2312"/>
          <w:i w:val="0"/>
          <w:iCs w:val="0"/>
          <w:caps w:val="0"/>
          <w:color w:val="auto"/>
          <w:spacing w:val="0"/>
          <w:sz w:val="32"/>
          <w:szCs w:val="32"/>
          <w:shd w:val="clear" w:fill="FFFFFF"/>
        </w:rPr>
        <w:t>全面清理城镇废弃厂房、基层政府和事业单位调整后腾出的办公用房、转型中的公办培训中心和</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"http://www.yanglaocn.com/yanglaoyuan/yly/?BTSelect=5" \o "疗养院" \t "https://www.yanglaocn.com/shtml/20210105/_blank"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1"/>
          <w:rFonts w:hint="eastAsia" w:ascii="仿宋_GB2312" w:hAnsi="仿宋_GB2312" w:eastAsia="仿宋_GB2312" w:cs="仿宋_GB2312"/>
          <w:i w:val="0"/>
          <w:iCs w:val="0"/>
          <w:caps w:val="0"/>
          <w:color w:val="auto"/>
          <w:spacing w:val="0"/>
          <w:sz w:val="32"/>
          <w:szCs w:val="32"/>
          <w:u w:val="none"/>
          <w:shd w:val="clear" w:fill="FFFFFF"/>
        </w:rPr>
        <w:t>疗养院</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学校、社区用房等闲置资源，对适合开展养老服务的，根据统筹规划布局要求，优先用于养老服务设施，可按规定在五年内实行继续按土地原用途和权利类型使用土地的过渡期政策。同时，通过招标、委托或公开竞争方式无偿或低偿委托民办</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"http://www.yanglaocn.com/shtml/juhe/yanglaofuwuzuzhi_6515.html" \o "养老服务组织" \t "https://www.yanglaocn.com/shtml/20210105/_blank"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1"/>
          <w:rFonts w:hint="eastAsia" w:ascii="仿宋_GB2312" w:hAnsi="仿宋_GB2312" w:eastAsia="仿宋_GB2312" w:cs="仿宋_GB2312"/>
          <w:i w:val="0"/>
          <w:iCs w:val="0"/>
          <w:caps w:val="0"/>
          <w:color w:val="auto"/>
          <w:spacing w:val="0"/>
          <w:sz w:val="32"/>
          <w:szCs w:val="32"/>
          <w:u w:val="none"/>
          <w:shd w:val="clear" w:fill="FFFFFF"/>
        </w:rPr>
        <w:t>养老服务组织</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b/>
          <w:bCs/>
          <w:i w:val="0"/>
          <w:caps w:val="0"/>
          <w:color w:val="auto"/>
          <w:spacing w:val="0"/>
          <w:sz w:val="32"/>
          <w:szCs w:val="32"/>
          <w:shd w:val="clear" w:fill="FFFFFF"/>
          <w:lang w:val="en-US" w:eastAsia="zh-CN"/>
        </w:rPr>
        <w:t>六</w:t>
      </w: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b/>
          <w:bCs/>
          <w:i w:val="0"/>
          <w:caps w:val="0"/>
          <w:color w:val="auto"/>
          <w:spacing w:val="0"/>
          <w:sz w:val="32"/>
          <w:szCs w:val="32"/>
          <w:shd w:val="clear" w:fill="FFFFFF"/>
          <w:lang w:val="en-US" w:eastAsia="zh-CN"/>
        </w:rPr>
        <w:t>加强</w:t>
      </w:r>
      <w:r>
        <w:rPr>
          <w:rFonts w:hint="eastAsia" w:ascii="仿宋_GB2312" w:hAnsi="仿宋_GB2312" w:eastAsia="仿宋_GB2312" w:cs="仿宋_GB2312"/>
          <w:b/>
          <w:bCs/>
          <w:i w:val="0"/>
          <w:caps w:val="0"/>
          <w:color w:val="auto"/>
          <w:spacing w:val="0"/>
          <w:sz w:val="32"/>
          <w:szCs w:val="32"/>
          <w:shd w:val="clear" w:fill="FFFFFF"/>
          <w:lang w:eastAsia="zh-CN"/>
        </w:rPr>
        <w:t>特困人员供养机构提升升级。</w:t>
      </w:r>
      <w:r>
        <w:rPr>
          <w:rFonts w:hint="eastAsia" w:ascii="仿宋_GB2312" w:hAnsi="仿宋_GB2312" w:eastAsia="仿宋_GB2312" w:cs="仿宋_GB2312"/>
          <w:i w:val="0"/>
          <w:iCs w:val="0"/>
          <w:caps w:val="0"/>
          <w:color w:val="auto"/>
          <w:spacing w:val="0"/>
          <w:sz w:val="32"/>
          <w:szCs w:val="32"/>
          <w:shd w:val="clear" w:fill="FFFFFF"/>
        </w:rPr>
        <w:t>通过新建一批、改扩建一批、提质升级一批、转型发展一批“四个一批”建设，逐步实现特困人员供养机构“五个统一”，即统一空间设计、功能配套、设施配置、装饰标识、文化氛围。深化公建民营、民办公助等运营机制改革。全</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特困人员供养机构护理型床位占比不低于</w:t>
      </w:r>
      <w:r>
        <w:rPr>
          <w:rFonts w:hint="eastAsia" w:eastAsia="仿宋_GB2312" w:cs="Times New Roman"/>
          <w:color w:val="auto"/>
          <w:kern w:val="2"/>
          <w:sz w:val="32"/>
          <w:szCs w:val="32"/>
          <w:lang w:val="en-US" w:eastAsia="zh-CN" w:bidi="ar-SA"/>
        </w:rPr>
        <w:t>50%，</w:t>
      </w:r>
      <w:r>
        <w:rPr>
          <w:rFonts w:hint="eastAsia" w:ascii="仿宋_GB2312" w:hAnsi="仿宋_GB2312" w:eastAsia="仿宋_GB2312" w:cs="仿宋_GB2312"/>
          <w:i w:val="0"/>
          <w:iCs w:val="0"/>
          <w:caps w:val="0"/>
          <w:color w:val="auto"/>
          <w:spacing w:val="0"/>
          <w:sz w:val="32"/>
          <w:szCs w:val="32"/>
          <w:shd w:val="clear" w:fill="FFFFFF"/>
        </w:rPr>
        <w:t>并符合二级以上养老机构等级标准。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sz w:val="32"/>
          <w:szCs w:val="32"/>
          <w:shd w:val="clear" w:fill="FFFFFF"/>
          <w:lang w:val="en-US" w:eastAsia="zh-CN"/>
        </w:rPr>
        <w:t>（七）加强</w:t>
      </w:r>
      <w:r>
        <w:rPr>
          <w:rFonts w:hint="eastAsia" w:ascii="仿宋_GB2312" w:hAnsi="仿宋_GB2312" w:eastAsia="仿宋_GB2312" w:cs="仿宋_GB2312"/>
          <w:b/>
          <w:bCs/>
          <w:i w:val="0"/>
          <w:caps w:val="0"/>
          <w:color w:val="auto"/>
          <w:spacing w:val="0"/>
          <w:sz w:val="32"/>
          <w:szCs w:val="32"/>
          <w:shd w:val="clear" w:fill="FFFFFF"/>
          <w:lang w:eastAsia="zh-CN"/>
        </w:rPr>
        <w:t>社区居家适老化改造。</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加快推进老旧居住小区和老年人家庭的无障碍改造，重点做好居住区缘石坡道、轮椅坡道、公共出入口、走道、楼梯、电梯候梯厅及轿厢等设施和部位的无障碍改造，优先安排贫困、高龄、失能等老年人家庭设施改造，组织开展多层老旧住宅电梯加装。在推进易地扶贫搬迁以及城镇棚户区、城乡危房改造和配套基础设施建设等保障性安居工程中，要统筹考虑适老化设施配套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三、提升养老服务水平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（八）提高养老服务规范化管理水平。</w:t>
      </w:r>
      <w:r>
        <w:rPr>
          <w:rFonts w:hint="eastAsia" w:ascii="仿宋_GB2312" w:hAnsi="仿宋_GB2312" w:eastAsia="仿宋_GB2312" w:cs="仿宋_GB2312"/>
          <w:i w:val="0"/>
          <w:caps w:val="0"/>
          <w:color w:val="auto"/>
          <w:spacing w:val="0"/>
          <w:sz w:val="32"/>
          <w:szCs w:val="32"/>
          <w:shd w:val="clear" w:fill="FFFFFF"/>
          <w:lang w:val="en-US" w:eastAsia="zh-CN"/>
        </w:rPr>
        <w:t>推动全市老年人能力评估和养老服务标准化体系建设，建立并实施全市统一的老年人能力和需求评估制度，加强</w:t>
      </w:r>
      <w:r>
        <w:rPr>
          <w:rFonts w:hint="eastAsia" w:ascii="仿宋_GB2312" w:hAnsi="仿宋_GB2312" w:eastAsia="仿宋_GB2312" w:cs="仿宋_GB2312"/>
          <w:i w:val="0"/>
          <w:iCs w:val="0"/>
          <w:caps w:val="0"/>
          <w:color w:val="auto"/>
          <w:spacing w:val="0"/>
          <w:sz w:val="32"/>
          <w:szCs w:val="32"/>
          <w:shd w:val="clear" w:fill="FFFFFF"/>
        </w:rPr>
        <w:t>包含通用基础、服务提供、支撑保障的养老服务标准化体系</w:t>
      </w:r>
      <w:r>
        <w:rPr>
          <w:rFonts w:hint="eastAsia" w:ascii="仿宋_GB2312" w:hAnsi="仿宋_GB2312" w:eastAsia="仿宋_GB2312" w:cs="仿宋_GB2312"/>
          <w:i w:val="0"/>
          <w:iCs w:val="0"/>
          <w:caps w:val="0"/>
          <w:color w:val="auto"/>
          <w:spacing w:val="0"/>
          <w:sz w:val="32"/>
          <w:szCs w:val="32"/>
          <w:shd w:val="clear" w:fill="FFFFFF"/>
          <w:lang w:val="en-US" w:eastAsia="zh-CN"/>
        </w:rPr>
        <w:t>建设。</w:t>
      </w:r>
      <w:r>
        <w:rPr>
          <w:rFonts w:hint="eastAsia" w:ascii="仿宋_GB2312" w:hAnsi="仿宋_GB2312" w:eastAsia="仿宋_GB2312" w:cs="仿宋_GB2312"/>
          <w:i w:val="0"/>
          <w:iCs w:val="0"/>
          <w:caps w:val="0"/>
          <w:color w:val="auto"/>
          <w:spacing w:val="0"/>
          <w:sz w:val="32"/>
          <w:szCs w:val="32"/>
          <w:shd w:val="clear" w:fill="FFFFFF"/>
        </w:rPr>
        <w:t>全面实施</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"http://www.yanglaocn.com/shtml/juhe/yanglaojigoudengjipingding_6523.html" \o "养老机构等级评定" \t "https://www.yanglaocn.com/shtml/20210105/_blank"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1"/>
          <w:rFonts w:hint="eastAsia" w:ascii="仿宋_GB2312" w:hAnsi="仿宋_GB2312" w:eastAsia="仿宋_GB2312" w:cs="仿宋_GB2312"/>
          <w:i w:val="0"/>
          <w:iCs w:val="0"/>
          <w:caps w:val="0"/>
          <w:color w:val="auto"/>
          <w:spacing w:val="0"/>
          <w:sz w:val="32"/>
          <w:szCs w:val="32"/>
          <w:u w:val="none"/>
          <w:shd w:val="clear" w:fill="FFFFFF"/>
        </w:rPr>
        <w:t>养老机构等级评定</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，建立</w:t>
      </w:r>
      <w:r>
        <w:rPr>
          <w:rFonts w:hint="eastAsia" w:ascii="仿宋_GB2312" w:hAnsi="仿宋_GB2312" w:eastAsia="仿宋_GB2312" w:cs="仿宋_GB2312"/>
          <w:i w:val="0"/>
          <w:iCs w:val="0"/>
          <w:caps w:val="0"/>
          <w:color w:val="auto"/>
          <w:spacing w:val="0"/>
          <w:sz w:val="32"/>
          <w:szCs w:val="32"/>
          <w:shd w:val="clear" w:fill="FFFFFF"/>
          <w:lang w:val="en-US" w:eastAsia="zh-CN"/>
        </w:rPr>
        <w:t>与</w:t>
      </w:r>
      <w:r>
        <w:rPr>
          <w:rFonts w:hint="eastAsia" w:ascii="仿宋_GB2312" w:hAnsi="仿宋_GB2312" w:eastAsia="仿宋_GB2312" w:cs="仿宋_GB2312"/>
          <w:i w:val="0"/>
          <w:iCs w:val="0"/>
          <w:caps w:val="0"/>
          <w:color w:val="auto"/>
          <w:spacing w:val="0"/>
          <w:sz w:val="32"/>
          <w:szCs w:val="32"/>
          <w:shd w:val="clear" w:fill="FFFFFF"/>
        </w:rPr>
        <w:t>全省统一的</w:t>
      </w:r>
      <w:r>
        <w:rPr>
          <w:rFonts w:hint="eastAsia" w:eastAsia="仿宋_GB2312" w:cs="Times New Roman"/>
          <w:color w:val="auto"/>
          <w:kern w:val="2"/>
          <w:sz w:val="32"/>
          <w:szCs w:val="32"/>
          <w:lang w:val="en-US" w:eastAsia="zh-CN" w:bidi="ar-SA"/>
        </w:rPr>
        <w:t>一至五</w:t>
      </w:r>
      <w:r>
        <w:rPr>
          <w:rFonts w:hint="eastAsia" w:ascii="仿宋_GB2312" w:hAnsi="仿宋_GB2312" w:eastAsia="仿宋_GB2312" w:cs="仿宋_GB2312"/>
          <w:i w:val="0"/>
          <w:iCs w:val="0"/>
          <w:caps w:val="0"/>
          <w:color w:val="auto"/>
          <w:spacing w:val="0"/>
          <w:sz w:val="32"/>
          <w:szCs w:val="32"/>
          <w:shd w:val="clear" w:fill="FFFFFF"/>
        </w:rPr>
        <w:t>级养老机构等级评价体系，</w:t>
      </w:r>
      <w:r>
        <w:rPr>
          <w:rFonts w:hint="eastAsia" w:ascii="仿宋_GB2312" w:hAnsi="仿宋_GB2312" w:eastAsia="仿宋_GB2312" w:cs="仿宋_GB2312"/>
          <w:i w:val="0"/>
          <w:iCs w:val="0"/>
          <w:caps w:val="0"/>
          <w:color w:val="auto"/>
          <w:spacing w:val="0"/>
          <w:sz w:val="32"/>
          <w:szCs w:val="32"/>
          <w:shd w:val="clear" w:fill="FFFFFF"/>
          <w:lang w:eastAsia="zh-CN"/>
        </w:rPr>
        <w:t>实现等级评定结果互认</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（九）提高智慧养老服务水平。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推进“互联网+”养老服务创新，建立标准统一、互联互通、高效便捷的智能化养老服务综合信息平台。发展智慧养老服务新业态，开发和运用智能硬件，推动移动互联网、云计算、物联网、大数据等与养老服务业结合，创新居家和社区养老服务模式，重点推进老年人健康管理、紧急救援、精神慰藉、服务预约、物品代购等服务，开发更加多元、精准的私人订制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（十）提高</w: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instrText xml:space="preserve"> HYPERLINK "http://www.yanglaocn.com/shtml/juhe/yiyangjiehefuwu_6514.html" \o "医养结合服务" \t "https://www.yanglaocn.com/shtml/20210105/_blank" </w:instrTex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医养结合服务</w:t>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
          <w:bCs/>
          <w:i w:val="0"/>
          <w:caps w:val="0"/>
          <w:color w:val="auto"/>
          <w:spacing w:val="0"/>
          <w:kern w:val="0"/>
          <w:sz w:val="32"/>
          <w:szCs w:val="32"/>
          <w:shd w:val="clear" w:fill="FFFFFF"/>
          <w:lang w:val="en-US" w:eastAsia="zh-CN" w:bidi="ar"/>
        </w:rPr>
        <w:t>水平。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将符合条件的养老机构内设医疗卫生机构按规定纳入城乡基本医疗保险定点范围。鼓励符合条件的执业医师到养老机构、社区老年照料机构内设的医疗卫生机构多点执业。推进基层乡镇卫生院开展养老服务，推进养老机构、社区老年照料中心与厂矿医院、基层医疗卫生机构建立急救、转诊等合作机制，以合作形式为老年人提供便捷医疗服务。建立长期照护体系，探索护理保险制度，形成多元化的保险筹资模式，推动解决失能人员基本生活照料和相关医疗护理问题。</w:t>
      </w:r>
      <w:r>
        <w:rPr>
          <w:rFonts w:hint="eastAsia" w:ascii="仿宋_GB2312" w:hAnsi="仿宋_GB2312" w:eastAsia="仿宋_GB2312" w:cs="仿宋_GB2312"/>
          <w:i w:val="0"/>
          <w:iCs w:val="0"/>
          <w:caps w:val="0"/>
          <w:color w:val="auto"/>
          <w:spacing w:val="0"/>
          <w:sz w:val="32"/>
          <w:szCs w:val="32"/>
          <w:shd w:val="clear" w:fill="FFFFFF"/>
        </w:rPr>
        <w:t>全</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养老机构和协议合作的医疗卫生机构普遍开通双向转介便捷通道</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（十一）提高安全生产管理水平。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强化消防安全监管，</w:t>
      </w:r>
      <w:r>
        <w:rPr>
          <w:rFonts w:hint="eastAsia" w:ascii="仿宋_GB2312" w:hAnsi="仿宋_GB2312" w:eastAsia="仿宋_GB2312" w:cs="仿宋_GB2312"/>
          <w:i w:val="0"/>
          <w:iCs w:val="0"/>
          <w:caps w:val="0"/>
          <w:color w:val="auto"/>
          <w:spacing w:val="0"/>
          <w:sz w:val="32"/>
          <w:szCs w:val="32"/>
          <w:shd w:val="clear" w:fill="FFFFFF"/>
        </w:rPr>
        <w:t>集中解决消防安全遗留问题，确保养老机构消防安全重大隐患</w:t>
      </w:r>
      <w:r>
        <w:rPr>
          <w:rFonts w:hint="eastAsia" w:ascii="仿宋_GB2312" w:hAnsi="仿宋_GB2312" w:eastAsia="仿宋_GB2312" w:cs="仿宋_GB2312"/>
          <w:i w:val="0"/>
          <w:iCs w:val="0"/>
          <w:caps w:val="0"/>
          <w:color w:val="auto"/>
          <w:spacing w:val="0"/>
          <w:sz w:val="32"/>
          <w:szCs w:val="32"/>
          <w:shd w:val="clear" w:fill="FFFFFF"/>
          <w:lang w:eastAsia="zh-CN"/>
        </w:rPr>
        <w:t>动态</w:t>
      </w:r>
      <w:r>
        <w:rPr>
          <w:rFonts w:hint="eastAsia" w:ascii="仿宋_GB2312" w:hAnsi="仿宋_GB2312" w:eastAsia="仿宋_GB2312" w:cs="仿宋_GB2312"/>
          <w:i w:val="0"/>
          <w:iCs w:val="0"/>
          <w:caps w:val="0"/>
          <w:color w:val="auto"/>
          <w:spacing w:val="0"/>
          <w:sz w:val="32"/>
          <w:szCs w:val="32"/>
          <w:shd w:val="clear" w:fill="FFFFFF"/>
        </w:rPr>
        <w:t>清零。</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强化食品安全监管，加强对养老机构的食品安全教育和日常管理，定期或不定期实施现场检查和食品抽样检验，降低食品安全风险，及时消除食品安全隐患。强化医疗护理安全监管，建立医疗护理安全管理制度，对涉及医疗护理的重点安全问题进行监管。强化设施设备安全监管，定期检查养老机构电气、燃气、监控等设备使用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（十二）提高养老从业人员服务水平。</w:t>
      </w:r>
      <w:r>
        <w:rPr>
          <w:rFonts w:hint="eastAsia" w:ascii="仿宋_GB2312" w:hAnsi="仿宋_GB2312" w:eastAsia="仿宋_GB2312" w:cs="仿宋_GB2312"/>
          <w:i w:val="0"/>
          <w:iCs w:val="0"/>
          <w:caps w:val="0"/>
          <w:color w:val="auto"/>
          <w:spacing w:val="0"/>
          <w:sz w:val="32"/>
          <w:szCs w:val="32"/>
          <w:shd w:val="clear" w:fill="FFFFFF"/>
          <w:lang w:val="en-US" w:eastAsia="zh-CN"/>
        </w:rPr>
        <w:t>对与养老机构、养老服务组织签订</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i w:val="0"/>
          <w:iCs w:val="0"/>
          <w:caps w:val="0"/>
          <w:color w:val="auto"/>
          <w:spacing w:val="0"/>
          <w:sz w:val="32"/>
          <w:szCs w:val="32"/>
          <w:shd w:val="clear" w:fill="FFFFFF"/>
          <w:lang w:val="en-US" w:eastAsia="zh-CN"/>
        </w:rPr>
        <w:t>年以上劳动合同，在护理岗位实际工作满</w:t>
      </w: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i w:val="0"/>
          <w:iCs w:val="0"/>
          <w:caps w:val="0"/>
          <w:color w:val="auto"/>
          <w:spacing w:val="0"/>
          <w:sz w:val="32"/>
          <w:szCs w:val="32"/>
          <w:shd w:val="clear" w:fill="FFFFFF"/>
          <w:lang w:val="en-US" w:eastAsia="zh-CN"/>
        </w:rPr>
        <w:t>年的本科、专科毕业生（含技工学院、高级技工学校毕业生），实施一定程度的一次性补助，加大养老服务业的人才引进力度。通过省、</w:t>
      </w:r>
      <w:r>
        <w:rPr>
          <w:rFonts w:hint="eastAsia" w:ascii="仿宋_GB2312" w:hAnsi="仿宋_GB2312" w:eastAsia="仿宋_GB2312" w:cs="仿宋_GB2312"/>
          <w:i w:val="0"/>
          <w:iCs w:val="0"/>
          <w:caps w:val="0"/>
          <w:color w:val="auto"/>
          <w:spacing w:val="0"/>
          <w:sz w:val="32"/>
          <w:szCs w:val="32"/>
          <w:shd w:val="clear" w:fill="FFFFFF"/>
        </w:rPr>
        <w:t>市、县和养老机构四级养老服务培训和实训体系</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加强养老从业人员培训。通过</w:t>
      </w:r>
      <w:r>
        <w:rPr>
          <w:rFonts w:hint="eastAsia" w:ascii="仿宋_GB2312" w:hAnsi="仿宋_GB2312" w:eastAsia="仿宋_GB2312" w:cs="仿宋_GB2312"/>
          <w:i w:val="0"/>
          <w:iCs w:val="0"/>
          <w:caps w:val="0"/>
          <w:color w:val="auto"/>
          <w:spacing w:val="0"/>
          <w:sz w:val="32"/>
          <w:szCs w:val="32"/>
          <w:shd w:val="clear" w:fill="FFFFFF"/>
        </w:rPr>
        <w:t>不同层级的养老</w:t>
      </w:r>
      <w:r>
        <w:rPr>
          <w:rFonts w:hint="eastAsia" w:ascii="仿宋_GB2312" w:hAnsi="仿宋_GB2312" w:eastAsia="仿宋_GB2312" w:cs="仿宋_GB2312"/>
          <w:i w:val="0"/>
          <w:iCs w:val="0"/>
          <w:caps w:val="0"/>
          <w:color w:val="auto"/>
          <w:spacing w:val="0"/>
          <w:sz w:val="32"/>
          <w:szCs w:val="32"/>
          <w:shd w:val="clear" w:fill="FFFFFF"/>
          <w:lang w:val="en-US" w:eastAsia="zh-CN"/>
        </w:rPr>
        <w:t>服务</w:t>
      </w:r>
      <w:r>
        <w:rPr>
          <w:rFonts w:hint="eastAsia" w:ascii="仿宋_GB2312" w:hAnsi="仿宋_GB2312" w:eastAsia="仿宋_GB2312" w:cs="仿宋_GB2312"/>
          <w:i w:val="0"/>
          <w:iCs w:val="0"/>
          <w:caps w:val="0"/>
          <w:color w:val="auto"/>
          <w:spacing w:val="0"/>
          <w:sz w:val="32"/>
          <w:szCs w:val="32"/>
          <w:shd w:val="clear" w:fill="FFFFFF"/>
        </w:rPr>
        <w:t>技能大赛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提升</w:t>
      </w:r>
      <w:r>
        <w:rPr>
          <w:rFonts w:hint="eastAsia" w:ascii="仿宋_GB2312" w:hAnsi="仿宋_GB2312" w:eastAsia="仿宋_GB2312" w:cs="仿宋_GB2312"/>
          <w:i w:val="0"/>
          <w:iCs w:val="0"/>
          <w:caps w:val="0"/>
          <w:color w:val="auto"/>
          <w:spacing w:val="0"/>
          <w:sz w:val="32"/>
          <w:szCs w:val="32"/>
          <w:shd w:val="clear" w:fill="FFFFFF"/>
        </w:rPr>
        <w:t>养老</w:t>
      </w:r>
      <w:r>
        <w:rPr>
          <w:rFonts w:hint="eastAsia" w:ascii="仿宋_GB2312" w:hAnsi="仿宋_GB2312" w:eastAsia="仿宋_GB2312" w:cs="仿宋_GB2312"/>
          <w:i w:val="0"/>
          <w:iCs w:val="0"/>
          <w:caps w:val="0"/>
          <w:color w:val="auto"/>
          <w:spacing w:val="0"/>
          <w:sz w:val="32"/>
          <w:szCs w:val="32"/>
          <w:shd w:val="clear" w:fill="FFFFFF"/>
          <w:lang w:val="en-US" w:eastAsia="zh-CN"/>
        </w:rPr>
        <w:t>服务从业人员技能。</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完善职业技能等级与养老服务从业人员薪酬待遇挂钩机制，激发养老服务从业人员工作积极性。建立养老服务从业人员奖惩机制，提升养老服务从业人员职业道德素养。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四、健全养老服务保障机制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eastAsia="zh-CN"/>
        </w:rPr>
        <w:t>（十</w:t>
      </w:r>
      <w:r>
        <w:rPr>
          <w:rFonts w:hint="eastAsia" w:ascii="仿宋_GB2312" w:hAnsi="仿宋_GB2312" w:eastAsia="仿宋_GB2312" w:cs="仿宋_GB2312"/>
          <w:b/>
          <w:bCs/>
          <w:i w:val="0"/>
          <w:caps w:val="0"/>
          <w:color w:val="auto"/>
          <w:spacing w:val="0"/>
          <w:sz w:val="32"/>
          <w:szCs w:val="32"/>
          <w:shd w:val="clear" w:fill="FFFFFF"/>
          <w:lang w:val="en-US" w:eastAsia="zh-CN"/>
        </w:rPr>
        <w:t>三</w:t>
      </w:r>
      <w:r>
        <w:rPr>
          <w:rFonts w:hint="eastAsia" w:ascii="仿宋_GB2312" w:hAnsi="仿宋_GB2312" w:eastAsia="仿宋_GB2312" w:cs="仿宋_GB2312"/>
          <w:b/>
          <w:bCs/>
          <w:i w:val="0"/>
          <w:caps w:val="0"/>
          <w:color w:val="auto"/>
          <w:spacing w:val="0"/>
          <w:sz w:val="32"/>
          <w:szCs w:val="32"/>
          <w:shd w:val="clear" w:fill="FFFFFF"/>
          <w:lang w:eastAsia="zh-CN"/>
        </w:rPr>
        <w:t>）强化养老服务组织保障。</w:t>
      </w:r>
      <w:r>
        <w:rPr>
          <w:rFonts w:hint="eastAsia" w:ascii="仿宋_GB2312" w:hAnsi="仿宋_GB2312" w:eastAsia="仿宋_GB2312" w:cs="仿宋_GB2312"/>
          <w:i w:val="0"/>
          <w:caps w:val="0"/>
          <w:color w:val="auto"/>
          <w:spacing w:val="0"/>
          <w:sz w:val="32"/>
          <w:szCs w:val="32"/>
          <w:shd w:val="clear" w:fill="FFFFFF"/>
        </w:rPr>
        <w:t>健全党委领导、政府主导、民政牵头、部门负责、社会参与的养老服务工作机制，每年召开一次以上联席会议。强化养老服务管理职能，按照区域内养老服务对象数量、需求和事项等因素，合理确定市、</w:t>
      </w:r>
      <w:r>
        <w:rPr>
          <w:rFonts w:hint="eastAsia" w:ascii="仿宋_GB2312" w:hAnsi="仿宋_GB2312" w:eastAsia="仿宋_GB2312" w:cs="仿宋_GB2312"/>
          <w:i w:val="0"/>
          <w:caps w:val="0"/>
          <w:color w:val="auto"/>
          <w:spacing w:val="0"/>
          <w:sz w:val="32"/>
          <w:szCs w:val="32"/>
          <w:shd w:val="clear" w:fill="FFFFFF"/>
          <w:lang w:val="en-US" w:eastAsia="zh-CN"/>
        </w:rPr>
        <w:t>县市区、</w:t>
      </w:r>
      <w:r>
        <w:rPr>
          <w:rFonts w:hint="eastAsia" w:ascii="仿宋_GB2312" w:hAnsi="仿宋_GB2312" w:eastAsia="仿宋_GB2312" w:cs="仿宋_GB2312"/>
          <w:i w:val="0"/>
          <w:caps w:val="0"/>
          <w:color w:val="auto"/>
          <w:spacing w:val="0"/>
          <w:sz w:val="32"/>
          <w:szCs w:val="32"/>
          <w:shd w:val="clear" w:fill="FFFFFF"/>
        </w:rPr>
        <w:t>乡镇（街道）开展养老服务所需工作人员数量，科学整合相关机构和资源，积极推行政府购买养老服务，切实加强基层养老服务能力。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b/>
          <w:bCs/>
          <w:i w:val="0"/>
          <w:caps w:val="0"/>
          <w:color w:val="auto"/>
          <w:spacing w:val="0"/>
          <w:sz w:val="32"/>
          <w:szCs w:val="32"/>
          <w:shd w:val="clear" w:fill="FFFFFF"/>
          <w:lang w:val="en-US" w:eastAsia="zh-CN"/>
        </w:rPr>
        <w:t>十四</w:t>
      </w:r>
      <w:r>
        <w:rPr>
          <w:rFonts w:hint="eastAsia" w:ascii="仿宋_GB2312" w:hAnsi="仿宋_GB2312" w:eastAsia="仿宋_GB2312" w:cs="仿宋_GB2312"/>
          <w:b/>
          <w:bCs/>
          <w:i w:val="0"/>
          <w:caps w:val="0"/>
          <w:color w:val="auto"/>
          <w:spacing w:val="0"/>
          <w:sz w:val="32"/>
          <w:szCs w:val="32"/>
          <w:shd w:val="clear" w:fill="FFFFFF"/>
          <w:lang w:eastAsia="zh-CN"/>
        </w:rPr>
        <w:t>）强化养老服务</w:t>
      </w:r>
      <w:r>
        <w:rPr>
          <w:rFonts w:hint="eastAsia" w:ascii="仿宋_GB2312" w:hAnsi="仿宋_GB2312" w:eastAsia="仿宋_GB2312" w:cs="仿宋_GB2312"/>
          <w:b/>
          <w:bCs/>
          <w:i w:val="0"/>
          <w:caps w:val="0"/>
          <w:color w:val="auto"/>
          <w:spacing w:val="0"/>
          <w:sz w:val="32"/>
          <w:szCs w:val="32"/>
          <w:shd w:val="clear" w:fill="FFFFFF"/>
          <w:lang w:val="en-US" w:eastAsia="zh-CN"/>
        </w:rPr>
        <w:t>资金</w:t>
      </w:r>
      <w:r>
        <w:rPr>
          <w:rFonts w:hint="eastAsia" w:ascii="仿宋_GB2312" w:hAnsi="仿宋_GB2312" w:eastAsia="仿宋_GB2312" w:cs="仿宋_GB2312"/>
          <w:b/>
          <w:bCs/>
          <w:i w:val="0"/>
          <w:caps w:val="0"/>
          <w:color w:val="auto"/>
          <w:spacing w:val="0"/>
          <w:sz w:val="32"/>
          <w:szCs w:val="32"/>
          <w:shd w:val="clear" w:fill="FFFFFF"/>
          <w:lang w:eastAsia="zh-CN"/>
        </w:rPr>
        <w:t>保障。</w:t>
      </w:r>
      <w:r>
        <w:rPr>
          <w:rFonts w:hint="eastAsia" w:ascii="仿宋_GB2312" w:hAnsi="仿宋_GB2312" w:eastAsia="仿宋_GB2312" w:cs="仿宋_GB2312"/>
          <w:i w:val="0"/>
          <w:iCs w:val="0"/>
          <w:caps w:val="0"/>
          <w:color w:val="auto"/>
          <w:spacing w:val="0"/>
          <w:sz w:val="32"/>
          <w:szCs w:val="32"/>
          <w:shd w:val="clear" w:fill="FFFFFF"/>
        </w:rPr>
        <w:t>持续加大财政投入，安排养老服务体系建设专项资金。各级福利彩票公益金要安排不低于</w:t>
      </w:r>
      <w:r>
        <w:rPr>
          <w:rFonts w:hint="eastAsia" w:eastAsia="仿宋_GB2312" w:cs="Times New Roman"/>
          <w:color w:val="auto"/>
          <w:kern w:val="2"/>
          <w:sz w:val="32"/>
          <w:szCs w:val="32"/>
          <w:lang w:val="en-US" w:eastAsia="zh-CN" w:bidi="ar-SA"/>
        </w:rPr>
        <w:t>55％</w:t>
      </w:r>
      <w:r>
        <w:rPr>
          <w:rFonts w:hint="eastAsia" w:ascii="仿宋_GB2312" w:hAnsi="仿宋_GB2312" w:eastAsia="仿宋_GB2312" w:cs="仿宋_GB2312"/>
          <w:i w:val="0"/>
          <w:iCs w:val="0"/>
          <w:caps w:val="0"/>
          <w:color w:val="auto"/>
          <w:spacing w:val="0"/>
          <w:sz w:val="32"/>
          <w:szCs w:val="32"/>
          <w:shd w:val="clear" w:fill="FFFFFF"/>
        </w:rPr>
        <w:t>的资金用于支持发展养老服务。</w:t>
      </w:r>
      <w:r>
        <w:rPr>
          <w:rFonts w:hint="eastAsia" w:ascii="仿宋_GB2312" w:hAnsi="仿宋_GB2312" w:eastAsia="仿宋_GB2312" w:cs="仿宋_GB2312"/>
          <w:i w:val="0"/>
          <w:iCs w:val="0"/>
          <w:caps w:val="0"/>
          <w:color w:val="auto"/>
          <w:spacing w:val="0"/>
          <w:sz w:val="32"/>
          <w:szCs w:val="32"/>
          <w:shd w:val="clear" w:fill="FFFFFF"/>
          <w:lang w:val="en-US" w:eastAsia="zh-CN"/>
        </w:rPr>
        <w:t>切实贯彻</w:t>
      </w:r>
      <w:r>
        <w:rPr>
          <w:rFonts w:hint="eastAsia" w:ascii="仿宋_GB2312" w:hAnsi="仿宋_GB2312" w:eastAsia="仿宋_GB2312" w:cs="仿宋_GB2312"/>
          <w:i w:val="0"/>
          <w:caps w:val="0"/>
          <w:color w:val="auto"/>
          <w:spacing w:val="0"/>
          <w:sz w:val="32"/>
          <w:szCs w:val="32"/>
          <w:shd w:val="clear" w:fill="FFFFFF"/>
        </w:rPr>
        <w:t>株洲市人民政府办公室</w:t>
      </w:r>
      <w:r>
        <w:rPr>
          <w:rFonts w:hint="eastAsia" w:ascii="仿宋_GB2312" w:hAnsi="仿宋_GB2312" w:eastAsia="仿宋_GB2312" w:cs="仿宋_GB2312"/>
          <w:i w:val="0"/>
          <w:caps w:val="0"/>
          <w:color w:val="auto"/>
          <w:spacing w:val="0"/>
          <w:sz w:val="32"/>
          <w:szCs w:val="32"/>
          <w:shd w:val="clear" w:fill="FFFFFF"/>
          <w:lang w:eastAsia="zh-CN"/>
        </w:rPr>
        <w:t>《关于全面放开养老服务市场提升养老服务质量的实施意见》（</w:t>
      </w:r>
      <w:r>
        <w:rPr>
          <w:rFonts w:hint="eastAsia" w:ascii="仿宋_GB2312" w:hAnsi="仿宋_GB2312" w:eastAsia="仿宋_GB2312" w:cs="仿宋_GB2312"/>
          <w:i w:val="0"/>
          <w:caps w:val="0"/>
          <w:color w:val="auto"/>
          <w:spacing w:val="0"/>
          <w:sz w:val="32"/>
          <w:szCs w:val="32"/>
          <w:shd w:val="clear" w:fill="FFFFFF"/>
        </w:rPr>
        <w:t>株政办发〔</w:t>
      </w:r>
      <w:r>
        <w:rPr>
          <w:rFonts w:hint="eastAsia" w:eastAsia="仿宋_GB2312" w:cs="Times New Roman"/>
          <w:color w:val="auto"/>
          <w:kern w:val="2"/>
          <w:sz w:val="32"/>
          <w:szCs w:val="32"/>
          <w:lang w:val="en-US" w:eastAsia="zh-CN" w:bidi="ar-SA"/>
        </w:rPr>
        <w:t>2018〕6</w:t>
      </w:r>
      <w:r>
        <w:rPr>
          <w:rFonts w:hint="eastAsia" w:ascii="仿宋_GB2312" w:hAnsi="仿宋_GB2312" w:eastAsia="仿宋_GB2312" w:cs="仿宋_GB2312"/>
          <w:i w:val="0"/>
          <w:caps w:val="0"/>
          <w:color w:val="auto"/>
          <w:spacing w:val="0"/>
          <w:sz w:val="32"/>
          <w:szCs w:val="32"/>
          <w:shd w:val="clear" w:fill="FFFFFF"/>
        </w:rPr>
        <w:t>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精神，确保各项养老服务补贴政策落实到位。</w:t>
      </w:r>
      <w:r>
        <w:rPr>
          <w:rFonts w:hint="eastAsia" w:ascii="仿宋_GB2312" w:hAnsi="仿宋_GB2312" w:eastAsia="仿宋_GB2312" w:cs="仿宋_GB2312"/>
          <w:i w:val="0"/>
          <w:iCs w:val="0"/>
          <w:caps w:val="0"/>
          <w:color w:val="auto"/>
          <w:spacing w:val="0"/>
          <w:sz w:val="32"/>
          <w:szCs w:val="32"/>
          <w:shd w:val="clear" w:fill="FFFFFF"/>
        </w:rPr>
        <w:t>对养老机构等级评定为</w:t>
      </w:r>
      <w:r>
        <w:rPr>
          <w:rFonts w:hint="eastAsia" w:eastAsia="仿宋_GB2312" w:cs="Times New Roman"/>
          <w:color w:val="auto"/>
          <w:kern w:val="2"/>
          <w:sz w:val="32"/>
          <w:szCs w:val="32"/>
          <w:lang w:val="en-US" w:eastAsia="zh-CN" w:bidi="ar-SA"/>
        </w:rPr>
        <w:t>三</w:t>
      </w:r>
      <w:r>
        <w:rPr>
          <w:rFonts w:hint="eastAsia" w:ascii="仿宋_GB2312" w:hAnsi="仿宋_GB2312" w:eastAsia="仿宋_GB2312" w:cs="仿宋_GB2312"/>
          <w:i w:val="0"/>
          <w:iCs w:val="0"/>
          <w:caps w:val="0"/>
          <w:color w:val="auto"/>
          <w:spacing w:val="0"/>
          <w:sz w:val="32"/>
          <w:szCs w:val="32"/>
          <w:shd w:val="clear" w:fill="FFFFFF"/>
        </w:rPr>
        <w:t>级以上的民办养老机构，</w:t>
      </w:r>
      <w:r>
        <w:rPr>
          <w:rFonts w:hint="eastAsia" w:ascii="仿宋_GB2312" w:hAnsi="仿宋_GB2312" w:eastAsia="仿宋_GB2312" w:cs="仿宋_GB2312"/>
          <w:i w:val="0"/>
          <w:caps w:val="0"/>
          <w:color w:val="auto"/>
          <w:spacing w:val="0"/>
          <w:sz w:val="32"/>
          <w:szCs w:val="32"/>
          <w:shd w:val="clear" w:fill="FFFFFF"/>
        </w:rPr>
        <w:t>市、</w:t>
      </w:r>
      <w:r>
        <w:rPr>
          <w:rFonts w:hint="eastAsia" w:ascii="仿宋_GB2312" w:hAnsi="仿宋_GB2312" w:eastAsia="仿宋_GB2312" w:cs="仿宋_GB2312"/>
          <w:i w:val="0"/>
          <w:caps w:val="0"/>
          <w:color w:val="auto"/>
          <w:spacing w:val="0"/>
          <w:sz w:val="32"/>
          <w:szCs w:val="32"/>
          <w:shd w:val="clear" w:fill="FFFFFF"/>
          <w:lang w:val="en-US" w:eastAsia="zh-CN"/>
        </w:rPr>
        <w:t>县</w:t>
      </w:r>
      <w:r>
        <w:rPr>
          <w:rFonts w:hint="eastAsia" w:ascii="仿宋_GB2312" w:hAnsi="仿宋_GB2312" w:eastAsia="仿宋_GB2312" w:cs="仿宋_GB2312"/>
          <w:i w:val="0"/>
          <w:iCs w:val="0"/>
          <w:caps w:val="0"/>
          <w:color w:val="auto"/>
          <w:spacing w:val="0"/>
          <w:sz w:val="32"/>
          <w:szCs w:val="32"/>
          <w:shd w:val="clear" w:fill="FFFFFF"/>
        </w:rPr>
        <w:t>财政按规定在评定周期内给予一次性补助</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w:t>
      </w:r>
      <w:r>
        <w:rPr>
          <w:rFonts w:hint="eastAsia" w:ascii="仿宋_GB2312" w:hAnsi="仿宋_GB2312" w:eastAsia="仿宋_GB2312" w:cs="仿宋_GB2312"/>
          <w:i w:val="0"/>
          <w:iCs w:val="0"/>
          <w:caps w:val="0"/>
          <w:color w:val="auto"/>
          <w:spacing w:val="0"/>
          <w:sz w:val="32"/>
          <w:szCs w:val="32"/>
          <w:shd w:val="clear" w:fill="FFFFFF"/>
        </w:rPr>
        <w:t>连锁品牌按照连锁数量给予一定补助</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Theme="minorEastAsia" w:hAnsiTheme="minorEastAsia" w:eastAsiaTheme="minorEastAsia" w:cstheme="minorEastAsia"/>
          <w:color w:val="auto"/>
          <w:sz w:val="28"/>
          <w:szCs w:val="28"/>
        </w:rPr>
      </w:pP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b/>
          <w:bCs/>
          <w:i w:val="0"/>
          <w:caps w:val="0"/>
          <w:color w:val="auto"/>
          <w:spacing w:val="0"/>
          <w:sz w:val="32"/>
          <w:szCs w:val="32"/>
          <w:shd w:val="clear" w:fill="FFFFFF"/>
          <w:lang w:val="en-US" w:eastAsia="zh-CN"/>
        </w:rPr>
        <w:t>十五</w:t>
      </w: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b/>
          <w:bCs/>
          <w:i w:val="0"/>
          <w:caps w:val="0"/>
          <w:color w:val="auto"/>
          <w:spacing w:val="0"/>
          <w:sz w:val="32"/>
          <w:szCs w:val="32"/>
          <w:shd w:val="clear" w:fill="FFFFFF"/>
        </w:rPr>
        <w:t>强化养老服务</w:t>
      </w:r>
      <w:r>
        <w:rPr>
          <w:rFonts w:hint="eastAsia" w:ascii="仿宋_GB2312" w:hAnsi="仿宋_GB2312" w:eastAsia="仿宋_GB2312" w:cs="仿宋_GB2312"/>
          <w:b/>
          <w:bCs/>
          <w:i w:val="0"/>
          <w:caps w:val="0"/>
          <w:color w:val="auto"/>
          <w:spacing w:val="0"/>
          <w:sz w:val="32"/>
          <w:szCs w:val="32"/>
          <w:shd w:val="clear" w:fill="FFFFFF"/>
          <w:lang w:val="en-US" w:eastAsia="zh-CN"/>
        </w:rPr>
        <w:t>监管</w:t>
      </w:r>
      <w:r>
        <w:rPr>
          <w:rFonts w:hint="eastAsia" w:ascii="仿宋_GB2312" w:hAnsi="仿宋_GB2312" w:eastAsia="仿宋_GB2312" w:cs="仿宋_GB2312"/>
          <w:b/>
          <w:bCs/>
          <w:i w:val="0"/>
          <w:caps w:val="0"/>
          <w:color w:val="auto"/>
          <w:spacing w:val="0"/>
          <w:sz w:val="32"/>
          <w:szCs w:val="32"/>
          <w:shd w:val="clear" w:fill="FFFFFF"/>
        </w:rPr>
        <w:t>保障</w:t>
      </w: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建立覆盖养老服务机构法人（负责人）、从业人员和服务对象的行业信用体系，加强信用监管和信息公开。建立养老服务失信联合惩戒机制，对被纳入养老服务市场失信对象名单的个人和养老服务机构实行重点监管，失信个人不得从事养老服务工作，不得担任养老机构负责人，失信养老服务机构取消其参与政府购买养老服务和享受政府养老补贴的资格，并按照有关规定依法予以惩戒。建立健全养老服务领域“双随机、一公开”和联合执法工作机制，加大对违规养老服务行为的查处惩戒力度。持续开展养老服务领域非法集资整治工作，建立健全养老服务领域金融风险监测预警体系</w:t>
      </w:r>
      <w:r>
        <w:rPr>
          <w:rFonts w:hint="eastAsia" w:ascii="仿宋_GB2312" w:hAnsi="仿宋_GB2312" w:eastAsia="仿宋_GB2312" w:cs="仿宋_GB2312"/>
          <w:i w:val="0"/>
          <w:caps w:val="0"/>
          <w:color w:val="auto"/>
          <w:spacing w:val="0"/>
          <w:sz w:val="32"/>
          <w:szCs w:val="32"/>
          <w:shd w:val="clear" w:fill="FFFFFF"/>
          <w:lang w:eastAsia="zh-CN"/>
        </w:rPr>
        <w:t>，对涉嫌非法集资行为及时调查核实、发布风险提示并依法稳妥处置。加强行政效能建设与养老服务体系项目建设情况考核，</w:t>
      </w:r>
      <w:r>
        <w:rPr>
          <w:rFonts w:hint="eastAsia" w:ascii="仿宋_GB2312" w:hAnsi="仿宋_GB2312" w:eastAsia="仿宋_GB2312" w:cs="仿宋_GB2312"/>
          <w:i w:val="0"/>
          <w:caps w:val="0"/>
          <w:color w:val="auto"/>
          <w:spacing w:val="0"/>
          <w:sz w:val="32"/>
          <w:szCs w:val="32"/>
          <w:shd w:val="clear" w:fill="FFFFFF"/>
          <w:lang w:val="en-US" w:eastAsia="zh-CN"/>
        </w:rPr>
        <w:t>科学运用考核结果。</w:t>
      </w: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北师大说文小篆">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03CC"/>
    <w:rsid w:val="07DFD498"/>
    <w:rsid w:val="16866D90"/>
    <w:rsid w:val="1CB82D94"/>
    <w:rsid w:val="26B82BEF"/>
    <w:rsid w:val="43D51F1B"/>
    <w:rsid w:val="4B015036"/>
    <w:rsid w:val="524669AE"/>
    <w:rsid w:val="53EF53D0"/>
    <w:rsid w:val="635BD8B1"/>
    <w:rsid w:val="64AE1E07"/>
    <w:rsid w:val="6C321AFE"/>
    <w:rsid w:val="75B521A2"/>
    <w:rsid w:val="773A434C"/>
    <w:rsid w:val="77F72CDB"/>
    <w:rsid w:val="79EF7BB5"/>
    <w:rsid w:val="7FA4CE0B"/>
    <w:rsid w:val="B1DECFDB"/>
    <w:rsid w:val="CFFE414E"/>
    <w:rsid w:val="D6ECED52"/>
    <w:rsid w:val="EFBE1F74"/>
    <w:rsid w:val="F5BD01AC"/>
    <w:rsid w:val="FBBF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3629</Words>
  <Characters>3686</Characters>
  <Lines>0</Lines>
  <Paragraphs>0</Paragraphs>
  <TotalTime>1</TotalTime>
  <ScaleCrop>false</ScaleCrop>
  <LinksUpToDate>false</LinksUpToDate>
  <CharactersWithSpaces>3708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2021-05-27T15:19:00Z</dcterms:created>
  <dc:creator>lenovo</dc:creator>
  <cp:lastModifiedBy>贝呗子</cp:lastModifiedBy>
  <cp:lastPrinted>2022-01-07T20:16:00Z</cp:lastPrinted>
  <dcterms:modified xsi:type="dcterms:W3CDTF">2025-06-20T11:27:20Z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7A478877EC53620F18D554685425B5E3</vt:lpwstr>
  </property>
</Properties>
</file>