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pPr>
      <w:bookmarkStart w:id="0" w:name="OLE_LINK1"/>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sz w:val="32"/>
          <w:szCs w:val="32"/>
        </w:rPr>
      </w:pPr>
      <w:r>
        <w:rPr>
          <w:color w:val="000000"/>
          <w:sz w:val="32"/>
          <w:szCs w:val="32"/>
        </w:rPr>
        <w:t>湘农发〔2022〕94号</w:t>
      </w:r>
    </w:p>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color w:val="000000"/>
          <w:sz w:val="32"/>
          <w:szCs w:val="32"/>
        </w:rPr>
      </w:pPr>
    </w:p>
    <w:p>
      <w:pPr>
        <w:pStyle w:val="2"/>
        <w:rPr>
          <w:color w:val="000000"/>
          <w:spacing w:val="20"/>
        </w:rPr>
      </w:pPr>
      <w:r>
        <w:rPr>
          <w:color w:val="000000"/>
          <w:spacing w:val="20"/>
        </w:rPr>
        <w:t>湖南省农业农村厅</w:t>
      </w:r>
    </w:p>
    <w:bookmarkEnd w:id="0"/>
    <w:p>
      <w:pPr>
        <w:pStyle w:val="2"/>
        <w:rPr>
          <w:kern w:val="2"/>
        </w:rPr>
      </w:pPr>
      <w:r>
        <w:rPr>
          <w:kern w:val="2"/>
        </w:rPr>
        <w:t>关于印发《</w:t>
      </w:r>
      <w:bookmarkStart w:id="1" w:name="_GoBack"/>
      <w:r>
        <w:rPr>
          <w:kern w:val="2"/>
        </w:rPr>
        <w:t>湖南省农业农村领域首次轻微</w:t>
      </w:r>
    </w:p>
    <w:p>
      <w:pPr>
        <w:pStyle w:val="2"/>
        <w:rPr>
          <w:kern w:val="2"/>
        </w:rPr>
      </w:pPr>
      <w:r>
        <w:rPr>
          <w:kern w:val="2"/>
        </w:rPr>
        <w:t>违法行为免罚清单</w:t>
      </w:r>
      <w:bookmarkEnd w:id="1"/>
      <w:r>
        <w:rPr>
          <w:kern w:val="2"/>
        </w:rPr>
        <w:t>》的通知</w:t>
      </w:r>
    </w:p>
    <w:p>
      <w:pPr>
        <w:ind w:firstLine="640"/>
        <w:rPr>
          <w:shd w:val="clear" w:color="auto" w:fill="FFFFFF"/>
        </w:rPr>
      </w:pPr>
    </w:p>
    <w:p>
      <w:pPr>
        <w:ind w:firstLine="0" w:firstLineChars="0"/>
        <w:rPr>
          <w:shd w:val="clear" w:color="auto" w:fill="FFFFFF"/>
        </w:rPr>
      </w:pPr>
      <w:r>
        <w:rPr>
          <w:shd w:val="clear" w:color="auto" w:fill="FFFFFF"/>
        </w:rPr>
        <w:t>各市州、县市区农业农村局，厅机关各处室、厅直各单位：</w:t>
      </w:r>
    </w:p>
    <w:p>
      <w:pPr>
        <w:ind w:firstLine="640"/>
        <w:rPr>
          <w:shd w:val="clear" w:color="auto" w:fill="FFFFFF"/>
        </w:rPr>
      </w:pPr>
      <w:r>
        <w:rPr>
          <w:shd w:val="clear" w:color="auto" w:fill="FFFFFF"/>
        </w:rPr>
        <w:t>为深入贯彻落实国务院关于持续推进“简政放权、放管结合、优化服务”的工作要求，进一步优化营商环境，探索建立包容审慎监管模式，根据《中华人民共和国行政处罚法》《湖南省优化营商环境规定》等法律法规规章规定，结合我省农业农村实际，我厅制定了《湖南省农业农村领域首次轻微违法行为免罚清单》，现印发给你们，请遵照以下规定认真贯彻执行。</w:t>
      </w:r>
    </w:p>
    <w:p>
      <w:pPr>
        <w:pStyle w:val="3"/>
        <w:spacing w:line="600" w:lineRule="atLeast"/>
        <w:ind w:firstLine="640"/>
      </w:pPr>
      <w:r>
        <w:t>一、适用原则</w:t>
      </w:r>
    </w:p>
    <w:p>
      <w:pPr>
        <w:spacing w:line="600" w:lineRule="atLeast"/>
        <w:ind w:firstLine="643"/>
        <w:rPr>
          <w:shd w:val="clear" w:color="auto" w:fill="FFFFFF"/>
        </w:rPr>
      </w:pPr>
      <w:r>
        <w:rPr>
          <w:rStyle w:val="23"/>
        </w:rPr>
        <w:t>一是依法监管。</w:t>
      </w:r>
      <w:r>
        <w:rPr>
          <w:shd w:val="clear" w:color="auto" w:fill="FFFFFF"/>
        </w:rPr>
        <w:t>坚持依法监管，确保执法有据、程序合法，处理结果符合相关法律规定。守好农业生产和农产品质量安全底线，强化重点领域执法监管工作，严厉惩处相关违法行为。</w:t>
      </w:r>
    </w:p>
    <w:p>
      <w:pPr>
        <w:spacing w:line="600" w:lineRule="atLeast"/>
        <w:ind w:firstLine="643"/>
        <w:rPr>
          <w:shd w:val="clear" w:color="auto" w:fill="FFFFFF"/>
        </w:rPr>
      </w:pPr>
      <w:r>
        <w:rPr>
          <w:rStyle w:val="23"/>
        </w:rPr>
        <w:t>二是过罚相当。</w:t>
      </w:r>
      <w:r>
        <w:rPr>
          <w:shd w:val="clear" w:color="auto" w:fill="FFFFFF"/>
        </w:rPr>
        <w:t>对违法行为给予行政处罚必须以事实为依据，综合考虑违法行为的性质、情节以及社会危害程度，做到过罚相当。对未造成明显危害后果的轻微违法行为，经批评教育、即时或承诺改正后，不予行政处罚。</w:t>
      </w:r>
    </w:p>
    <w:p>
      <w:pPr>
        <w:spacing w:line="600" w:lineRule="atLeast"/>
        <w:ind w:firstLine="627"/>
        <w:rPr>
          <w:spacing w:val="-4"/>
          <w:shd w:val="clear" w:color="auto" w:fill="FFFFFF"/>
        </w:rPr>
      </w:pPr>
      <w:r>
        <w:rPr>
          <w:rStyle w:val="23"/>
          <w:spacing w:val="-4"/>
        </w:rPr>
        <w:t>三是柔性执法。</w:t>
      </w:r>
      <w:r>
        <w:rPr>
          <w:spacing w:val="-4"/>
          <w:shd w:val="clear" w:color="auto" w:fill="FFFFFF"/>
        </w:rPr>
        <w:t>灵活运用引导、说服、教育等非强制性执法方式，从源头上防止和减少违法行为，规范生产经营秩序，实现法律效果和社会效果的统一、刚性制度制约和柔性执法方式并行。</w:t>
      </w:r>
    </w:p>
    <w:p>
      <w:pPr>
        <w:pStyle w:val="3"/>
        <w:spacing w:line="600" w:lineRule="atLeast"/>
        <w:ind w:firstLine="640"/>
      </w:pPr>
      <w:r>
        <w:t>二、适用条件</w:t>
      </w:r>
    </w:p>
    <w:p>
      <w:pPr>
        <w:spacing w:line="600" w:lineRule="atLeast"/>
        <w:ind w:firstLine="632"/>
        <w:rPr>
          <w:spacing w:val="-2"/>
          <w:shd w:val="clear" w:color="auto" w:fill="FFFFFF"/>
        </w:rPr>
      </w:pPr>
      <w:r>
        <w:rPr>
          <w:spacing w:val="-2"/>
          <w:shd w:val="clear" w:color="auto" w:fill="FFFFFF"/>
        </w:rPr>
        <w:t>依据《中华人民共和国行政处罚法》第三十三条“初次违法且危害后果轻微并及时改正的，可以不予行政处罚”的规定，农业农村部门在日常监督检查、“双随机”抽查以及通过投诉举报、部门移送、上级交办等掌握案件线索后开展的执法检查过程中，当事人的违法行为同时具备以下条件的，认定首次轻微违法行为：</w:t>
      </w:r>
    </w:p>
    <w:p>
      <w:pPr>
        <w:spacing w:line="600" w:lineRule="atLeast"/>
        <w:ind w:firstLine="643"/>
        <w:rPr>
          <w:shd w:val="clear" w:color="auto" w:fill="FFFFFF"/>
        </w:rPr>
      </w:pPr>
      <w:r>
        <w:rPr>
          <w:rStyle w:val="23"/>
        </w:rPr>
        <w:t>（一）违法行为首次被查获。</w:t>
      </w:r>
      <w:r>
        <w:rPr>
          <w:shd w:val="clear" w:color="auto" w:fill="FFFFFF"/>
        </w:rPr>
        <w:t>“首次”是指自本通知执行之日起，当事人在该违法行为发生之日前24个月内在违法行为发生地未因同类违法事项被责令改正或行政处罚。</w:t>
      </w:r>
    </w:p>
    <w:p>
      <w:pPr>
        <w:spacing w:line="600" w:lineRule="atLeast"/>
        <w:ind w:firstLine="643"/>
        <w:rPr>
          <w:shd w:val="clear" w:color="auto" w:fill="FFFFFF"/>
        </w:rPr>
      </w:pPr>
      <w:r>
        <w:rPr>
          <w:rStyle w:val="23"/>
        </w:rPr>
        <w:t>（二）危害后果轻微。</w:t>
      </w:r>
      <w:r>
        <w:rPr>
          <w:shd w:val="clear" w:color="auto" w:fill="FFFFFF"/>
        </w:rPr>
        <w:t>“危害后果轻微”是指行政相对人违法所得少于200元</w:t>
      </w:r>
      <w:r>
        <w:rPr>
          <w:rFonts w:hint="eastAsia"/>
          <w:shd w:val="clear" w:color="auto" w:fill="FFFFFF"/>
        </w:rPr>
        <w:t>或</w:t>
      </w:r>
      <w:r>
        <w:rPr>
          <w:shd w:val="clear" w:color="auto" w:fill="FFFFFF"/>
        </w:rPr>
        <w:t>违法货值金额少于500元的；行政相对人无违法货值金额、违法所得，违法行为持续时间少于30天的；行政相对人仅违反轻微程序性规定；违法行为未造成公共财产、国家和个人利益遭受损失及生态环境损害等情形的。</w:t>
      </w:r>
    </w:p>
    <w:p>
      <w:pPr>
        <w:spacing w:line="600" w:lineRule="atLeast"/>
        <w:ind w:firstLine="643"/>
        <w:rPr>
          <w:shd w:val="clear" w:color="auto" w:fill="FFFFFF"/>
        </w:rPr>
      </w:pPr>
      <w:r>
        <w:rPr>
          <w:rStyle w:val="23"/>
        </w:rPr>
        <w:t>（三）具备改正条件且当事人承诺及时改正。</w:t>
      </w:r>
      <w:r>
        <w:rPr>
          <w:shd w:val="clear" w:color="auto" w:fill="FFFFFF"/>
        </w:rPr>
        <w:t>“及时改正”是指行政相对人在农业农村部门立案前对违法行为主动改正且符合要求的；农业农村部门立案后责令改正前主动改正且符合要求的；农业农村部门责令限期改正，行政相对人在限期内改正且符合要求的。除法律、法规、规章另有规定的外，责令改正期限一般不超过十个工作日。</w:t>
      </w:r>
    </w:p>
    <w:p>
      <w:pPr>
        <w:pStyle w:val="4"/>
        <w:spacing w:line="600" w:lineRule="atLeast"/>
        <w:ind w:firstLine="643"/>
        <w:rPr>
          <w:rFonts w:eastAsia="仿宋_GB2312"/>
          <w:shd w:val="clear" w:color="auto" w:fill="FFFFFF"/>
        </w:rPr>
      </w:pPr>
      <w:r>
        <w:rPr>
          <w:shd w:val="clear" w:color="auto" w:fill="FFFFFF"/>
        </w:rPr>
        <w:t>（四）属于《湖南省农业农村领域首次轻微违法行为免罚清单》所列情形。</w:t>
      </w:r>
      <w:r>
        <w:rPr>
          <w:rFonts w:eastAsia="仿宋_GB2312"/>
          <w:shd w:val="clear" w:color="auto" w:fill="FFFFFF"/>
        </w:rPr>
        <w:t>　　　　　　</w:t>
      </w:r>
    </w:p>
    <w:p>
      <w:pPr>
        <w:pStyle w:val="3"/>
        <w:spacing w:line="600" w:lineRule="atLeast"/>
        <w:ind w:firstLine="640"/>
      </w:pPr>
      <w:r>
        <w:t>三、适用要求</w:t>
      </w:r>
    </w:p>
    <w:p>
      <w:pPr>
        <w:spacing w:line="600" w:lineRule="atLeast"/>
        <w:ind w:firstLine="643"/>
        <w:rPr>
          <w:shd w:val="clear" w:color="auto" w:fill="FFFFFF"/>
        </w:rPr>
      </w:pPr>
      <w:r>
        <w:rPr>
          <w:rStyle w:val="23"/>
        </w:rPr>
        <w:t>（一）严格把握适用范围和程序。</w:t>
      </w:r>
      <w:r>
        <w:rPr>
          <w:shd w:val="clear" w:color="auto" w:fill="FFFFFF"/>
        </w:rPr>
        <w:t>原则上，纳入清单事项且符合适用条件的，应当适用首次轻微违法行为免罚制，及时向行政相对人下发《责令改正通知书》，责令改正期限届满后，农业农村部门应收集佐证材料，尽快完成核查并整理归档。行政相对人收到《责令改正通知书》后拒不改正、逾期不改正或者改正后仍不符合要求的，农业农村部门应当依法予以立案。</w:t>
      </w:r>
    </w:p>
    <w:p>
      <w:pPr>
        <w:spacing w:line="600" w:lineRule="atLeast"/>
        <w:ind w:firstLine="643"/>
        <w:rPr>
          <w:shd w:val="clear" w:color="auto" w:fill="FFFFFF"/>
        </w:rPr>
      </w:pPr>
      <w:r>
        <w:rPr>
          <w:rStyle w:val="23"/>
        </w:rPr>
        <w:t>（二）强化执法痕迹化管理。</w:t>
      </w:r>
      <w:r>
        <w:rPr>
          <w:shd w:val="clear" w:color="auto" w:fill="FFFFFF"/>
        </w:rPr>
        <w:t>应严格落实执法全过程记录制度的相关要求，视情况可以采用音像记录方式记录执法全过程。行政相对人应签署承诺，承诺书一式两份，执法机关和行政相对人各持一份。执法人员应将相关执法资料整理归档，并将《湖南省</w:t>
      </w:r>
      <w:r>
        <w:t>农业农村领域首次轻微违法行为告知承诺书</w:t>
      </w:r>
      <w:r>
        <w:rPr>
          <w:shd w:val="clear" w:color="auto" w:fill="FFFFFF"/>
        </w:rPr>
        <w:t>》及时上传至相关信用平台，确保履职尽责有据可查。对于通过实名举报、其他部门移送或上级交办方式获得的案件线索，应将适用告知承诺制的有关情况告知案件线索来源方。</w:t>
      </w:r>
    </w:p>
    <w:p>
      <w:pPr>
        <w:spacing w:line="600" w:lineRule="atLeast"/>
        <w:ind w:firstLine="643"/>
        <w:rPr>
          <w:shd w:val="clear" w:color="auto" w:fill="FFFFFF"/>
        </w:rPr>
      </w:pPr>
      <w:r>
        <w:rPr>
          <w:rStyle w:val="23"/>
        </w:rPr>
        <w:t>（三）建立动态评估调整机制。</w:t>
      </w:r>
      <w:r>
        <w:rPr>
          <w:shd w:val="clear" w:color="auto" w:fill="FFFFFF"/>
        </w:rPr>
        <w:t>各地在实施首次轻微违法行为免罚制过程中，要密切跟踪、评估实施情况和效果，听取社会各界尤其是行政相对人的意见建议，及时发现问题、总结经验，提出调整建议。省农业农村厅将根据法律法规规章立改废释以及具体实施效果等情况，对事项清单进行动态调整。</w:t>
      </w:r>
    </w:p>
    <w:p>
      <w:pPr>
        <w:spacing w:line="600" w:lineRule="atLeast"/>
        <w:ind w:firstLine="643"/>
        <w:rPr>
          <w:shd w:val="clear" w:color="auto" w:fill="FFFFFF"/>
        </w:rPr>
      </w:pPr>
      <w:r>
        <w:rPr>
          <w:rStyle w:val="23"/>
        </w:rPr>
        <w:t>（四）加强普法宣传教育。</w:t>
      </w:r>
      <w:r>
        <w:rPr>
          <w:shd w:val="clear" w:color="auto" w:fill="FFFFFF"/>
        </w:rPr>
        <w:t>认真贯彻落实“谁执法谁普法”的普法责任制，在实施首次轻微违法行为免罚制时，应当强化普法宣传教育，指出行政相对人违法行为的违法事实、性质、情节、可能造成的危害后果等，使其知错改错，以增强自律意识、合法经营意识为重点，耐心细致教育引导行政相对人依法经营、诚信经营。</w:t>
      </w:r>
    </w:p>
    <w:p>
      <w:pPr>
        <w:pStyle w:val="3"/>
        <w:spacing w:line="600" w:lineRule="atLeast"/>
        <w:ind w:firstLine="640"/>
      </w:pPr>
      <w:r>
        <w:t>四、适用时间</w:t>
      </w:r>
    </w:p>
    <w:p>
      <w:pPr>
        <w:spacing w:line="600" w:lineRule="atLeast"/>
        <w:ind w:firstLine="640"/>
        <w:rPr>
          <w:shd w:val="clear" w:color="auto" w:fill="FFFFFF"/>
        </w:rPr>
      </w:pPr>
      <w:r>
        <w:rPr>
          <w:shd w:val="clear" w:color="auto" w:fill="FFFFFF"/>
        </w:rPr>
        <w:t>《湖南省农业农村领域首次轻微违法行为免罚清单》自</w:t>
      </w:r>
      <w:r>
        <w:rPr>
          <w:rFonts w:hint="eastAsia"/>
          <w:shd w:val="clear" w:color="auto" w:fill="FFFFFF"/>
        </w:rPr>
        <w:t>印发之日</w:t>
      </w:r>
      <w:r>
        <w:rPr>
          <w:shd w:val="clear" w:color="auto" w:fill="FFFFFF"/>
        </w:rPr>
        <w:t>起施行</w:t>
      </w:r>
      <w:r>
        <w:rPr>
          <w:rFonts w:hint="eastAsia"/>
          <w:shd w:val="clear" w:color="auto" w:fill="FFFFFF"/>
        </w:rPr>
        <w:t>，有效期为5年</w:t>
      </w:r>
      <w:r>
        <w:rPr>
          <w:shd w:val="clear" w:color="auto" w:fill="FFFFFF"/>
        </w:rPr>
        <w:t>。</w:t>
      </w:r>
    </w:p>
    <w:p>
      <w:pPr>
        <w:spacing w:line="600" w:lineRule="atLeast"/>
        <w:ind w:firstLine="640"/>
        <w:rPr>
          <w:shd w:val="clear" w:color="auto" w:fill="FFFFFF"/>
        </w:rPr>
      </w:pPr>
    </w:p>
    <w:p>
      <w:pPr>
        <w:spacing w:line="600" w:lineRule="atLeast"/>
        <w:ind w:firstLine="640"/>
      </w:pPr>
      <w:r>
        <w:t>附件：1.《湖南省农业农村领域首次轻微违法行为免罚清单》</w:t>
      </w:r>
    </w:p>
    <w:p>
      <w:pPr>
        <w:pStyle w:val="16"/>
        <w:spacing w:beforeAutospacing="0" w:afterAutospacing="0" w:line="600" w:lineRule="atLeast"/>
        <w:ind w:left="2252" w:leftChars="304" w:hanging="1280" w:hangingChars="4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（第一批）</w:t>
      </w:r>
    </w:p>
    <w:p>
      <w:pPr>
        <w:spacing w:line="600" w:lineRule="atLeast"/>
        <w:ind w:firstLine="640"/>
        <w:rPr>
          <w:spacing w:val="-6"/>
        </w:rPr>
      </w:pPr>
      <w:r>
        <w:t xml:space="preserve">     2.</w:t>
      </w:r>
      <w:r>
        <w:rPr>
          <w:spacing w:val="-6"/>
        </w:rPr>
        <w:t>《湖南省农业农村领域首次轻微违法行为告知承诺书》</w:t>
      </w:r>
    </w:p>
    <w:p>
      <w:pPr>
        <w:spacing w:line="600" w:lineRule="atLeast"/>
        <w:ind w:firstLine="640"/>
      </w:pPr>
      <w:r>
        <w:t xml:space="preserve"> </w:t>
      </w:r>
    </w:p>
    <w:p>
      <w:pPr>
        <w:spacing w:line="600" w:lineRule="atLeast"/>
        <w:ind w:right="640" w:rightChars="200" w:firstLine="0" w:firstLineChars="0"/>
        <w:rPr>
          <w:spacing w:val="20"/>
          <w:szCs w:val="32"/>
        </w:rPr>
      </w:pPr>
      <w:r>
        <w:rPr>
          <w:spacing w:val="20"/>
        </w:rPr>
        <w:t xml:space="preserve">                        </w:t>
      </w:r>
      <w:r>
        <w:rPr>
          <w:spacing w:val="20"/>
          <w:szCs w:val="32"/>
        </w:rPr>
        <w:t xml:space="preserve">  湖南省农业农村厅</w:t>
      </w:r>
    </w:p>
    <w:p>
      <w:pPr>
        <w:spacing w:line="600" w:lineRule="atLeast"/>
        <w:ind w:firstLine="627" w:firstLineChars="196"/>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588" w:gutter="0"/>
          <w:cols w:space="425" w:num="1"/>
          <w:docGrid w:type="linesAndChars" w:linePitch="579" w:charSpace="0"/>
        </w:sectPr>
      </w:pPr>
      <w:r>
        <w:t xml:space="preserve">                              2022年9月27日</w:t>
      </w:r>
    </w:p>
    <w:p>
      <w:pPr>
        <w:pStyle w:val="3"/>
        <w:ind w:firstLine="0" w:firstLineChars="0"/>
      </w:pPr>
      <w:r>
        <w:t>附件1</w:t>
      </w:r>
    </w:p>
    <w:p>
      <w:pPr>
        <w:spacing w:before="78" w:beforeLines="25" w:after="78" w:afterLines="25" w:line="500" w:lineRule="exact"/>
        <w:ind w:firstLine="720"/>
        <w:jc w:val="center"/>
        <w:rPr>
          <w:rFonts w:eastAsia="方正小标宋简体"/>
          <w:color w:val="000000"/>
          <w:sz w:val="36"/>
          <w:szCs w:val="36"/>
        </w:rPr>
      </w:pPr>
      <w:r>
        <w:rPr>
          <w:rFonts w:eastAsia="方正小标宋简体"/>
          <w:color w:val="000000"/>
          <w:sz w:val="36"/>
          <w:szCs w:val="36"/>
        </w:rPr>
        <w:t>湖南省农业农村领域首次轻微违法行为免罚清单（第一批）</w:t>
      </w:r>
    </w:p>
    <w:tbl>
      <w:tblPr>
        <w:tblStyle w:val="17"/>
        <w:tblW w:w="14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810"/>
        <w:gridCol w:w="3045"/>
        <w:gridCol w:w="7815"/>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3" w:hRule="atLeast"/>
          <w:tblHeader/>
          <w:jc w:val="center"/>
        </w:trPr>
        <w:tc>
          <w:tcPr>
            <w:tcW w:w="810" w:type="dxa"/>
            <w:noWrap w:val="0"/>
            <w:vAlign w:val="center"/>
          </w:tcPr>
          <w:p>
            <w:pPr>
              <w:spacing w:line="320" w:lineRule="exact"/>
              <w:ind w:firstLine="0" w:firstLineChars="0"/>
              <w:jc w:val="center"/>
              <w:textAlignment w:val="center"/>
              <w:rPr>
                <w:rFonts w:eastAsia="黑体"/>
                <w:color w:val="000000"/>
                <w:sz w:val="24"/>
              </w:rPr>
            </w:pPr>
            <w:r>
              <w:rPr>
                <w:rFonts w:eastAsia="黑体"/>
                <w:color w:val="000000"/>
                <w:sz w:val="24"/>
              </w:rPr>
              <w:t>序号</w:t>
            </w:r>
          </w:p>
        </w:tc>
        <w:tc>
          <w:tcPr>
            <w:tcW w:w="3045" w:type="dxa"/>
            <w:noWrap w:val="0"/>
            <w:vAlign w:val="center"/>
          </w:tcPr>
          <w:p>
            <w:pPr>
              <w:spacing w:line="320" w:lineRule="exact"/>
              <w:ind w:firstLine="0" w:firstLineChars="0"/>
              <w:jc w:val="center"/>
              <w:textAlignment w:val="center"/>
              <w:rPr>
                <w:rFonts w:eastAsia="黑体"/>
                <w:color w:val="000000"/>
                <w:sz w:val="24"/>
              </w:rPr>
            </w:pPr>
            <w:r>
              <w:rPr>
                <w:rFonts w:eastAsia="黑体"/>
                <w:color w:val="000000"/>
                <w:sz w:val="24"/>
              </w:rPr>
              <w:t>违法行为</w:t>
            </w:r>
          </w:p>
        </w:tc>
        <w:tc>
          <w:tcPr>
            <w:tcW w:w="7815" w:type="dxa"/>
            <w:noWrap w:val="0"/>
            <w:vAlign w:val="center"/>
          </w:tcPr>
          <w:p>
            <w:pPr>
              <w:spacing w:line="320" w:lineRule="exact"/>
              <w:ind w:firstLine="0" w:firstLineChars="0"/>
              <w:jc w:val="center"/>
              <w:textAlignment w:val="center"/>
              <w:rPr>
                <w:rFonts w:eastAsia="黑体"/>
                <w:color w:val="000000"/>
                <w:sz w:val="24"/>
              </w:rPr>
            </w:pPr>
            <w:r>
              <w:rPr>
                <w:rFonts w:eastAsia="黑体"/>
                <w:color w:val="000000"/>
                <w:sz w:val="24"/>
              </w:rPr>
              <w:t>适用法律法规规章依据</w:t>
            </w:r>
          </w:p>
        </w:tc>
        <w:tc>
          <w:tcPr>
            <w:tcW w:w="2508" w:type="dxa"/>
            <w:noWrap w:val="0"/>
            <w:vAlign w:val="center"/>
          </w:tcPr>
          <w:p>
            <w:pPr>
              <w:spacing w:line="320" w:lineRule="exact"/>
              <w:ind w:firstLine="0" w:firstLineChars="0"/>
              <w:jc w:val="center"/>
              <w:textAlignment w:val="center"/>
              <w:rPr>
                <w:rFonts w:eastAsia="黑体"/>
                <w:color w:val="000000"/>
                <w:sz w:val="24"/>
              </w:rPr>
            </w:pPr>
            <w:r>
              <w:rPr>
                <w:rFonts w:eastAsia="黑体"/>
                <w:color w:val="000000"/>
                <w:sz w:val="24"/>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畜禽养殖场未建立养殖档案，或者未按照规定保存养殖档案</w:t>
            </w:r>
          </w:p>
        </w:tc>
        <w:tc>
          <w:tcPr>
            <w:tcW w:w="781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b/>
                <w:bCs/>
                <w:color w:val="000000"/>
                <w:sz w:val="24"/>
                <w:szCs w:val="24"/>
              </w:rPr>
              <w:t>《中华人民共和国畜牧法》第四十一条：</w:t>
            </w:r>
            <w:r>
              <w:rPr>
                <w:rFonts w:ascii="Times New Roman" w:hAnsi="Times New Roman" w:eastAsia="仿宋_GB2312" w:cs="Times New Roman"/>
                <w:color w:val="000000"/>
                <w:sz w:val="24"/>
                <w:szCs w:val="24"/>
              </w:rPr>
              <w:t>畜禽养殖场应当建立养殖档案，载明以下内容：（一）畜禽的品种、数量、繁殖记录、标识情况、来源和进出场日期；（二）饲料、饲料添加剂、兽药等投入品的来源、名称、使用对象、时间和用量；（三）检疫、免疫、消毒情况；（四）畜禽发病、死亡和无害化处理情况；（五）国务院畜牧兽医行政主管部门规定的其他内容。</w:t>
            </w:r>
            <w:r>
              <w:rPr>
                <w:rFonts w:ascii="Times New Roman" w:hAnsi="Times New Roman" w:eastAsia="仿宋_GB2312" w:cs="Times New Roman"/>
                <w:b/>
                <w:bCs/>
                <w:color w:val="000000"/>
                <w:sz w:val="24"/>
                <w:szCs w:val="24"/>
              </w:rPr>
              <w:t>第六十六条：</w:t>
            </w:r>
            <w:r>
              <w:rPr>
                <w:rFonts w:ascii="Times New Roman" w:hAnsi="Times New Roman" w:eastAsia="仿宋_GB2312" w:cs="Times New Roman"/>
                <w:color w:val="000000"/>
                <w:sz w:val="24"/>
                <w:szCs w:val="24"/>
              </w:rPr>
              <w:t>违反本法第四十一条规定，畜禽养殖场未建立养殖档案的，或者</w:t>
            </w:r>
            <w:r>
              <w:rPr>
                <w:rFonts w:ascii="Times New Roman" w:hAnsi="Times New Roman" w:eastAsia="仿宋_GB2312" w:cs="Times New Roman"/>
                <w:color w:val="000000"/>
                <w:kern w:val="0"/>
                <w:sz w:val="24"/>
                <w:szCs w:val="24"/>
              </w:rPr>
              <w:t>未按照规定保存养殖档案的，由</w:t>
            </w:r>
            <w:r>
              <w:rPr>
                <w:rFonts w:ascii="Times New Roman" w:hAnsi="Times New Roman" w:eastAsia="仿宋_GB2312" w:cs="Times New Roman"/>
                <w:color w:val="000000"/>
                <w:sz w:val="24"/>
                <w:szCs w:val="24"/>
              </w:rPr>
              <w:t>县级以上人民政府畜牧兽医行政主管部</w:t>
            </w:r>
            <w:r>
              <w:rPr>
                <w:rFonts w:ascii="Times New Roman" w:hAnsi="Times New Roman" w:eastAsia="仿宋_GB2312" w:cs="Times New Roman"/>
                <w:color w:val="000000"/>
                <w:kern w:val="0"/>
                <w:sz w:val="24"/>
                <w:szCs w:val="24"/>
              </w:rPr>
              <w:t>门责令限期改正，可以</w:t>
            </w:r>
            <w:r>
              <w:rPr>
                <w:rFonts w:ascii="Times New Roman" w:hAnsi="Times New Roman" w:eastAsia="仿宋_GB2312" w:cs="Times New Roman"/>
                <w:color w:val="000000"/>
                <w:sz w:val="24"/>
                <w:szCs w:val="24"/>
              </w:rPr>
              <w:t>处一万元以下罚款。</w:t>
            </w:r>
          </w:p>
          <w:p>
            <w:pPr>
              <w:pStyle w:val="9"/>
              <w:snapToGrid w:val="0"/>
              <w:spacing w:line="320" w:lineRule="exac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《中华人民共和国动物防疫法》第九十三条：</w:t>
            </w:r>
            <w:r>
              <w:rPr>
                <w:rFonts w:ascii="Times New Roman" w:hAnsi="Times New Roman" w:eastAsia="仿宋_GB2312" w:cs="Times New Roman"/>
                <w:color w:val="000000"/>
                <w:sz w:val="24"/>
                <w:szCs w:val="24"/>
              </w:rPr>
              <w:t>违反本法规定，对经强制免疫的动物未按照规定建立免疫档案，或者未按照规定加施畜禽标识的，依照《中华人民共和国畜牧法》的有关规定处罚。</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3.在</w:t>
            </w:r>
            <w:r>
              <w:rPr>
                <w:rFonts w:ascii="Times New Roman" w:hAnsi="Times New Roman" w:eastAsia="仿宋_GB2312" w:cs="Times New Roman"/>
                <w:color w:val="000000"/>
                <w:kern w:val="0"/>
                <w:sz w:val="24"/>
                <w:szCs w:val="24"/>
              </w:rPr>
              <w:t>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饲养的犬只未按照规定定期进行狂犬病免疫接种</w:t>
            </w:r>
          </w:p>
        </w:tc>
        <w:tc>
          <w:tcPr>
            <w:tcW w:w="7815" w:type="dxa"/>
            <w:noWrap w:val="0"/>
            <w:vAlign w:val="center"/>
          </w:tcPr>
          <w:p>
            <w:pPr>
              <w:pStyle w:val="9"/>
              <w:snapToGrid w:val="0"/>
              <w:spacing w:line="320" w:lineRule="exac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sz w:val="24"/>
                <w:szCs w:val="24"/>
              </w:rPr>
              <w:t>《中华人民共和国动物防疫法》第九十二条第三项：</w:t>
            </w:r>
            <w:r>
              <w:rPr>
                <w:rFonts w:ascii="Times New Roman" w:hAnsi="Times New Roman" w:eastAsia="仿宋_GB2312" w:cs="Times New Roman"/>
                <w:color w:val="000000"/>
                <w:sz w:val="24"/>
                <w:szCs w:val="24"/>
              </w:rPr>
              <w:t>违反本法规定，有下列行为之一的，由县级以上地方人民政府农业</w:t>
            </w:r>
            <w:r>
              <w:rPr>
                <w:rFonts w:ascii="Times New Roman" w:hAnsi="Times New Roman" w:eastAsia="仿宋_GB2312" w:cs="Times New Roman"/>
                <w:color w:val="000000"/>
                <w:kern w:val="0"/>
                <w:sz w:val="24"/>
                <w:szCs w:val="24"/>
              </w:rPr>
              <w:t>农村主管部门责令限期改正，可以处一千元以下罚款；逾期不改正的，处一千元以上五千元以</w:t>
            </w:r>
            <w:r>
              <w:rPr>
                <w:rFonts w:ascii="Times New Roman" w:hAnsi="Times New Roman" w:eastAsia="仿宋_GB2312" w:cs="Times New Roman"/>
                <w:color w:val="000000"/>
                <w:sz w:val="24"/>
                <w:szCs w:val="24"/>
              </w:rPr>
              <w:t>下罚款，由县级以上地方人民政府农业农村主管部门委托动物诊疗机构、无害化处理场所等代为处理，所需费用由违法行为人承担:（三）对饲养的犬只未按照规定定期进行狂犬病免疫接种的。</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z w:val="24"/>
                <w:szCs w:val="24"/>
              </w:rPr>
              <w:t>2.危</w:t>
            </w:r>
            <w:r>
              <w:rPr>
                <w:rFonts w:ascii="Times New Roman" w:hAnsi="Times New Roman" w:eastAsia="仿宋_GB2312" w:cs="Times New Roman"/>
                <w:color w:val="000000"/>
                <w:kern w:val="0"/>
                <w:sz w:val="24"/>
                <w:szCs w:val="24"/>
              </w:rPr>
              <w:t>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动物、动物产品的运载工具、垫料、包装物、容器等不符合国务院农业农村主管部门规定的动物防疫要求</w:t>
            </w:r>
          </w:p>
        </w:tc>
        <w:tc>
          <w:tcPr>
            <w:tcW w:w="7815" w:type="dxa"/>
            <w:noWrap w:val="0"/>
            <w:vAlign w:val="center"/>
          </w:tcPr>
          <w:p>
            <w:pPr>
              <w:widowControl/>
              <w:spacing w:line="320" w:lineRule="exact"/>
              <w:ind w:firstLine="0" w:firstLineChars="0"/>
              <w:textAlignment w:val="center"/>
              <w:rPr>
                <w:b/>
                <w:bCs/>
                <w:color w:val="000000"/>
                <w:sz w:val="24"/>
              </w:rPr>
            </w:pPr>
            <w:r>
              <w:rPr>
                <w:b/>
                <w:bCs/>
                <w:color w:val="000000"/>
                <w:kern w:val="0"/>
                <w:sz w:val="24"/>
              </w:rPr>
              <w:t>《中华人民共和国动物防疫法》第九十四条：</w:t>
            </w:r>
            <w:r>
              <w:rPr>
                <w:color w:val="000000"/>
                <w:kern w:val="0"/>
                <w:sz w:val="24"/>
              </w:rPr>
              <w:t>违反本法规定，动物、动物产品的运载工具、垫料、包装物、容器等不符合国务院农业农村主管部门规定的动物防疫要求的，由县级以上地方人民政府农业农村主管部门责令改</w:t>
            </w:r>
            <w:r>
              <w:rPr>
                <w:color w:val="000000"/>
                <w:spacing w:val="-6"/>
                <w:kern w:val="0"/>
                <w:sz w:val="24"/>
              </w:rPr>
              <w:t>正，可以处五千元以下罚款；情节严重的，处五千元以上五万元以下罚款。</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2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w:t>
            </w:r>
          </w:p>
        </w:tc>
        <w:tc>
          <w:tcPr>
            <w:tcW w:w="3045" w:type="dxa"/>
            <w:noWrap w:val="0"/>
            <w:vAlign w:val="center"/>
          </w:tcPr>
          <w:p>
            <w:pPr>
              <w:pStyle w:val="9"/>
              <w:snapToGrid w:val="0"/>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经营动物、动物产品的集贸市场不具备国务院农业农村主管部门规定的防疫条件</w:t>
            </w:r>
          </w:p>
        </w:tc>
        <w:tc>
          <w:tcPr>
            <w:tcW w:w="7815" w:type="dxa"/>
            <w:noWrap w:val="0"/>
            <w:vAlign w:val="center"/>
          </w:tcPr>
          <w:p>
            <w:pPr>
              <w:widowControl/>
              <w:spacing w:line="280" w:lineRule="exact"/>
              <w:ind w:firstLine="0" w:firstLineChars="0"/>
              <w:textAlignment w:val="center"/>
              <w:rPr>
                <w:b/>
                <w:bCs/>
                <w:color w:val="000000"/>
                <w:sz w:val="24"/>
              </w:rPr>
            </w:pPr>
            <w:r>
              <w:rPr>
                <w:b/>
                <w:bCs/>
                <w:color w:val="000000"/>
                <w:kern w:val="0"/>
                <w:sz w:val="24"/>
              </w:rPr>
              <w:t>《中华人民共和国动物防疫法》第九十八条第二项：</w:t>
            </w:r>
            <w:r>
              <w:rPr>
                <w:color w:val="000000"/>
                <w:kern w:val="0"/>
                <w:sz w:val="24"/>
              </w:rPr>
              <w:t>违反本法规定，有下列行为之一的，由县级以上地方人民政府农业农村主管部门责令改正，处三千元以上三万元以下罚款；情节严重的，责令停业整顿，并处三万元以上十万元以下罚款：（二）经营动物、动物产品的集贸市场不具备国务院农业农村主管部门规定的防疫条件的。</w:t>
            </w:r>
          </w:p>
        </w:tc>
        <w:tc>
          <w:tcPr>
            <w:tcW w:w="2508" w:type="dxa"/>
            <w:noWrap w:val="0"/>
            <w:vAlign w:val="center"/>
          </w:tcPr>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2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w:t>
            </w:r>
          </w:p>
        </w:tc>
        <w:tc>
          <w:tcPr>
            <w:tcW w:w="3045" w:type="dxa"/>
            <w:noWrap w:val="0"/>
            <w:vAlign w:val="center"/>
          </w:tcPr>
          <w:p>
            <w:pPr>
              <w:widowControl/>
              <w:spacing w:line="280" w:lineRule="exact"/>
              <w:ind w:firstLine="0" w:firstLineChars="0"/>
              <w:textAlignment w:val="center"/>
              <w:rPr>
                <w:color w:val="000000"/>
                <w:sz w:val="24"/>
              </w:rPr>
            </w:pPr>
            <w:r>
              <w:rPr>
                <w:color w:val="000000"/>
                <w:kern w:val="0"/>
                <w:sz w:val="24"/>
              </w:rPr>
              <w:t>种子生产经营者在异地设立分支机构、专门经营不再分装的包装种子或者受委托生产、代销种子，未按规定备案</w:t>
            </w:r>
          </w:p>
        </w:tc>
        <w:tc>
          <w:tcPr>
            <w:tcW w:w="7815" w:type="dxa"/>
            <w:noWrap w:val="0"/>
            <w:vAlign w:val="center"/>
          </w:tcPr>
          <w:p>
            <w:pPr>
              <w:widowControl/>
              <w:spacing w:line="280" w:lineRule="exact"/>
              <w:ind w:firstLine="0" w:firstLineChars="0"/>
              <w:jc w:val="left"/>
              <w:textAlignment w:val="center"/>
              <w:rPr>
                <w:color w:val="000000"/>
                <w:sz w:val="24"/>
              </w:rPr>
            </w:pPr>
            <w:r>
              <w:rPr>
                <w:b/>
                <w:bCs/>
                <w:color w:val="000000"/>
                <w:kern w:val="0"/>
                <w:sz w:val="24"/>
              </w:rPr>
              <w:t>《中华人民共和国种子法》第三十八条第一款：</w:t>
            </w:r>
            <w:r>
              <w:rPr>
                <w:color w:val="000000"/>
                <w:kern w:val="0"/>
                <w:sz w:val="24"/>
              </w:rPr>
              <w:t>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r>
              <w:rPr>
                <w:b/>
                <w:bCs/>
                <w:color w:val="000000"/>
                <w:kern w:val="0"/>
                <w:sz w:val="24"/>
              </w:rPr>
              <w:t>第七十九条第五项：</w:t>
            </w:r>
            <w:r>
              <w:rPr>
                <w:color w:val="000000"/>
                <w:kern w:val="0"/>
                <w:sz w:val="24"/>
              </w:rPr>
              <w:t>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产、代销种子，未按规定备案的。</w:t>
            </w:r>
          </w:p>
        </w:tc>
        <w:tc>
          <w:tcPr>
            <w:tcW w:w="2508" w:type="dxa"/>
            <w:noWrap w:val="0"/>
            <w:vAlign w:val="center"/>
          </w:tcPr>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r>
              <w:rPr>
                <w:rFonts w:ascii="Times New Roman" w:hAnsi="Times New Roman" w:eastAsia="仿宋_GB2312" w:cs="Times New Roman"/>
                <w:color w:val="000000"/>
                <w:kern w:val="0"/>
                <w:sz w:val="24"/>
                <w:szCs w:val="24"/>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810" w:type="dxa"/>
            <w:noWrap w:val="0"/>
            <w:vAlign w:val="center"/>
          </w:tcPr>
          <w:p>
            <w:pPr>
              <w:pStyle w:val="9"/>
              <w:snapToGrid w:val="0"/>
              <w:spacing w:line="28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w:t>
            </w:r>
          </w:p>
        </w:tc>
        <w:tc>
          <w:tcPr>
            <w:tcW w:w="3045" w:type="dxa"/>
            <w:noWrap w:val="0"/>
            <w:vAlign w:val="center"/>
          </w:tcPr>
          <w:p>
            <w:pPr>
              <w:pStyle w:val="9"/>
              <w:snapToGrid w:val="0"/>
              <w:spacing w:line="28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农业投入品使用者未按照规定及时回收肥料等农业投入品的包装废弃物或者农用薄膜，或者未按照规定及时回收农药包装废弃物交由专门的机构或者组织进行无害化处理</w:t>
            </w:r>
          </w:p>
        </w:tc>
        <w:tc>
          <w:tcPr>
            <w:tcW w:w="7815" w:type="dxa"/>
            <w:noWrap w:val="0"/>
            <w:vAlign w:val="center"/>
          </w:tcPr>
          <w:p>
            <w:pPr>
              <w:pStyle w:val="16"/>
              <w:widowControl/>
              <w:snapToGrid w:val="0"/>
              <w:spacing w:beforeAutospacing="0" w:afterAutospacing="0" w:line="280" w:lineRule="exact"/>
              <w:jc w:val="both"/>
              <w:textAlignment w:val="center"/>
              <w:rPr>
                <w:rFonts w:ascii="Times New Roman" w:hAnsi="Times New Roman" w:eastAsia="仿宋_GB2312"/>
                <w:color w:val="000000"/>
              </w:rPr>
            </w:pPr>
            <w:r>
              <w:rPr>
                <w:rStyle w:val="20"/>
                <w:rFonts w:ascii="Times New Roman" w:hAnsi="Times New Roman" w:eastAsia="仿宋_GB2312"/>
                <w:color w:val="000000"/>
              </w:rPr>
              <w:t>《中华人民共和国土壤污染防治法》第八十八条</w:t>
            </w:r>
            <w:r>
              <w:rPr>
                <w:rFonts w:ascii="Times New Roman" w:hAnsi="Times New Roman" w:eastAsia="仿宋_GB2312"/>
                <w:b/>
                <w:bCs/>
                <w:color w:val="000000"/>
              </w:rPr>
              <w:t>：</w:t>
            </w:r>
            <w:r>
              <w:rPr>
                <w:rFonts w:ascii="Times New Roman" w:hAnsi="Times New Roman" w:eastAsia="仿宋_GB2312"/>
                <w:color w:val="000000"/>
              </w:rPr>
              <w:t>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pStyle w:val="16"/>
              <w:widowControl/>
              <w:snapToGrid w:val="0"/>
              <w:spacing w:beforeAutospacing="0" w:afterAutospacing="0" w:line="280" w:lineRule="exact"/>
              <w:jc w:val="both"/>
              <w:textAlignment w:val="center"/>
              <w:rPr>
                <w:rFonts w:ascii="Times New Roman" w:hAnsi="Times New Roman" w:eastAsia="仿宋_GB2312"/>
                <w:color w:val="000000"/>
              </w:rPr>
            </w:pPr>
            <w:r>
              <w:rPr>
                <w:rStyle w:val="20"/>
                <w:rFonts w:ascii="Times New Roman" w:hAnsi="Times New Roman" w:eastAsia="仿宋_GB2312"/>
                <w:color w:val="000000"/>
              </w:rPr>
              <w:t>《农用薄膜管理办法》第二十四条</w:t>
            </w:r>
            <w:r>
              <w:rPr>
                <w:rFonts w:ascii="Times New Roman" w:hAnsi="Times New Roman" w:eastAsia="仿宋_GB2312"/>
                <w:b/>
                <w:bCs/>
                <w:color w:val="000000"/>
              </w:rPr>
              <w:t>：</w:t>
            </w:r>
            <w:r>
              <w:rPr>
                <w:rFonts w:ascii="Times New Roman" w:hAnsi="Times New Roman" w:eastAsia="仿宋_GB2312"/>
                <w:color w:val="000000"/>
              </w:rPr>
              <w:t>农用薄膜生产者、销售者、使用者未按照规定回收农用薄膜的，依照《中华人民共和国土壤污染防治法》第八十八条规定处罚。</w:t>
            </w:r>
          </w:p>
          <w:p>
            <w:pPr>
              <w:pStyle w:val="16"/>
              <w:widowControl/>
              <w:snapToGrid w:val="0"/>
              <w:spacing w:beforeAutospacing="0" w:afterAutospacing="0" w:line="280" w:lineRule="exact"/>
              <w:jc w:val="both"/>
              <w:textAlignment w:val="center"/>
              <w:rPr>
                <w:rFonts w:ascii="Times New Roman" w:hAnsi="Times New Roman" w:eastAsia="仿宋_GB2312"/>
                <w:b/>
                <w:bCs/>
                <w:color w:val="000000"/>
              </w:rPr>
            </w:pPr>
            <w:r>
              <w:rPr>
                <w:rStyle w:val="20"/>
                <w:rFonts w:ascii="Times New Roman" w:hAnsi="Times New Roman" w:eastAsia="仿宋_GB2312"/>
                <w:color w:val="000000"/>
              </w:rPr>
              <w:t>《农药包装废弃物回收处理管理办法》第十九条</w:t>
            </w:r>
            <w:r>
              <w:rPr>
                <w:rFonts w:ascii="Times New Roman" w:hAnsi="Times New Roman" w:eastAsia="仿宋_GB2312"/>
                <w:b/>
                <w:bCs/>
                <w:color w:val="000000"/>
              </w:rPr>
              <w:t>：</w:t>
            </w:r>
            <w:r>
              <w:rPr>
                <w:rFonts w:ascii="Times New Roman" w:hAnsi="Times New Roman" w:eastAsia="仿宋_GB2312"/>
                <w:color w:val="000000"/>
              </w:rPr>
              <w:t>农药生产者、经营者、使用者未按规定履行农药包装废弃物回收处理义务的，由地方人民政府农业农村主管部门按照《中华人民共和国土壤污染防治法》第八十八条规定予以处罚。</w:t>
            </w:r>
          </w:p>
        </w:tc>
        <w:tc>
          <w:tcPr>
            <w:tcW w:w="2508" w:type="dxa"/>
            <w:noWrap w:val="0"/>
            <w:vAlign w:val="center"/>
          </w:tcPr>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28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spacing w:line="280" w:lineRule="exact"/>
              <w:ind w:firstLine="0" w:firstLineChars="0"/>
              <w:jc w:val="left"/>
              <w:textAlignment w:val="center"/>
              <w:rPr>
                <w:color w:val="000000"/>
                <w:sz w:val="24"/>
              </w:rPr>
            </w:pPr>
            <w:r>
              <w:rPr>
                <w:color w:val="000000"/>
                <w:sz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53" w:hRule="atLeast"/>
          <w:jc w:val="center"/>
        </w:trPr>
        <w:tc>
          <w:tcPr>
            <w:tcW w:w="810" w:type="dxa"/>
            <w:noWrap w:val="0"/>
            <w:vAlign w:val="center"/>
          </w:tcPr>
          <w:p>
            <w:pPr>
              <w:pStyle w:val="9"/>
              <w:snapToGrid w:val="0"/>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7</w:t>
            </w:r>
          </w:p>
        </w:tc>
        <w:tc>
          <w:tcPr>
            <w:tcW w:w="3045" w:type="dxa"/>
            <w:noWrap w:val="0"/>
            <w:vAlign w:val="center"/>
          </w:tcPr>
          <w:p>
            <w:pPr>
              <w:pStyle w:val="9"/>
              <w:snapToGrid w:val="0"/>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农药经营者不执行农药采购台账、销售台账制度</w:t>
            </w:r>
          </w:p>
        </w:tc>
        <w:tc>
          <w:tcPr>
            <w:tcW w:w="7815" w:type="dxa"/>
            <w:noWrap w:val="0"/>
            <w:vAlign w:val="center"/>
          </w:tcPr>
          <w:p>
            <w:pPr>
              <w:pStyle w:val="9"/>
              <w:snapToGrid w:val="0"/>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b/>
                <w:bCs/>
                <w:color w:val="000000"/>
                <w:sz w:val="24"/>
                <w:szCs w:val="24"/>
              </w:rPr>
              <w:t>《农药管理条例》第五十八条第一项</w:t>
            </w:r>
            <w:r>
              <w:rPr>
                <w:rFonts w:ascii="Times New Roman" w:hAnsi="Times New Roman" w:eastAsia="仿宋_GB2312" w:cs="Times New Roman"/>
                <w:color w:val="000000"/>
                <w:sz w:val="24"/>
                <w:szCs w:val="24"/>
              </w:rPr>
              <w:t>：农药经营者有下列行为之一的，由县级以上地方人民政府农业主管部</w:t>
            </w:r>
            <w:r>
              <w:rPr>
                <w:rFonts w:ascii="Times New Roman" w:hAnsi="Times New Roman" w:eastAsia="仿宋_GB2312" w:cs="Times New Roman"/>
                <w:color w:val="000000"/>
                <w:kern w:val="0"/>
                <w:sz w:val="24"/>
                <w:szCs w:val="24"/>
              </w:rPr>
              <w:t>门责令改正；拒不</w:t>
            </w:r>
            <w:r>
              <w:rPr>
                <w:rFonts w:ascii="Times New Roman" w:hAnsi="Times New Roman" w:eastAsia="仿宋_GB2312" w:cs="Times New Roman"/>
                <w:color w:val="000000"/>
                <w:sz w:val="24"/>
                <w:szCs w:val="24"/>
              </w:rPr>
              <w:t>改正或者情节严重的，处2000元以上2万元以下罚款，并由发证机关吊销农药经营许可证：（一）不执行农药采购台账、销售台账制度。</w:t>
            </w:r>
          </w:p>
        </w:tc>
        <w:tc>
          <w:tcPr>
            <w:tcW w:w="2508"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0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z w:val="24"/>
                <w:szCs w:val="24"/>
              </w:rPr>
              <w:t>2.</w:t>
            </w:r>
            <w:r>
              <w:rPr>
                <w:rFonts w:ascii="Times New Roman" w:hAnsi="Times New Roman" w:eastAsia="仿宋_GB2312" w:cs="Times New Roman"/>
                <w:color w:val="000000"/>
                <w:kern w:val="0"/>
                <w:sz w:val="24"/>
                <w:szCs w:val="24"/>
              </w:rPr>
              <w:t>危害后果轻微；</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22" w:hRule="atLeast"/>
          <w:jc w:val="center"/>
        </w:trPr>
        <w:tc>
          <w:tcPr>
            <w:tcW w:w="810" w:type="dxa"/>
            <w:noWrap w:val="0"/>
            <w:vAlign w:val="center"/>
          </w:tcPr>
          <w:p>
            <w:pPr>
              <w:pStyle w:val="9"/>
              <w:snapToGrid w:val="0"/>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8</w:t>
            </w:r>
          </w:p>
        </w:tc>
        <w:tc>
          <w:tcPr>
            <w:tcW w:w="3045"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农产品生产企业、食品和食用农产品</w:t>
            </w:r>
            <w:r>
              <w:rPr>
                <w:rFonts w:ascii="Times New Roman" w:hAnsi="Times New Roman" w:eastAsia="仿宋_GB2312" w:cs="Times New Roman"/>
                <w:color w:val="000000"/>
                <w:spacing w:val="-6"/>
                <w:kern w:val="0"/>
                <w:sz w:val="24"/>
                <w:szCs w:val="24"/>
              </w:rPr>
              <w:t>仓储企业、专业化病虫害防治服务组织和从事农产品生产的农民专业合作社等不执行农药使用记录制度</w:t>
            </w:r>
          </w:p>
        </w:tc>
        <w:tc>
          <w:tcPr>
            <w:tcW w:w="7815" w:type="dxa"/>
            <w:noWrap w:val="0"/>
            <w:vAlign w:val="center"/>
          </w:tcPr>
          <w:p>
            <w:pPr>
              <w:pStyle w:val="9"/>
              <w:snapToGrid w:val="0"/>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b/>
                <w:bCs/>
                <w:color w:val="000000"/>
                <w:sz w:val="24"/>
                <w:szCs w:val="24"/>
              </w:rPr>
              <w:t>《农药管理条例》第六十一条：</w:t>
            </w:r>
            <w:r>
              <w:rPr>
                <w:rFonts w:ascii="Times New Roman" w:hAnsi="Times New Roman" w:eastAsia="仿宋_GB2312" w:cs="Times New Roman"/>
                <w:color w:val="000000"/>
                <w:sz w:val="24"/>
                <w:szCs w:val="24"/>
              </w:rPr>
              <w:t>农产品生产企业、食品和食用农产品仓储企业、专业化病虫害防治服务组织和从事农产品生产的农民专业合作社等不执行农药使用记录制度的，由县级人民政府农业主管部</w:t>
            </w:r>
            <w:r>
              <w:rPr>
                <w:rFonts w:ascii="Times New Roman" w:hAnsi="Times New Roman" w:eastAsia="仿宋_GB2312" w:cs="Times New Roman"/>
                <w:color w:val="000000"/>
                <w:kern w:val="0"/>
                <w:sz w:val="24"/>
                <w:szCs w:val="24"/>
              </w:rPr>
              <w:t>门责令改正</w:t>
            </w:r>
            <w:r>
              <w:rPr>
                <w:rFonts w:ascii="Times New Roman" w:hAnsi="Times New Roman" w:eastAsia="仿宋_GB2312" w:cs="Times New Roman"/>
                <w:color w:val="000000"/>
                <w:sz w:val="24"/>
                <w:szCs w:val="24"/>
              </w:rPr>
              <w:t>；拒不改正或者情节严重的，处2000元以上2万元以下罚款。</w:t>
            </w:r>
          </w:p>
        </w:tc>
        <w:tc>
          <w:tcPr>
            <w:tcW w:w="2508"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0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sz w:val="24"/>
                <w:szCs w:val="24"/>
              </w:rPr>
              <w:t>2.危害</w:t>
            </w:r>
            <w:r>
              <w:rPr>
                <w:rFonts w:ascii="Times New Roman" w:hAnsi="Times New Roman" w:eastAsia="仿宋_GB2312" w:cs="Times New Roman"/>
                <w:color w:val="000000"/>
                <w:kern w:val="0"/>
                <w:sz w:val="24"/>
                <w:szCs w:val="24"/>
              </w:rPr>
              <w:t>后果轻微；</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08" w:hRule="atLeast"/>
          <w:jc w:val="center"/>
        </w:trPr>
        <w:tc>
          <w:tcPr>
            <w:tcW w:w="810" w:type="dxa"/>
            <w:noWrap w:val="0"/>
            <w:vAlign w:val="center"/>
          </w:tcPr>
          <w:p>
            <w:pPr>
              <w:pStyle w:val="9"/>
              <w:snapToGrid w:val="0"/>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w:t>
            </w:r>
          </w:p>
        </w:tc>
        <w:tc>
          <w:tcPr>
            <w:tcW w:w="3045" w:type="dxa"/>
            <w:noWrap w:val="0"/>
            <w:vAlign w:val="center"/>
          </w:tcPr>
          <w:p>
            <w:pPr>
              <w:widowControl/>
              <w:spacing w:line="300" w:lineRule="exact"/>
              <w:ind w:firstLine="0" w:firstLineChars="0"/>
              <w:textAlignment w:val="center"/>
              <w:rPr>
                <w:color w:val="000000"/>
                <w:sz w:val="24"/>
              </w:rPr>
            </w:pPr>
            <w:r>
              <w:rPr>
                <w:color w:val="000000"/>
                <w:kern w:val="0"/>
                <w:sz w:val="24"/>
              </w:rPr>
              <w:t>宠物诊疗机构、动物园、非食品动物养殖单位、科研机构将人用药品用于非食品动物</w:t>
            </w:r>
          </w:p>
        </w:tc>
        <w:tc>
          <w:tcPr>
            <w:tcW w:w="7815" w:type="dxa"/>
            <w:noWrap w:val="0"/>
            <w:vAlign w:val="center"/>
          </w:tcPr>
          <w:p>
            <w:pPr>
              <w:widowControl/>
              <w:spacing w:line="300" w:lineRule="exact"/>
              <w:ind w:firstLine="0" w:firstLineChars="0"/>
              <w:jc w:val="left"/>
              <w:textAlignment w:val="center"/>
              <w:rPr>
                <w:color w:val="000000"/>
                <w:sz w:val="24"/>
              </w:rPr>
            </w:pPr>
            <w:r>
              <w:rPr>
                <w:b/>
                <w:bCs/>
                <w:color w:val="000000"/>
                <w:kern w:val="0"/>
                <w:sz w:val="24"/>
              </w:rPr>
              <w:t>《兽药管理条例》第六十二条：</w:t>
            </w:r>
            <w:r>
              <w:rPr>
                <w:color w:val="000000"/>
                <w:kern w:val="0"/>
                <w:sz w:val="24"/>
              </w:rPr>
              <w:t>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2508"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3.按要求立即改正。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53" w:hRule="atLeast"/>
          <w:jc w:val="center"/>
        </w:trPr>
        <w:tc>
          <w:tcPr>
            <w:tcW w:w="810" w:type="dxa"/>
            <w:noWrap w:val="0"/>
            <w:vAlign w:val="center"/>
          </w:tcPr>
          <w:p>
            <w:pPr>
              <w:pStyle w:val="9"/>
              <w:snapToGrid w:val="0"/>
              <w:spacing w:line="30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w:t>
            </w:r>
          </w:p>
        </w:tc>
        <w:tc>
          <w:tcPr>
            <w:tcW w:w="3045" w:type="dxa"/>
            <w:noWrap w:val="0"/>
            <w:vAlign w:val="center"/>
          </w:tcPr>
          <w:p>
            <w:pPr>
              <w:pStyle w:val="9"/>
              <w:snapToGrid w:val="0"/>
              <w:spacing w:line="30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饲料、饲料添加剂生产企业销售的饲料、饲料添加剂包装、标签不符合规定</w:t>
            </w:r>
          </w:p>
        </w:tc>
        <w:tc>
          <w:tcPr>
            <w:tcW w:w="7815" w:type="dxa"/>
            <w:noWrap w:val="0"/>
            <w:vAlign w:val="center"/>
          </w:tcPr>
          <w:p>
            <w:pPr>
              <w:pStyle w:val="9"/>
              <w:snapToGrid w:val="0"/>
              <w:spacing w:line="300" w:lineRule="exac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color w:val="000000"/>
                <w:sz w:val="24"/>
                <w:szCs w:val="24"/>
              </w:rPr>
              <w:t>《</w:t>
            </w:r>
            <w:r>
              <w:rPr>
                <w:rFonts w:ascii="Times New Roman" w:hAnsi="Times New Roman" w:eastAsia="仿宋_GB2312" w:cs="Times New Roman"/>
                <w:b/>
                <w:bCs/>
                <w:color w:val="000000"/>
                <w:sz w:val="24"/>
                <w:szCs w:val="24"/>
              </w:rPr>
              <w:t>饲料和饲料添加剂管理条例》第四十一条第二款:</w:t>
            </w:r>
            <w:r>
              <w:rPr>
                <w:rFonts w:ascii="Times New Roman" w:hAnsi="Times New Roman" w:eastAsia="仿宋_GB2312" w:cs="Times New Roman"/>
                <w:color w:val="000000"/>
                <w:sz w:val="24"/>
                <w:szCs w:val="24"/>
              </w:rPr>
              <w:t>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2508"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045" w:hRule="atLeast"/>
          <w:jc w:val="center"/>
        </w:trPr>
        <w:tc>
          <w:tcPr>
            <w:tcW w:w="810" w:type="dxa"/>
            <w:noWrap w:val="0"/>
            <w:vAlign w:val="center"/>
          </w:tcPr>
          <w:p>
            <w:pPr>
              <w:pStyle w:val="16"/>
              <w:widowControl/>
              <w:snapToGrid w:val="0"/>
              <w:spacing w:beforeAutospacing="0" w:afterAutospacing="0" w:line="300" w:lineRule="exact"/>
              <w:jc w:val="center"/>
              <w:textAlignment w:val="center"/>
              <w:rPr>
                <w:rFonts w:ascii="Times New Roman" w:hAnsi="Times New Roman" w:eastAsia="仿宋_GB2312"/>
                <w:color w:val="000000"/>
              </w:rPr>
            </w:pPr>
            <w:r>
              <w:rPr>
                <w:rFonts w:ascii="Times New Roman" w:hAnsi="Times New Roman" w:eastAsia="仿宋_GB2312"/>
                <w:color w:val="000000"/>
              </w:rPr>
              <w:t>11</w:t>
            </w:r>
          </w:p>
        </w:tc>
        <w:tc>
          <w:tcPr>
            <w:tcW w:w="3045" w:type="dxa"/>
            <w:noWrap w:val="0"/>
            <w:vAlign w:val="center"/>
          </w:tcPr>
          <w:p>
            <w:pPr>
              <w:pStyle w:val="16"/>
              <w:widowControl/>
              <w:snapToGrid w:val="0"/>
              <w:spacing w:beforeAutospacing="0" w:afterAutospacing="0" w:line="300" w:lineRule="exact"/>
              <w:jc w:val="both"/>
              <w:textAlignment w:val="center"/>
              <w:rPr>
                <w:rFonts w:ascii="Times New Roman" w:hAnsi="Times New Roman" w:eastAsia="仿宋_GB2312"/>
                <w:color w:val="000000"/>
              </w:rPr>
            </w:pPr>
            <w:r>
              <w:rPr>
                <w:rFonts w:ascii="Times New Roman" w:hAnsi="Times New Roman" w:eastAsia="仿宋_GB2312"/>
                <w:color w:val="000000"/>
              </w:rPr>
              <w:t>侵占、损毁、拆除、擅自移动农作物病虫害监测设施设备或者以其他方式妨害农作物病虫害监测设施设备正常运行</w:t>
            </w:r>
          </w:p>
        </w:tc>
        <w:tc>
          <w:tcPr>
            <w:tcW w:w="7815" w:type="dxa"/>
            <w:noWrap w:val="0"/>
            <w:vAlign w:val="center"/>
          </w:tcPr>
          <w:p>
            <w:pPr>
              <w:pStyle w:val="16"/>
              <w:widowControl/>
              <w:snapToGrid w:val="0"/>
              <w:spacing w:beforeAutospacing="0" w:afterAutospacing="0" w:line="300" w:lineRule="exact"/>
              <w:jc w:val="both"/>
              <w:textAlignment w:val="center"/>
              <w:rPr>
                <w:rFonts w:ascii="Times New Roman" w:hAnsi="Times New Roman" w:eastAsia="仿宋_GB2312"/>
                <w:color w:val="000000"/>
              </w:rPr>
            </w:pPr>
            <w:r>
              <w:rPr>
                <w:rFonts w:ascii="Times New Roman" w:hAnsi="Times New Roman" w:eastAsia="仿宋_GB2312"/>
                <w:b/>
                <w:bCs/>
                <w:color w:val="000000"/>
              </w:rPr>
              <w:t>《农作物病虫害防治条例》第四十条：</w:t>
            </w:r>
            <w:r>
              <w:rPr>
                <w:rFonts w:ascii="Times New Roman" w:hAnsi="Times New Roman" w:eastAsia="仿宋_GB2312"/>
                <w:color w:val="000000"/>
              </w:rPr>
              <w:t>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2508" w:type="dxa"/>
            <w:noWrap w:val="0"/>
            <w:vAlign w:val="center"/>
          </w:tcPr>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0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16"/>
              <w:widowControl/>
              <w:snapToGrid w:val="0"/>
              <w:spacing w:beforeAutospacing="0" w:afterAutospacing="0" w:line="300" w:lineRule="exact"/>
              <w:textAlignment w:val="center"/>
              <w:rPr>
                <w:rFonts w:ascii="Times New Roman" w:hAnsi="Times New Roman" w:eastAsia="仿宋_GB2312"/>
                <w:color w:val="000000"/>
              </w:rPr>
            </w:pPr>
            <w:r>
              <w:rPr>
                <w:rFonts w:ascii="Times New Roman" w:hAnsi="Times New Roman" w:eastAsia="仿宋_GB2312"/>
                <w:color w:val="000000"/>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47"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开展农作物病虫害预防控制航空作业未按照国家有关规定进行公告</w:t>
            </w:r>
          </w:p>
        </w:tc>
        <w:tc>
          <w:tcPr>
            <w:tcW w:w="7815" w:type="dxa"/>
            <w:noWrap w:val="0"/>
            <w:vAlign w:val="center"/>
          </w:tcPr>
          <w:p>
            <w:pPr>
              <w:spacing w:line="320" w:lineRule="exact"/>
              <w:ind w:firstLine="0" w:firstLineChars="0"/>
              <w:textAlignment w:val="center"/>
              <w:rPr>
                <w:color w:val="000000"/>
                <w:sz w:val="24"/>
              </w:rPr>
            </w:pPr>
            <w:r>
              <w:rPr>
                <w:b/>
                <w:bCs/>
                <w:color w:val="000000"/>
                <w:sz w:val="24"/>
              </w:rPr>
              <w:t>《农作物病虫害防治条例》第四十一条第三项：</w:t>
            </w:r>
            <w:r>
              <w:rPr>
                <w:color w:val="000000"/>
                <w:sz w:val="24"/>
              </w:rPr>
              <w:t>违反本条例规定，有下列行为之一的，由县级以上人民政府农业农村主管部门处5000元以上5万元以下罚款；情节严重的，处5万元以上10万元以下罚款；造成损失的，依法承担赔偿责任；构成犯罪的，依法追究刑事责任：</w:t>
            </w:r>
          </w:p>
          <w:p>
            <w:pPr>
              <w:pStyle w:val="9"/>
              <w:snapToGrid w:val="0"/>
              <w:spacing w:line="320" w:lineRule="exact"/>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color w:val="000000"/>
                <w:sz w:val="24"/>
                <w:szCs w:val="24"/>
              </w:rPr>
              <w:t>（三）开展农作物病虫害预防控制航空作业未按照国家有关规定进行公告。</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754"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销售授权品种未使用其注册登记的名称</w:t>
            </w:r>
          </w:p>
        </w:tc>
        <w:tc>
          <w:tcPr>
            <w:tcW w:w="7815" w:type="dxa"/>
            <w:noWrap w:val="0"/>
            <w:vAlign w:val="center"/>
          </w:tcPr>
          <w:p>
            <w:pPr>
              <w:spacing w:line="320" w:lineRule="exact"/>
              <w:ind w:firstLine="0" w:firstLineChars="0"/>
              <w:textAlignment w:val="center"/>
              <w:rPr>
                <w:b/>
                <w:bCs/>
                <w:color w:val="000000"/>
                <w:sz w:val="24"/>
              </w:rPr>
            </w:pPr>
            <w:r>
              <w:rPr>
                <w:b/>
                <w:bCs/>
                <w:color w:val="000000"/>
                <w:sz w:val="24"/>
              </w:rPr>
              <w:t>《中华人民共和国植物新品种保护条例》第四十二条：</w:t>
            </w:r>
            <w:r>
              <w:rPr>
                <w:color w:val="000000"/>
                <w:sz w:val="24"/>
              </w:rPr>
              <w:t>销售授权品种未使用其注册登记的名称的，由县级以上人民政府农业、林业行政部门依据各自</w:t>
            </w:r>
            <w:r>
              <w:rPr>
                <w:color w:val="000000"/>
                <w:kern w:val="0"/>
                <w:sz w:val="24"/>
              </w:rPr>
              <w:t>的职权责令限期改正，可以处1000元以下的</w:t>
            </w:r>
            <w:r>
              <w:rPr>
                <w:color w:val="000000"/>
                <w:sz w:val="24"/>
              </w:rPr>
              <w:t>罚款。</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3.在责令改正期限内改正。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240"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p>
        </w:tc>
        <w:tc>
          <w:tcPr>
            <w:tcW w:w="3045"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破坏、擅自变动耕地质量监测点基础设施、永久性标志</w:t>
            </w:r>
          </w:p>
        </w:tc>
        <w:tc>
          <w:tcPr>
            <w:tcW w:w="7815" w:type="dxa"/>
            <w:noWrap w:val="0"/>
            <w:vAlign w:val="center"/>
          </w:tcPr>
          <w:p>
            <w:pPr>
              <w:spacing w:line="320" w:lineRule="exact"/>
              <w:ind w:firstLine="0" w:firstLineChars="0"/>
              <w:textAlignment w:val="center"/>
              <w:rPr>
                <w:color w:val="000000"/>
                <w:sz w:val="24"/>
              </w:rPr>
            </w:pPr>
            <w:r>
              <w:rPr>
                <w:b/>
                <w:bCs/>
                <w:color w:val="000000"/>
                <w:sz w:val="24"/>
              </w:rPr>
              <w:t>《湖南省耕地质量管理条例》第二十七条第二款：</w:t>
            </w:r>
            <w:r>
              <w:rPr>
                <w:color w:val="000000"/>
                <w:sz w:val="24"/>
              </w:rPr>
              <w:t>任何单位或者个人不得破坏、擅自变动耕地质量监测点基础设施、永久性标志。确实需要对监测点基础设施、永久性标志移位的，应当征得批准设立监测点的农业行政主管部门的同意，并承担所需费用。</w:t>
            </w:r>
          </w:p>
          <w:p>
            <w:pPr>
              <w:widowControl/>
              <w:spacing w:line="320" w:lineRule="exact"/>
              <w:ind w:firstLine="0" w:firstLineChars="0"/>
              <w:textAlignment w:val="center"/>
              <w:rPr>
                <w:b/>
                <w:bCs/>
                <w:color w:val="000000"/>
                <w:sz w:val="24"/>
              </w:rPr>
            </w:pPr>
            <w:r>
              <w:rPr>
                <w:b/>
                <w:bCs/>
                <w:color w:val="000000"/>
                <w:sz w:val="24"/>
              </w:rPr>
              <w:t>第三十二条：</w:t>
            </w:r>
            <w:r>
              <w:rPr>
                <w:color w:val="000000"/>
                <w:sz w:val="24"/>
              </w:rPr>
              <w:t>违反本条例第二十七条第二款规定的，由县级以上人民政府农业行政主管部门责令恢复原状，可以处一千元以下的罚款；造成损失的，依法承担赔偿责任。</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20"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未按照规定制作和保存生产经营外来物种档案</w:t>
            </w:r>
          </w:p>
        </w:tc>
        <w:tc>
          <w:tcPr>
            <w:tcW w:w="781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b/>
                <w:bCs/>
                <w:color w:val="000000"/>
                <w:sz w:val="24"/>
                <w:szCs w:val="24"/>
              </w:rPr>
              <w:t>《湖南省外来物种管理条例》第三十二条第二项：</w:t>
            </w:r>
            <w:r>
              <w:rPr>
                <w:rFonts w:ascii="Times New Roman" w:hAnsi="Times New Roman" w:eastAsia="仿宋_GB2312" w:cs="Times New Roman"/>
                <w:color w:val="000000"/>
                <w:sz w:val="24"/>
                <w:szCs w:val="24"/>
              </w:rPr>
              <w:t>违反本条例规定，有下列行为之一的，由县级以上人民政府农业、林业或者卫生行政主管部门按照各自职权责令改正，可以处二千元以上一万元以下的罚款：（二）未按照规定制作和保存生产经营外来物种档案的。</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423"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16</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擅自发布农业有害生物预报、警报、农业生物灾害信息</w:t>
            </w:r>
          </w:p>
        </w:tc>
        <w:tc>
          <w:tcPr>
            <w:tcW w:w="7815" w:type="dxa"/>
            <w:noWrap w:val="0"/>
            <w:vAlign w:val="center"/>
          </w:tcPr>
          <w:p>
            <w:pPr>
              <w:widowControl/>
              <w:spacing w:line="320" w:lineRule="exact"/>
              <w:ind w:firstLine="0" w:firstLineChars="0"/>
              <w:textAlignment w:val="center"/>
              <w:rPr>
                <w:color w:val="000000"/>
                <w:sz w:val="24"/>
              </w:rPr>
            </w:pPr>
            <w:r>
              <w:rPr>
                <w:b/>
                <w:bCs/>
                <w:color w:val="000000"/>
                <w:sz w:val="24"/>
              </w:rPr>
              <w:t>《湖南省植物保护条例》第十条</w:t>
            </w:r>
            <w:r>
              <w:rPr>
                <w:color w:val="000000"/>
                <w:sz w:val="24"/>
              </w:rPr>
              <w:t>:农业有害生物预报、警报由植物保护机构负责发布；农业生物灾害信息由县级以上人民政府农业农村主管部门负责发布。其他任何单位和个人不得擅自向社会发布农业有害生物预报、警报或者农业生物灾害信息。</w:t>
            </w:r>
            <w:r>
              <w:rPr>
                <w:b/>
                <w:bCs/>
                <w:color w:val="000000"/>
                <w:sz w:val="24"/>
              </w:rPr>
              <w:t>第三十条：</w:t>
            </w:r>
            <w:r>
              <w:rPr>
                <w:color w:val="000000"/>
                <w:sz w:val="24"/>
              </w:rPr>
              <w:t>违反本条例第十条规定，擅自发布农业有害生物预报、警报、农业生物灾害信息的，由县级以上人民政府农业农村主管部门责令停止违法行为，处五千元以上五万元以下罚款；情节严重的，处五万元以上十万元以下罚款；造成损失的，依法承担赔偿责任。</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3.按要求及时改正。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50"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17</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擅自移动、损毁禁止农产品生产区标牌</w:t>
            </w:r>
          </w:p>
        </w:tc>
        <w:tc>
          <w:tcPr>
            <w:tcW w:w="7815" w:type="dxa"/>
            <w:noWrap w:val="0"/>
            <w:vAlign w:val="center"/>
          </w:tcPr>
          <w:p>
            <w:pPr>
              <w:pStyle w:val="16"/>
              <w:widowControl/>
              <w:snapToGrid w:val="0"/>
              <w:spacing w:beforeAutospacing="0" w:afterAutospacing="0" w:line="320" w:lineRule="exact"/>
              <w:jc w:val="both"/>
              <w:textAlignment w:val="center"/>
              <w:rPr>
                <w:rFonts w:ascii="Times New Roman" w:hAnsi="Times New Roman" w:eastAsia="仿宋_GB2312"/>
                <w:strike/>
                <w:color w:val="000000"/>
              </w:rPr>
            </w:pPr>
            <w:r>
              <w:rPr>
                <w:rStyle w:val="20"/>
                <w:rFonts w:ascii="Times New Roman" w:hAnsi="Times New Roman" w:eastAsia="仿宋_GB2312"/>
                <w:color w:val="000000"/>
              </w:rPr>
              <w:t>《农产品产地安全管理办法》第二十六条:</w:t>
            </w:r>
            <w:r>
              <w:rPr>
                <w:rFonts w:ascii="Times New Roman" w:hAnsi="Times New Roman" w:eastAsia="仿宋_GB2312"/>
                <w:color w:val="000000"/>
              </w:rPr>
              <w:t>违反《中华人民共和国农产品质量安全法》和本办法规定的划定标准和程序划定的禁止生产区无效。</w:t>
            </w:r>
          </w:p>
          <w:p>
            <w:pPr>
              <w:pStyle w:val="16"/>
              <w:widowControl/>
              <w:snapToGrid w:val="0"/>
              <w:spacing w:beforeAutospacing="0" w:afterAutospacing="0" w:line="320" w:lineRule="exact"/>
              <w:jc w:val="both"/>
              <w:textAlignment w:val="center"/>
              <w:rPr>
                <w:rFonts w:ascii="Times New Roman" w:hAnsi="Times New Roman" w:eastAsia="仿宋_GB2312"/>
                <w:color w:val="000000"/>
              </w:rPr>
            </w:pPr>
            <w:r>
              <w:rPr>
                <w:rFonts w:ascii="Times New Roman" w:hAnsi="Times New Roman" w:eastAsia="仿宋_GB2312"/>
                <w:color w:val="000000"/>
              </w:rPr>
              <w:t>违反本办法规定，擅自移动、损毁禁止生产区标牌的，由县级以上地方人民政府农业行政主管部门责令限期改正，可处以一千元以下罚款。其他违反本办法规定的，依照有关法律法规处罚。　</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spacing w:line="320" w:lineRule="exact"/>
              <w:ind w:firstLine="0" w:firstLineChars="0"/>
              <w:jc w:val="left"/>
              <w:textAlignment w:val="center"/>
              <w:rPr>
                <w:color w:val="000000"/>
                <w:sz w:val="24"/>
              </w:rPr>
            </w:pPr>
            <w:r>
              <w:rPr>
                <w:color w:val="000000"/>
                <w:sz w:val="24"/>
              </w:rPr>
              <w:t>3.</w:t>
            </w:r>
            <w:r>
              <w:rPr>
                <w:color w:val="000000"/>
                <w:kern w:val="0"/>
                <w:sz w:val="24"/>
              </w:rPr>
              <w:t>在责令改正期限内改正。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78" w:hRule="atLeast"/>
          <w:jc w:val="center"/>
        </w:trPr>
        <w:tc>
          <w:tcPr>
            <w:tcW w:w="810" w:type="dxa"/>
            <w:noWrap w:val="0"/>
            <w:vAlign w:val="center"/>
          </w:tcPr>
          <w:p>
            <w:pPr>
              <w:pStyle w:val="9"/>
              <w:snapToGrid w:val="0"/>
              <w:spacing w:line="320" w:lineRule="exact"/>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p>
        </w:tc>
        <w:tc>
          <w:tcPr>
            <w:tcW w:w="3045" w:type="dxa"/>
            <w:noWrap w:val="0"/>
            <w:vAlign w:val="center"/>
          </w:tcPr>
          <w:p>
            <w:pPr>
              <w:pStyle w:val="9"/>
              <w:snapToGrid w:val="0"/>
              <w:spacing w:line="320" w:lineRule="exac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跨区作业中介服务组织不配备相应的服务设施和技术人员，没有兑现服务承诺，只收费不服务或者多收费少服务</w:t>
            </w:r>
          </w:p>
        </w:tc>
        <w:tc>
          <w:tcPr>
            <w:tcW w:w="7815" w:type="dxa"/>
            <w:noWrap w:val="0"/>
            <w:vAlign w:val="center"/>
          </w:tcPr>
          <w:p>
            <w:pPr>
              <w:pStyle w:val="16"/>
              <w:widowControl/>
              <w:snapToGrid w:val="0"/>
              <w:spacing w:beforeAutospacing="0" w:afterAutospacing="0" w:line="320" w:lineRule="exact"/>
              <w:jc w:val="both"/>
              <w:textAlignment w:val="center"/>
              <w:rPr>
                <w:rFonts w:ascii="Times New Roman" w:hAnsi="Times New Roman" w:eastAsia="仿宋_GB2312"/>
                <w:color w:val="000000"/>
              </w:rPr>
            </w:pPr>
            <w:r>
              <w:rPr>
                <w:rStyle w:val="20"/>
                <w:rFonts w:ascii="Times New Roman" w:hAnsi="Times New Roman" w:eastAsia="仿宋_GB2312"/>
                <w:color w:val="000000"/>
              </w:rPr>
              <w:t>《联合收割机跨区作业管理办法》第二十八条：</w:t>
            </w:r>
            <w:r>
              <w:rPr>
                <w:rFonts w:ascii="Times New Roman" w:hAnsi="Times New Roman" w:eastAsia="仿宋_GB2312"/>
                <w:color w:val="000000"/>
              </w:rPr>
              <w:t>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w:t>
            </w:r>
          </w:p>
        </w:tc>
        <w:tc>
          <w:tcPr>
            <w:tcW w:w="2508" w:type="dxa"/>
            <w:noWrap w:val="0"/>
            <w:vAlign w:val="center"/>
          </w:tcPr>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1.首次违法；</w:t>
            </w:r>
          </w:p>
          <w:p>
            <w:pPr>
              <w:pStyle w:val="9"/>
              <w:snapToGrid w:val="0"/>
              <w:spacing w:line="320" w:lineRule="exact"/>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2.危害后果轻微；</w:t>
            </w:r>
          </w:p>
          <w:p>
            <w:pPr>
              <w:spacing w:line="320" w:lineRule="exact"/>
              <w:ind w:firstLine="0" w:firstLineChars="0"/>
              <w:jc w:val="left"/>
              <w:textAlignment w:val="center"/>
              <w:rPr>
                <w:color w:val="000000"/>
                <w:sz w:val="24"/>
              </w:rPr>
            </w:pPr>
            <w:r>
              <w:rPr>
                <w:color w:val="000000"/>
                <w:sz w:val="24"/>
              </w:rPr>
              <w:t>3.按要求及时改正。</w:t>
            </w:r>
          </w:p>
        </w:tc>
      </w:tr>
    </w:tbl>
    <w:p>
      <w:pPr>
        <w:spacing w:line="80" w:lineRule="exact"/>
        <w:ind w:firstLine="300"/>
        <w:rPr>
          <w:rFonts w:eastAsia="方正小标宋简体"/>
          <w:color w:val="000000"/>
          <w:sz w:val="15"/>
          <w:szCs w:val="15"/>
        </w:rPr>
      </w:pPr>
    </w:p>
    <w:p>
      <w:pPr>
        <w:pStyle w:val="9"/>
        <w:spacing w:line="80" w:lineRule="exact"/>
        <w:rPr>
          <w:rFonts w:ascii="Times New Roman" w:hAnsi="Times New Roman" w:cs="Times New Roman"/>
          <w:color w:val="000000"/>
          <w:sz w:val="15"/>
          <w:szCs w:val="15"/>
        </w:rPr>
        <w:sectPr>
          <w:footerReference r:id="rId11" w:type="default"/>
          <w:pgSz w:w="16838" w:h="11906" w:orient="landscape"/>
          <w:pgMar w:top="1531" w:right="1531" w:bottom="1531" w:left="1531" w:header="851" w:footer="1134" w:gutter="0"/>
          <w:cols w:space="720" w:num="1"/>
          <w:docGrid w:type="lines" w:linePitch="312" w:charSpace="0"/>
        </w:sectPr>
      </w:pPr>
    </w:p>
    <w:p>
      <w:pPr>
        <w:pStyle w:val="3"/>
        <w:ind w:firstLine="0" w:firstLineChars="0"/>
      </w:pPr>
      <w:r>
        <w:t>附件2</w:t>
      </w:r>
    </w:p>
    <w:p>
      <w:pPr>
        <w:spacing w:before="144" w:beforeLines="25" w:after="144" w:afterLines="25" w:line="500" w:lineRule="exact"/>
        <w:ind w:firstLine="720"/>
        <w:jc w:val="center"/>
        <w:rPr>
          <w:rFonts w:eastAsia="方正小标宋简体"/>
          <w:color w:val="000000"/>
          <w:sz w:val="36"/>
          <w:szCs w:val="36"/>
        </w:rPr>
      </w:pPr>
      <w:r>
        <w:rPr>
          <w:rFonts w:eastAsia="方正小标宋简体"/>
          <w:color w:val="000000"/>
          <w:sz w:val="36"/>
          <w:szCs w:val="36"/>
        </w:rPr>
        <w:t>湖南省农业农村领域首次轻微违法行为告知承诺书</w:t>
      </w:r>
    </w:p>
    <w:tbl>
      <w:tblPr>
        <w:tblStyle w:val="17"/>
        <w:tblW w:w="503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856"/>
        <w:gridCol w:w="1213"/>
        <w:gridCol w:w="2422"/>
        <w:gridCol w:w="1680"/>
        <w:gridCol w:w="2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65" w:hRule="atLeast"/>
          <w:jc w:val="center"/>
        </w:trPr>
        <w:tc>
          <w:tcPr>
            <w:tcW w:w="857" w:type="dxa"/>
            <w:vMerge w:val="restart"/>
            <w:noWrap/>
            <w:vAlign w:val="center"/>
          </w:tcPr>
          <w:p>
            <w:pPr>
              <w:spacing w:line="440" w:lineRule="exact"/>
              <w:ind w:firstLine="0" w:firstLineChars="0"/>
              <w:jc w:val="center"/>
              <w:rPr>
                <w:rFonts w:eastAsia="仿宋"/>
                <w:color w:val="000000"/>
                <w:sz w:val="24"/>
              </w:rPr>
            </w:pPr>
            <w:r>
              <w:rPr>
                <w:color w:val="000000"/>
                <w:sz w:val="24"/>
              </w:rPr>
              <w:t>当事人的情况</w:t>
            </w:r>
          </w:p>
        </w:tc>
        <w:tc>
          <w:tcPr>
            <w:tcW w:w="1213" w:type="dxa"/>
            <w:noWrap/>
            <w:vAlign w:val="center"/>
          </w:tcPr>
          <w:p>
            <w:pPr>
              <w:spacing w:line="440" w:lineRule="exact"/>
              <w:ind w:firstLine="0" w:firstLineChars="0"/>
              <w:jc w:val="center"/>
              <w:rPr>
                <w:color w:val="000000"/>
                <w:sz w:val="24"/>
              </w:rPr>
            </w:pPr>
            <w:r>
              <w:rPr>
                <w:color w:val="000000"/>
                <w:sz w:val="24"/>
              </w:rPr>
              <w:t>姓名</w:t>
            </w:r>
          </w:p>
          <w:p>
            <w:pPr>
              <w:spacing w:line="440" w:lineRule="exact"/>
              <w:ind w:firstLine="0" w:firstLineChars="0"/>
              <w:jc w:val="center"/>
              <w:rPr>
                <w:rFonts w:eastAsia="仿宋"/>
                <w:color w:val="000000"/>
                <w:sz w:val="24"/>
              </w:rPr>
            </w:pPr>
            <w:r>
              <w:rPr>
                <w:color w:val="000000"/>
                <w:sz w:val="24"/>
              </w:rPr>
              <w:t>/单位名称</w:t>
            </w:r>
          </w:p>
        </w:tc>
        <w:tc>
          <w:tcPr>
            <w:tcW w:w="2422" w:type="dxa"/>
            <w:noWrap/>
            <w:vAlign w:val="center"/>
          </w:tcPr>
          <w:p>
            <w:pPr>
              <w:spacing w:line="440" w:lineRule="exact"/>
              <w:ind w:firstLine="0" w:firstLineChars="0"/>
              <w:jc w:val="center"/>
              <w:rPr>
                <w:rFonts w:eastAsia="仿宋"/>
                <w:color w:val="000000"/>
                <w:sz w:val="24"/>
              </w:rPr>
            </w:pPr>
          </w:p>
        </w:tc>
        <w:tc>
          <w:tcPr>
            <w:tcW w:w="1680" w:type="dxa"/>
            <w:noWrap/>
            <w:vAlign w:val="center"/>
          </w:tcPr>
          <w:p>
            <w:pPr>
              <w:spacing w:line="440" w:lineRule="exact"/>
              <w:ind w:firstLine="0" w:firstLineChars="0"/>
              <w:jc w:val="center"/>
              <w:rPr>
                <w:color w:val="000000"/>
                <w:sz w:val="24"/>
              </w:rPr>
            </w:pPr>
            <w:r>
              <w:rPr>
                <w:color w:val="000000"/>
                <w:sz w:val="24"/>
              </w:rPr>
              <w:t>身份证号码</w:t>
            </w:r>
          </w:p>
          <w:p>
            <w:pPr>
              <w:spacing w:line="440" w:lineRule="exact"/>
              <w:ind w:firstLine="0" w:firstLineChars="0"/>
              <w:jc w:val="center"/>
              <w:rPr>
                <w:color w:val="000000"/>
                <w:sz w:val="24"/>
              </w:rPr>
            </w:pPr>
            <w:r>
              <w:rPr>
                <w:color w:val="000000"/>
                <w:sz w:val="24"/>
              </w:rPr>
              <w:t>/统一社会</w:t>
            </w:r>
          </w:p>
          <w:p>
            <w:pPr>
              <w:spacing w:line="440" w:lineRule="exact"/>
              <w:ind w:firstLine="0" w:firstLineChars="0"/>
              <w:jc w:val="center"/>
              <w:rPr>
                <w:rFonts w:eastAsia="仿宋"/>
                <w:color w:val="000000"/>
                <w:sz w:val="24"/>
              </w:rPr>
            </w:pPr>
            <w:r>
              <w:rPr>
                <w:color w:val="000000"/>
                <w:sz w:val="24"/>
              </w:rPr>
              <w:t>信用代码</w:t>
            </w:r>
          </w:p>
        </w:tc>
        <w:tc>
          <w:tcPr>
            <w:tcW w:w="2843" w:type="dxa"/>
            <w:noWrap/>
            <w:vAlign w:val="top"/>
          </w:tcPr>
          <w:p>
            <w:pPr>
              <w:spacing w:line="440" w:lineRule="exact"/>
              <w:ind w:left="192" w:firstLine="0" w:firstLineChars="0"/>
              <w:jc w:val="center"/>
              <w:rPr>
                <w:rFonts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25" w:hRule="atLeast"/>
          <w:jc w:val="center"/>
        </w:trPr>
        <w:tc>
          <w:tcPr>
            <w:tcW w:w="857" w:type="dxa"/>
            <w:vMerge w:val="continue"/>
            <w:noWrap/>
            <w:vAlign w:val="top"/>
          </w:tcPr>
          <w:p>
            <w:pPr>
              <w:spacing w:line="440" w:lineRule="exact"/>
              <w:ind w:firstLine="0" w:firstLineChars="0"/>
              <w:jc w:val="center"/>
              <w:rPr>
                <w:rFonts w:eastAsia="仿宋"/>
                <w:color w:val="000000"/>
                <w:sz w:val="24"/>
              </w:rPr>
            </w:pPr>
          </w:p>
        </w:tc>
        <w:tc>
          <w:tcPr>
            <w:tcW w:w="1213" w:type="dxa"/>
            <w:noWrap/>
            <w:vAlign w:val="center"/>
          </w:tcPr>
          <w:p>
            <w:pPr>
              <w:spacing w:line="440" w:lineRule="exact"/>
              <w:ind w:firstLine="0" w:firstLineChars="0"/>
              <w:jc w:val="center"/>
              <w:rPr>
                <w:rFonts w:eastAsia="仿宋"/>
                <w:color w:val="000000"/>
                <w:sz w:val="24"/>
              </w:rPr>
            </w:pPr>
            <w:r>
              <w:rPr>
                <w:color w:val="000000"/>
                <w:sz w:val="24"/>
              </w:rPr>
              <w:t>地址</w:t>
            </w:r>
          </w:p>
        </w:tc>
        <w:tc>
          <w:tcPr>
            <w:tcW w:w="2422" w:type="dxa"/>
            <w:noWrap/>
            <w:vAlign w:val="center"/>
          </w:tcPr>
          <w:p>
            <w:pPr>
              <w:spacing w:line="440" w:lineRule="exact"/>
              <w:ind w:firstLine="0" w:firstLineChars="0"/>
              <w:jc w:val="center"/>
              <w:rPr>
                <w:rFonts w:eastAsia="仿宋"/>
                <w:color w:val="000000"/>
                <w:sz w:val="24"/>
              </w:rPr>
            </w:pPr>
          </w:p>
        </w:tc>
        <w:tc>
          <w:tcPr>
            <w:tcW w:w="1680" w:type="dxa"/>
            <w:noWrap/>
            <w:vAlign w:val="center"/>
          </w:tcPr>
          <w:p>
            <w:pPr>
              <w:spacing w:line="440" w:lineRule="exact"/>
              <w:ind w:firstLine="0" w:firstLineChars="0"/>
              <w:jc w:val="center"/>
              <w:rPr>
                <w:rFonts w:eastAsia="仿宋"/>
                <w:color w:val="000000"/>
                <w:sz w:val="24"/>
              </w:rPr>
            </w:pPr>
            <w:r>
              <w:rPr>
                <w:color w:val="000000"/>
                <w:sz w:val="24"/>
              </w:rPr>
              <w:t>联系电话</w:t>
            </w:r>
          </w:p>
        </w:tc>
        <w:tc>
          <w:tcPr>
            <w:tcW w:w="2843" w:type="dxa"/>
            <w:noWrap/>
            <w:vAlign w:val="top"/>
          </w:tcPr>
          <w:p>
            <w:pPr>
              <w:spacing w:line="440" w:lineRule="exact"/>
              <w:ind w:firstLine="0" w:firstLineChars="0"/>
              <w:jc w:val="center"/>
              <w:rPr>
                <w:rFonts w:eastAsia="仿宋"/>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083" w:hRule="atLeast"/>
          <w:jc w:val="center"/>
        </w:trPr>
        <w:tc>
          <w:tcPr>
            <w:tcW w:w="857" w:type="dxa"/>
            <w:noWrap/>
            <w:vAlign w:val="center"/>
          </w:tcPr>
          <w:p>
            <w:pPr>
              <w:spacing w:line="440" w:lineRule="exact"/>
              <w:ind w:firstLine="0" w:firstLineChars="0"/>
              <w:jc w:val="center"/>
              <w:rPr>
                <w:color w:val="000000"/>
                <w:sz w:val="24"/>
              </w:rPr>
            </w:pPr>
            <w:r>
              <w:rPr>
                <w:color w:val="000000"/>
                <w:sz w:val="24"/>
              </w:rPr>
              <w:t>违法</w:t>
            </w:r>
          </w:p>
          <w:p>
            <w:pPr>
              <w:spacing w:line="440" w:lineRule="exact"/>
              <w:ind w:firstLine="0" w:firstLineChars="0"/>
              <w:jc w:val="center"/>
              <w:rPr>
                <w:color w:val="000000"/>
                <w:sz w:val="24"/>
              </w:rPr>
            </w:pPr>
            <w:r>
              <w:rPr>
                <w:color w:val="000000"/>
                <w:sz w:val="24"/>
              </w:rPr>
              <w:t>行为</w:t>
            </w:r>
          </w:p>
          <w:p>
            <w:pPr>
              <w:spacing w:line="440" w:lineRule="exact"/>
              <w:ind w:firstLine="0" w:firstLineChars="0"/>
              <w:jc w:val="center"/>
              <w:rPr>
                <w:rFonts w:eastAsia="仿宋"/>
                <w:color w:val="000000"/>
                <w:sz w:val="24"/>
              </w:rPr>
            </w:pPr>
            <w:r>
              <w:rPr>
                <w:color w:val="000000"/>
                <w:sz w:val="24"/>
              </w:rPr>
              <w:t>告知</w:t>
            </w:r>
          </w:p>
        </w:tc>
        <w:tc>
          <w:tcPr>
            <w:tcW w:w="8158" w:type="dxa"/>
            <w:gridSpan w:val="4"/>
            <w:noWrap/>
            <w:vAlign w:val="top"/>
          </w:tcPr>
          <w:p>
            <w:pPr>
              <w:pStyle w:val="7"/>
              <w:spacing w:line="440" w:lineRule="exact"/>
              <w:jc w:val="both"/>
              <w:rPr>
                <w:rFonts w:ascii="Times New Roman" w:hAnsi="Times New Roman" w:eastAsia="仿宋_GB2312"/>
                <w:color w:val="000000"/>
                <w:sz w:val="24"/>
                <w:szCs w:val="24"/>
              </w:rPr>
            </w:pPr>
            <w:r>
              <w:rPr>
                <w:rFonts w:ascii="Times New Roman" w:hAnsi="Times New Roman" w:eastAsia="仿宋_GB2312"/>
                <w:color w:val="000000"/>
                <w:sz w:val="24"/>
                <w:szCs w:val="24"/>
              </w:rPr>
              <w:t>202X年X月X日，当事人存在XXX（违法行为的名称）违法行为。根据《XX》第X条第X款第（X）项之规定，已责令当事人( □立即 / □于202X年X月X日前 )按下列要求改正违法行为：</w:t>
            </w: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pStyle w:val="7"/>
              <w:spacing w:line="440" w:lineRule="exact"/>
              <w:jc w:val="both"/>
              <w:rPr>
                <w:rFonts w:ascii="Times New Roman" w:hAnsi="Times New Roman" w:eastAsia="仿宋_GB2312"/>
                <w:color w:val="000000"/>
                <w:sz w:val="24"/>
                <w:szCs w:val="24"/>
                <w:u w:val="single"/>
              </w:rPr>
            </w:pPr>
          </w:p>
          <w:p>
            <w:pPr>
              <w:spacing w:line="440" w:lineRule="exact"/>
              <w:ind w:firstLine="0" w:firstLineChars="0"/>
              <w:rPr>
                <w:color w:val="000000"/>
                <w:sz w:val="24"/>
              </w:rPr>
            </w:pPr>
          </w:p>
          <w:p>
            <w:pPr>
              <w:spacing w:line="440" w:lineRule="exact"/>
              <w:ind w:firstLine="0" w:firstLineChars="0"/>
              <w:rPr>
                <w:color w:val="000000"/>
                <w:sz w:val="24"/>
              </w:rPr>
            </w:pPr>
            <w:r>
              <w:rPr>
                <w:color w:val="000000"/>
                <w:sz w:val="24"/>
              </w:rPr>
              <w:t>经查，当事人属于首次违法，危害后果轻微并及时改正，没有造成不良社会影响，符合首次轻微违法行为免罚的适用条件。执法人员已向当事人宣传了相关法律法规规章的规定。</w:t>
            </w:r>
          </w:p>
          <w:p>
            <w:pPr>
              <w:spacing w:line="440" w:lineRule="exact"/>
              <w:ind w:firstLine="0" w:firstLineChars="0"/>
              <w:rPr>
                <w:color w:val="000000"/>
                <w:sz w:val="24"/>
              </w:rPr>
            </w:pPr>
            <w:r>
              <w:rPr>
                <w:color w:val="000000"/>
                <w:sz w:val="24"/>
              </w:rPr>
              <w:t>（以下无正文）</w:t>
            </w:r>
          </w:p>
          <w:p>
            <w:pPr>
              <w:spacing w:line="440" w:lineRule="exact"/>
              <w:ind w:firstLine="0" w:firstLineChars="0"/>
              <w:jc w:val="right"/>
              <w:rPr>
                <w:color w:val="000000"/>
                <w:sz w:val="24"/>
              </w:rPr>
            </w:pPr>
            <w:r>
              <w:rPr>
                <w:color w:val="000000"/>
                <w:sz w:val="24"/>
              </w:rPr>
              <w:t>XXX市农业农村局</w:t>
            </w:r>
          </w:p>
          <w:p>
            <w:pPr>
              <w:spacing w:line="440" w:lineRule="exact"/>
              <w:ind w:right="480" w:firstLine="0" w:firstLineChars="0"/>
              <w:jc w:val="right"/>
              <w:rPr>
                <w:rFonts w:eastAsia="仿宋"/>
                <w:color w:val="000000"/>
                <w:sz w:val="24"/>
              </w:rPr>
            </w:pPr>
            <w:r>
              <w:rPr>
                <w:color w:val="00000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274" w:hRule="atLeast"/>
          <w:jc w:val="center"/>
        </w:trPr>
        <w:tc>
          <w:tcPr>
            <w:tcW w:w="857" w:type="dxa"/>
            <w:noWrap/>
            <w:vAlign w:val="center"/>
          </w:tcPr>
          <w:p>
            <w:pPr>
              <w:spacing w:line="440" w:lineRule="exact"/>
              <w:ind w:firstLine="0" w:firstLineChars="0"/>
              <w:jc w:val="center"/>
              <w:rPr>
                <w:rFonts w:eastAsia="仿宋"/>
                <w:color w:val="000000"/>
                <w:sz w:val="24"/>
              </w:rPr>
            </w:pPr>
            <w:r>
              <w:rPr>
                <w:color w:val="000000"/>
                <w:sz w:val="24"/>
              </w:rPr>
              <w:t>当事人的承诺</w:t>
            </w:r>
          </w:p>
        </w:tc>
        <w:tc>
          <w:tcPr>
            <w:tcW w:w="8158" w:type="dxa"/>
            <w:gridSpan w:val="4"/>
            <w:noWrap/>
            <w:vAlign w:val="top"/>
          </w:tcPr>
          <w:p>
            <w:pPr>
              <w:spacing w:line="440" w:lineRule="exact"/>
              <w:ind w:firstLine="0" w:firstLineChars="0"/>
              <w:rPr>
                <w:color w:val="000000"/>
                <w:sz w:val="24"/>
              </w:rPr>
            </w:pPr>
            <w:r>
              <w:rPr>
                <w:color w:val="000000"/>
                <w:sz w:val="24"/>
              </w:rPr>
              <w:t>本人（单位）对以上情况确认无误，并自愿承诺：</w:t>
            </w:r>
          </w:p>
          <w:p>
            <w:pPr>
              <w:spacing w:line="440" w:lineRule="exact"/>
              <w:ind w:firstLine="0" w:firstLineChars="0"/>
              <w:rPr>
                <w:color w:val="000000"/>
                <w:sz w:val="24"/>
              </w:rPr>
            </w:pPr>
            <w:r>
              <w:rPr>
                <w:color w:val="000000"/>
                <w:sz w:val="24"/>
              </w:rPr>
              <w:sym w:font="Wingdings" w:char="00A8"/>
            </w:r>
            <w:r>
              <w:rPr>
                <w:color w:val="000000"/>
                <w:sz w:val="24"/>
              </w:rPr>
              <w:t>1.立即予以改正；</w:t>
            </w:r>
          </w:p>
          <w:p>
            <w:pPr>
              <w:spacing w:line="440" w:lineRule="exact"/>
              <w:ind w:firstLine="0" w:firstLineChars="0"/>
              <w:rPr>
                <w:color w:val="000000"/>
                <w:sz w:val="24"/>
              </w:rPr>
            </w:pPr>
            <w:r>
              <w:rPr>
                <w:color w:val="000000"/>
                <w:sz w:val="24"/>
              </w:rPr>
              <w:sym w:font="Wingdings" w:char="00A8"/>
            </w:r>
            <w:r>
              <w:rPr>
                <w:color w:val="000000"/>
                <w:sz w:val="24"/>
              </w:rPr>
              <w:t>2.在202X年X月X日前改正完毕，并将整改情况说明等材料送达你单位；</w:t>
            </w:r>
          </w:p>
          <w:p>
            <w:pPr>
              <w:spacing w:line="440" w:lineRule="exact"/>
              <w:ind w:firstLine="0" w:firstLineChars="0"/>
              <w:rPr>
                <w:color w:val="000000"/>
                <w:sz w:val="24"/>
              </w:rPr>
            </w:pPr>
            <w:r>
              <w:rPr>
                <w:color w:val="000000"/>
                <w:sz w:val="24"/>
              </w:rPr>
              <w:sym w:font="Wingdings" w:char="00A8"/>
            </w:r>
            <w:r>
              <w:rPr>
                <w:color w:val="000000"/>
                <w:sz w:val="24"/>
              </w:rPr>
              <w:t>3.严格遵守国家法律、法规、规章和政策规定，依法守信从事生产经营活动。</w:t>
            </w:r>
          </w:p>
          <w:p>
            <w:pPr>
              <w:spacing w:line="440" w:lineRule="exact"/>
              <w:ind w:firstLine="0" w:firstLineChars="0"/>
              <w:rPr>
                <w:color w:val="000000"/>
                <w:sz w:val="24"/>
              </w:rPr>
            </w:pPr>
            <w:r>
              <w:rPr>
                <w:color w:val="000000"/>
                <w:sz w:val="24"/>
              </w:rPr>
              <w:t>若本人（单位）未履行上述承诺的，将依照有关法律、法规和政策规定接受处罚，并依法承担相应的法律责任。</w:t>
            </w:r>
          </w:p>
          <w:p>
            <w:pPr>
              <w:spacing w:line="440" w:lineRule="exact"/>
              <w:ind w:firstLine="0" w:firstLineChars="0"/>
              <w:rPr>
                <w:color w:val="000000"/>
                <w:sz w:val="24"/>
              </w:rPr>
            </w:pPr>
            <w:r>
              <w:rPr>
                <w:color w:val="000000"/>
                <w:sz w:val="24"/>
              </w:rPr>
              <w:t>本承诺书同意向社会公开。</w:t>
            </w:r>
          </w:p>
          <w:p>
            <w:pPr>
              <w:spacing w:line="440" w:lineRule="exact"/>
              <w:ind w:firstLine="0" w:firstLineChars="0"/>
              <w:rPr>
                <w:color w:val="000000"/>
                <w:sz w:val="24"/>
              </w:rPr>
            </w:pPr>
          </w:p>
          <w:p>
            <w:pPr>
              <w:spacing w:line="440" w:lineRule="exact"/>
              <w:ind w:firstLine="0" w:firstLineChars="0"/>
              <w:rPr>
                <w:color w:val="000000"/>
                <w:sz w:val="24"/>
              </w:rPr>
            </w:pPr>
          </w:p>
          <w:p>
            <w:pPr>
              <w:spacing w:line="440" w:lineRule="exact"/>
              <w:ind w:firstLine="0" w:firstLineChars="0"/>
              <w:rPr>
                <w:color w:val="000000"/>
                <w:sz w:val="24"/>
              </w:rPr>
            </w:pPr>
          </w:p>
          <w:p>
            <w:pPr>
              <w:spacing w:line="440" w:lineRule="exact"/>
              <w:ind w:firstLine="4560" w:firstLineChars="1900"/>
              <w:rPr>
                <w:color w:val="000000"/>
                <w:sz w:val="24"/>
              </w:rPr>
            </w:pPr>
            <w:r>
              <w:rPr>
                <w:color w:val="000000"/>
                <w:sz w:val="24"/>
              </w:rPr>
              <w:t>签名或盖章：</w:t>
            </w:r>
          </w:p>
          <w:p>
            <w:pPr>
              <w:spacing w:line="440" w:lineRule="exact"/>
              <w:ind w:firstLine="0" w:firstLineChars="0"/>
              <w:jc w:val="right"/>
              <w:rPr>
                <w:color w:val="000000"/>
                <w:sz w:val="24"/>
              </w:rPr>
            </w:pPr>
          </w:p>
          <w:p>
            <w:pPr>
              <w:spacing w:line="440" w:lineRule="exact"/>
              <w:ind w:firstLine="0" w:firstLineChars="0"/>
              <w:jc w:val="center"/>
              <w:rPr>
                <w:color w:val="000000"/>
                <w:sz w:val="24"/>
              </w:rPr>
            </w:pPr>
            <w:r>
              <w:rPr>
                <w:color w:val="000000"/>
                <w:sz w:val="24"/>
              </w:rPr>
              <w:t>　　　　　　　　　　　　　　　　　　　　　　　　年  月  日</w:t>
            </w:r>
          </w:p>
          <w:p>
            <w:pPr>
              <w:spacing w:line="440" w:lineRule="exact"/>
              <w:ind w:firstLine="0" w:firstLineChars="0"/>
              <w:rPr>
                <w:rFonts w:eastAsia="仿宋"/>
                <w:color w:val="000000"/>
                <w:sz w:val="24"/>
              </w:rPr>
            </w:pPr>
          </w:p>
        </w:tc>
      </w:tr>
    </w:tbl>
    <w:p>
      <w:pPr>
        <w:ind w:firstLine="0" w:firstLineChars="0"/>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pStyle w:val="9"/>
        <w:spacing w:line="40" w:lineRule="exact"/>
        <w:ind w:firstLine="640" w:firstLineChars="200"/>
        <w:rPr>
          <w:rFonts w:ascii="Times New Roman" w:hAnsi="Times New Roman" w:eastAsia="仿宋_GB2312" w:cs="Times New Roman"/>
          <w:color w:val="000000"/>
          <w:sz w:val="32"/>
          <w:szCs w:val="32"/>
        </w:rPr>
      </w:pPr>
    </w:p>
    <w:p>
      <w:pPr>
        <w:spacing w:line="520" w:lineRule="exact"/>
        <w:ind w:firstLine="0" w:firstLineChars="0"/>
        <w:rPr>
          <w:rFonts w:eastAsia="方正小标宋简体"/>
          <w:color w:val="000000"/>
          <w:sz w:val="28"/>
          <w:szCs w:val="28"/>
        </w:rPr>
      </w:pPr>
      <w:r>
        <w:rPr>
          <w:rFonts w:eastAsia="黑体"/>
          <w:color w:val="000000"/>
          <w:sz w:val="28"/>
          <w:szCs w:val="28"/>
        </w:rPr>
        <w:t>信息公开选项：</w:t>
      </w:r>
      <w:r>
        <w:rPr>
          <w:rFonts w:eastAsia="方正小标宋简体"/>
          <w:color w:val="000000"/>
          <w:sz w:val="28"/>
          <w:szCs w:val="28"/>
        </w:rPr>
        <w:t>公开</w:t>
      </w:r>
    </w:p>
    <w:p>
      <w:pPr>
        <w:spacing w:line="560" w:lineRule="exact"/>
        <w:ind w:firstLine="320" w:firstLineChars="100"/>
        <w:rPr>
          <w:color w:val="000000"/>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13335</wp:posOffset>
                </wp:positionV>
                <wp:extent cx="5615940" cy="0"/>
                <wp:effectExtent l="0" t="0" r="0" b="0"/>
                <wp:wrapNone/>
                <wp:docPr id="1" name="直线 42"/>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0pt;margin-top:1.05pt;height:0pt;width:442.2pt;z-index:251659264;mso-width-relative:page;mso-height-relative:page;" filled="f" stroked="t" coordsize="21600,21600" o:gfxdata="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dX7TAAAA&#10;BAEAAA8AAAAAAAAAAQAgAAAAIgAAAGRycy9kb3ducmV2LnhtbFBLAQIUABQAAAAIAIdO4kCkBjHf&#10;6QEAANwDAAAOAAAAAAAAAAEAIAAAACIBAABkcnMvZTJvRG9jLnhtbFBLBQYAAAAABgAGAFkBAAB9&#10;BQAAAAA=&#10;">
                <v:fill on="f" focussize="0,0"/>
                <v:stroke weight="0.35pt" color="#000000"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393065</wp:posOffset>
                </wp:positionV>
                <wp:extent cx="5615940" cy="0"/>
                <wp:effectExtent l="0" t="0" r="0" b="0"/>
                <wp:wrapNone/>
                <wp:docPr id="2" name="直线 43"/>
                <wp:cNvGraphicFramePr/>
                <a:graphic xmlns:a="http://schemas.openxmlformats.org/drawingml/2006/main">
                  <a:graphicData uri="http://schemas.microsoft.com/office/word/2010/wordprocessingShape">
                    <wps:wsp>
                      <wps:cNvCnPr/>
                      <wps:spPr>
                        <a:xfrm>
                          <a:off x="0" y="0"/>
                          <a:ext cx="561594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0pt;margin-top:30.95pt;height:0pt;width:442.2pt;z-index:251660288;mso-width-relative:page;mso-height-relative:page;" filled="f" stroked="t" coordsize="21600,21600" o:gfxdata="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KrxHtUA&#10;AAAGAQAADwAAAAAAAAABACAAAAAiAAAAZHJzL2Rvd25yZXYueG1sUEsBAhQAFAAAAAgAh07iQJK8&#10;VUvpAQAA3AMAAA4AAAAAAAAAAQAgAAAAJAEAAGRycy9lMm9Eb2MueG1sUEsFBgAAAAAGAAYAWQEA&#10;AH8FAAAAAA==&#10;">
                <v:fill on="f" focussize="0,0"/>
                <v:stroke weight="0.35pt" color="#000000" joinstyle="round"/>
                <v:imagedata o:title=""/>
                <o:lock v:ext="edit" aspectratio="f"/>
              </v:line>
            </w:pict>
          </mc:Fallback>
        </mc:AlternateContent>
      </w:r>
      <w:r>
        <w:rPr>
          <w:color w:val="000000"/>
          <w:sz w:val="28"/>
          <w:szCs w:val="28"/>
        </w:rPr>
        <w:t>湖南省农业农村厅办公室                2022年</w:t>
      </w:r>
      <w:r>
        <w:rPr>
          <w:rFonts w:hint="eastAsia"/>
          <w:color w:val="000000"/>
          <w:sz w:val="28"/>
          <w:szCs w:val="28"/>
        </w:rPr>
        <w:t>10</w:t>
      </w:r>
      <w:r>
        <w:rPr>
          <w:color w:val="000000"/>
          <w:sz w:val="28"/>
          <w:szCs w:val="28"/>
        </w:rPr>
        <w:t>月2</w:t>
      </w:r>
      <w:r>
        <w:rPr>
          <w:rFonts w:hint="eastAsia"/>
          <w:color w:val="000000"/>
          <w:sz w:val="28"/>
          <w:szCs w:val="28"/>
        </w:rPr>
        <w:t>4</w:t>
      </w:r>
      <w:r>
        <w:rPr>
          <w:color w:val="000000"/>
          <w:sz w:val="28"/>
          <w:szCs w:val="28"/>
        </w:rPr>
        <w:t>日印发</w:t>
      </w:r>
    </w:p>
    <w:sectPr>
      <w:pgSz w:w="11906" w:h="16838"/>
      <w:pgMar w:top="2098" w:right="1474" w:bottom="1985" w:left="1588" w:header="851" w:footer="1588" w:gutter="0"/>
      <w:cols w:space="425" w:num="1"/>
      <w:docGrid w:type="linesAndChar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0" w:firstLineChars="0"/>
      <w:rPr>
        <w:rStyle w:val="21"/>
        <w:sz w:val="28"/>
        <w:szCs w:val="28"/>
      </w:rPr>
    </w:pPr>
    <w:r>
      <w:rPr>
        <w:rStyle w:val="21"/>
        <w:rFonts w:hint="eastAsia"/>
        <w:sz w:val="28"/>
        <w:szCs w:val="28"/>
      </w:rPr>
      <w:t>—</w:t>
    </w:r>
    <w:r>
      <w:rPr>
        <w:rStyle w:val="21"/>
        <w:sz w:val="28"/>
        <w:szCs w:val="28"/>
      </w:rPr>
      <w:fldChar w:fldCharType="begin"/>
    </w:r>
    <w:r>
      <w:rPr>
        <w:rStyle w:val="21"/>
        <w:sz w:val="28"/>
        <w:szCs w:val="28"/>
      </w:rPr>
      <w:instrText xml:space="preserve">PAGE  </w:instrText>
    </w:r>
    <w:r>
      <w:rPr>
        <w:rStyle w:val="21"/>
        <w:sz w:val="28"/>
        <w:szCs w:val="28"/>
      </w:rPr>
      <w:fldChar w:fldCharType="separate"/>
    </w:r>
    <w:r>
      <w:rPr>
        <w:rStyle w:val="21"/>
        <w:sz w:val="28"/>
        <w:szCs w:val="28"/>
      </w:rPr>
      <w:t>5</w:t>
    </w:r>
    <w:r>
      <w:rPr>
        <w:rStyle w:val="21"/>
        <w:sz w:val="28"/>
        <w:szCs w:val="28"/>
      </w:rPr>
      <w:fldChar w:fldCharType="end"/>
    </w:r>
    <w:r>
      <w:rPr>
        <w:rStyle w:val="21"/>
        <w:rFonts w:hint="eastAsia"/>
        <w:sz w:val="28"/>
        <w:szCs w:val="28"/>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firstLine="360"/>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9542145</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tabs>
                              <w:tab w:val="center" w:pos="4153"/>
                              <w:tab w:val="right" w:pos="8306"/>
                            </w:tabs>
                            <w:adjustRightInd w:val="0"/>
                            <w:snapToGrid w:val="0"/>
                            <w:spacing w:beforeAutospacing="0" w:afterAutospacing="0"/>
                            <w:rPr>
                              <w:rFonts w:ascii="Times New Roman" w:hAnsi="Times New Roman"/>
                              <w:sz w:val="28"/>
                              <w:szCs w:val="28"/>
                            </w:rPr>
                          </w:pPr>
                          <w:r>
                            <w:rPr>
                              <w:rStyle w:val="21"/>
                              <w:rFonts w:ascii="Times New Roman" w:hAnsi="Times New Roman" w:eastAsia="仿宋_GB2312"/>
                              <w:kern w:val="2"/>
                              <w:sz w:val="28"/>
                              <w:szCs w:val="28"/>
                              <w:lang w:bidi="ar"/>
                            </w:rPr>
                            <w:t>—</w:t>
                          </w:r>
                          <w:r>
                            <w:rPr>
                              <w:rStyle w:val="21"/>
                              <w:rFonts w:ascii="Times New Roman" w:hAnsi="Times New Roman" w:eastAsia="仿宋_GB2312"/>
                              <w:kern w:val="2"/>
                              <w:sz w:val="28"/>
                              <w:szCs w:val="28"/>
                              <w:lang w:bidi="ar"/>
                            </w:rPr>
                            <w:fldChar w:fldCharType="begin"/>
                          </w:r>
                          <w:r>
                            <w:rPr>
                              <w:rStyle w:val="21"/>
                              <w:rFonts w:ascii="Times New Roman" w:hAnsi="Times New Roman" w:eastAsia="仿宋_GB2312"/>
                              <w:kern w:val="2"/>
                              <w:sz w:val="28"/>
                              <w:szCs w:val="28"/>
                              <w:lang w:bidi="ar"/>
                            </w:rPr>
                            <w:instrText xml:space="preserve">PAGE  </w:instrText>
                          </w:r>
                          <w:r>
                            <w:rPr>
                              <w:rStyle w:val="21"/>
                              <w:rFonts w:ascii="Times New Roman" w:hAnsi="Times New Roman" w:eastAsia="仿宋_GB2312"/>
                              <w:kern w:val="2"/>
                              <w:sz w:val="28"/>
                              <w:szCs w:val="28"/>
                              <w:lang w:bidi="ar"/>
                            </w:rPr>
                            <w:fldChar w:fldCharType="separate"/>
                          </w:r>
                          <w:r>
                            <w:rPr>
                              <w:rStyle w:val="21"/>
                              <w:rFonts w:ascii="Times New Roman" w:hAnsi="Times New Roman" w:eastAsia="仿宋_GB2312"/>
                              <w:kern w:val="2"/>
                              <w:sz w:val="28"/>
                              <w:szCs w:val="28"/>
                              <w:lang w:bidi="ar"/>
                            </w:rPr>
                            <w:t>12</w:t>
                          </w:r>
                          <w:r>
                            <w:rPr>
                              <w:rStyle w:val="21"/>
                              <w:rFonts w:ascii="Times New Roman" w:hAnsi="Times New Roman" w:eastAsia="仿宋_GB2312"/>
                              <w:kern w:val="2"/>
                              <w:sz w:val="28"/>
                              <w:szCs w:val="28"/>
                              <w:lang w:bidi="ar"/>
                            </w:rPr>
                            <w:fldChar w:fldCharType="end"/>
                          </w:r>
                          <w:r>
                            <w:rPr>
                              <w:rStyle w:val="21"/>
                              <w:rFonts w:ascii="Times New Roman" w:hAnsi="Times New Roman" w:eastAsia="仿宋_GB2312"/>
                              <w:kern w:val="2"/>
                              <w:sz w:val="28"/>
                              <w:szCs w:val="28"/>
                              <w:lang w:bidi="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751.35pt;height:144pt;width:144pt;mso-position-horizontal:outside;mso-position-horizontal-relative:margin;mso-position-vertical-relative:page;mso-wrap-style:none;z-index:251659264;mso-width-relative:page;mso-height-relative:page;" filled="f" stroked="f" coordsize="21600,21600" o:gfxdata="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N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s0OHk1gAAAAoBAAAPAAAAAAAAAAEAIAAAACIAAABkcnMvZG93bnJl&#10;di54bWxQSwECFAAUAAAACACHTuJA9ujB2jgCAABvBAAADgAAAAAAAAABACAAAAAlAQAAZHJzL2Uy&#10;b0RvYy54bWxQSwUGAAAAAAYABgBZAQAAzwUAAAAA&#10;">
              <v:fill on="f" focussize="0,0"/>
              <v:stroke on="f" weight="0.5pt"/>
              <v:imagedata o:title=""/>
              <o:lock v:ext="edit" aspectratio="f"/>
              <v:textbox inset="0mm,0mm,0mm,0mm" style="mso-fit-shape-to-text:t;">
                <w:txbxContent>
                  <w:p>
                    <w:pPr>
                      <w:pStyle w:val="16"/>
                      <w:tabs>
                        <w:tab w:val="center" w:pos="4153"/>
                        <w:tab w:val="right" w:pos="8306"/>
                      </w:tabs>
                      <w:adjustRightInd w:val="0"/>
                      <w:snapToGrid w:val="0"/>
                      <w:spacing w:beforeAutospacing="0" w:afterAutospacing="0"/>
                      <w:rPr>
                        <w:rFonts w:ascii="Times New Roman" w:hAnsi="Times New Roman"/>
                        <w:sz w:val="28"/>
                        <w:szCs w:val="28"/>
                      </w:rPr>
                    </w:pPr>
                    <w:r>
                      <w:rPr>
                        <w:rStyle w:val="21"/>
                        <w:rFonts w:ascii="Times New Roman" w:hAnsi="Times New Roman" w:eastAsia="仿宋_GB2312"/>
                        <w:kern w:val="2"/>
                        <w:sz w:val="28"/>
                        <w:szCs w:val="28"/>
                        <w:lang w:bidi="ar"/>
                      </w:rPr>
                      <w:t>—</w:t>
                    </w:r>
                    <w:r>
                      <w:rPr>
                        <w:rStyle w:val="21"/>
                        <w:rFonts w:ascii="Times New Roman" w:hAnsi="Times New Roman" w:eastAsia="仿宋_GB2312"/>
                        <w:kern w:val="2"/>
                        <w:sz w:val="28"/>
                        <w:szCs w:val="28"/>
                        <w:lang w:bidi="ar"/>
                      </w:rPr>
                      <w:fldChar w:fldCharType="begin"/>
                    </w:r>
                    <w:r>
                      <w:rPr>
                        <w:rStyle w:val="21"/>
                        <w:rFonts w:ascii="Times New Roman" w:hAnsi="Times New Roman" w:eastAsia="仿宋_GB2312"/>
                        <w:kern w:val="2"/>
                        <w:sz w:val="28"/>
                        <w:szCs w:val="28"/>
                        <w:lang w:bidi="ar"/>
                      </w:rPr>
                      <w:instrText xml:space="preserve">PAGE  </w:instrText>
                    </w:r>
                    <w:r>
                      <w:rPr>
                        <w:rStyle w:val="21"/>
                        <w:rFonts w:ascii="Times New Roman" w:hAnsi="Times New Roman" w:eastAsia="仿宋_GB2312"/>
                        <w:kern w:val="2"/>
                        <w:sz w:val="28"/>
                        <w:szCs w:val="28"/>
                        <w:lang w:bidi="ar"/>
                      </w:rPr>
                      <w:fldChar w:fldCharType="separate"/>
                    </w:r>
                    <w:r>
                      <w:rPr>
                        <w:rStyle w:val="21"/>
                        <w:rFonts w:ascii="Times New Roman" w:hAnsi="Times New Roman" w:eastAsia="仿宋_GB2312"/>
                        <w:kern w:val="2"/>
                        <w:sz w:val="28"/>
                        <w:szCs w:val="28"/>
                        <w:lang w:bidi="ar"/>
                      </w:rPr>
                      <w:t>12</w:t>
                    </w:r>
                    <w:r>
                      <w:rPr>
                        <w:rStyle w:val="21"/>
                        <w:rFonts w:ascii="Times New Roman" w:hAnsi="Times New Roman" w:eastAsia="仿宋_GB2312"/>
                        <w:kern w:val="2"/>
                        <w:sz w:val="28"/>
                        <w:szCs w:val="28"/>
                        <w:lang w:bidi="ar"/>
                      </w:rPr>
                      <w:fldChar w:fldCharType="end"/>
                    </w:r>
                    <w:r>
                      <w:rPr>
                        <w:rStyle w:val="21"/>
                        <w:rFonts w:ascii="Times New Roman" w:hAnsi="Times New Roman" w:eastAsia="仿宋_GB2312"/>
                        <w:kern w:val="2"/>
                        <w:sz w:val="28"/>
                        <w:szCs w:val="28"/>
                        <w:lang w:bidi="ar"/>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hyphenationZone w:val="360"/>
  <w:drawingGridHorizontalSpacing w:val="160"/>
  <w:drawingGridVerticalSpacing w:val="579"/>
  <w:displayHorizontalDrawingGridEvery w:val="0"/>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YjgwOTQ0M2U0Mzg2MTk0YzVjYWM1OTc3NTUyZTQifQ=="/>
  </w:docVars>
  <w:rsids>
    <w:rsidRoot w:val="00251ED1"/>
    <w:rsid w:val="00001D0D"/>
    <w:rsid w:val="00006C32"/>
    <w:rsid w:val="000070BB"/>
    <w:rsid w:val="00007908"/>
    <w:rsid w:val="00007A2A"/>
    <w:rsid w:val="0004127B"/>
    <w:rsid w:val="00061E0A"/>
    <w:rsid w:val="000651D7"/>
    <w:rsid w:val="00081764"/>
    <w:rsid w:val="00090311"/>
    <w:rsid w:val="00091522"/>
    <w:rsid w:val="000C1B41"/>
    <w:rsid w:val="000D695F"/>
    <w:rsid w:val="000D7E84"/>
    <w:rsid w:val="000F43A1"/>
    <w:rsid w:val="001022E8"/>
    <w:rsid w:val="00105649"/>
    <w:rsid w:val="0010709A"/>
    <w:rsid w:val="001268CD"/>
    <w:rsid w:val="00130888"/>
    <w:rsid w:val="00136317"/>
    <w:rsid w:val="00137536"/>
    <w:rsid w:val="001377BA"/>
    <w:rsid w:val="0015554F"/>
    <w:rsid w:val="0019261B"/>
    <w:rsid w:val="001B6E9A"/>
    <w:rsid w:val="001C22AE"/>
    <w:rsid w:val="001C7FE3"/>
    <w:rsid w:val="001D4AFD"/>
    <w:rsid w:val="001E56FA"/>
    <w:rsid w:val="001F7E44"/>
    <w:rsid w:val="00200E33"/>
    <w:rsid w:val="0020637D"/>
    <w:rsid w:val="002121D0"/>
    <w:rsid w:val="00215AAE"/>
    <w:rsid w:val="00234148"/>
    <w:rsid w:val="002450AD"/>
    <w:rsid w:val="00251ED1"/>
    <w:rsid w:val="00292204"/>
    <w:rsid w:val="00293EAF"/>
    <w:rsid w:val="00293F32"/>
    <w:rsid w:val="002A3CA4"/>
    <w:rsid w:val="002C02DE"/>
    <w:rsid w:val="002C2BE9"/>
    <w:rsid w:val="002C6F29"/>
    <w:rsid w:val="002D5F5D"/>
    <w:rsid w:val="002E37FF"/>
    <w:rsid w:val="002F4908"/>
    <w:rsid w:val="002F4C64"/>
    <w:rsid w:val="002F5464"/>
    <w:rsid w:val="003326BD"/>
    <w:rsid w:val="00340785"/>
    <w:rsid w:val="00346980"/>
    <w:rsid w:val="00354E3D"/>
    <w:rsid w:val="00361BA3"/>
    <w:rsid w:val="003837BF"/>
    <w:rsid w:val="003A225C"/>
    <w:rsid w:val="003B61D2"/>
    <w:rsid w:val="003B68C1"/>
    <w:rsid w:val="003D1A2E"/>
    <w:rsid w:val="003D383D"/>
    <w:rsid w:val="003D4160"/>
    <w:rsid w:val="003E6E7A"/>
    <w:rsid w:val="003F569A"/>
    <w:rsid w:val="003F6070"/>
    <w:rsid w:val="003F6FAE"/>
    <w:rsid w:val="003F7FA2"/>
    <w:rsid w:val="0041133A"/>
    <w:rsid w:val="0042011E"/>
    <w:rsid w:val="0042601C"/>
    <w:rsid w:val="00427D75"/>
    <w:rsid w:val="00447ED8"/>
    <w:rsid w:val="00457133"/>
    <w:rsid w:val="00460443"/>
    <w:rsid w:val="004645D7"/>
    <w:rsid w:val="00470C1E"/>
    <w:rsid w:val="0048169E"/>
    <w:rsid w:val="00491265"/>
    <w:rsid w:val="004A4F35"/>
    <w:rsid w:val="004B4FE9"/>
    <w:rsid w:val="004D0131"/>
    <w:rsid w:val="004E6FE0"/>
    <w:rsid w:val="00520B7F"/>
    <w:rsid w:val="00527AFA"/>
    <w:rsid w:val="005357A5"/>
    <w:rsid w:val="00547ADF"/>
    <w:rsid w:val="0055083E"/>
    <w:rsid w:val="005513D6"/>
    <w:rsid w:val="005630F8"/>
    <w:rsid w:val="00570F7F"/>
    <w:rsid w:val="00576DA7"/>
    <w:rsid w:val="005B16E7"/>
    <w:rsid w:val="005F0127"/>
    <w:rsid w:val="005F5909"/>
    <w:rsid w:val="00606BEA"/>
    <w:rsid w:val="00620A06"/>
    <w:rsid w:val="00623F5C"/>
    <w:rsid w:val="00635979"/>
    <w:rsid w:val="006867BE"/>
    <w:rsid w:val="00687D51"/>
    <w:rsid w:val="00690E4B"/>
    <w:rsid w:val="0069343F"/>
    <w:rsid w:val="006B0675"/>
    <w:rsid w:val="006B2A1B"/>
    <w:rsid w:val="006B44B2"/>
    <w:rsid w:val="006C1646"/>
    <w:rsid w:val="006C1E2E"/>
    <w:rsid w:val="006C285B"/>
    <w:rsid w:val="006C38AC"/>
    <w:rsid w:val="006C5097"/>
    <w:rsid w:val="006D159C"/>
    <w:rsid w:val="006D180D"/>
    <w:rsid w:val="006D57C6"/>
    <w:rsid w:val="006E5060"/>
    <w:rsid w:val="006E5C7E"/>
    <w:rsid w:val="006E6528"/>
    <w:rsid w:val="0070643A"/>
    <w:rsid w:val="00706782"/>
    <w:rsid w:val="00711091"/>
    <w:rsid w:val="007130C8"/>
    <w:rsid w:val="0073058D"/>
    <w:rsid w:val="00731FD8"/>
    <w:rsid w:val="00733089"/>
    <w:rsid w:val="0073790C"/>
    <w:rsid w:val="0074608C"/>
    <w:rsid w:val="0075390B"/>
    <w:rsid w:val="007568E8"/>
    <w:rsid w:val="007720BE"/>
    <w:rsid w:val="00773DAA"/>
    <w:rsid w:val="00783D94"/>
    <w:rsid w:val="00791964"/>
    <w:rsid w:val="007B6D99"/>
    <w:rsid w:val="007D10F7"/>
    <w:rsid w:val="007F4C07"/>
    <w:rsid w:val="007F732C"/>
    <w:rsid w:val="0080406F"/>
    <w:rsid w:val="008053E0"/>
    <w:rsid w:val="00812925"/>
    <w:rsid w:val="00821DD4"/>
    <w:rsid w:val="00822CC0"/>
    <w:rsid w:val="00823403"/>
    <w:rsid w:val="00825531"/>
    <w:rsid w:val="008413A8"/>
    <w:rsid w:val="008623AE"/>
    <w:rsid w:val="008801BC"/>
    <w:rsid w:val="0088031F"/>
    <w:rsid w:val="008849F7"/>
    <w:rsid w:val="00891B53"/>
    <w:rsid w:val="00894C34"/>
    <w:rsid w:val="008B6A32"/>
    <w:rsid w:val="008C17DA"/>
    <w:rsid w:val="008E7182"/>
    <w:rsid w:val="008F23DD"/>
    <w:rsid w:val="008F5E38"/>
    <w:rsid w:val="008F7A7F"/>
    <w:rsid w:val="00901CF8"/>
    <w:rsid w:val="0090777C"/>
    <w:rsid w:val="00917217"/>
    <w:rsid w:val="0093506A"/>
    <w:rsid w:val="00962901"/>
    <w:rsid w:val="00962E71"/>
    <w:rsid w:val="00964ADC"/>
    <w:rsid w:val="0097251B"/>
    <w:rsid w:val="00975EF5"/>
    <w:rsid w:val="009773DB"/>
    <w:rsid w:val="00977FED"/>
    <w:rsid w:val="009A23D6"/>
    <w:rsid w:val="009A6FFC"/>
    <w:rsid w:val="009B48A8"/>
    <w:rsid w:val="009B6E9B"/>
    <w:rsid w:val="009C269B"/>
    <w:rsid w:val="009C4BA5"/>
    <w:rsid w:val="009F168E"/>
    <w:rsid w:val="00A0669D"/>
    <w:rsid w:val="00A32391"/>
    <w:rsid w:val="00A36FEC"/>
    <w:rsid w:val="00A43102"/>
    <w:rsid w:val="00A70CA8"/>
    <w:rsid w:val="00A75C4C"/>
    <w:rsid w:val="00A86E3A"/>
    <w:rsid w:val="00AA1884"/>
    <w:rsid w:val="00AA65DD"/>
    <w:rsid w:val="00AA771C"/>
    <w:rsid w:val="00AB6476"/>
    <w:rsid w:val="00AB7578"/>
    <w:rsid w:val="00AC42EF"/>
    <w:rsid w:val="00AD233F"/>
    <w:rsid w:val="00AD4BBF"/>
    <w:rsid w:val="00AD7358"/>
    <w:rsid w:val="00AE253A"/>
    <w:rsid w:val="00AF2506"/>
    <w:rsid w:val="00B01682"/>
    <w:rsid w:val="00B06F20"/>
    <w:rsid w:val="00B10150"/>
    <w:rsid w:val="00B147B6"/>
    <w:rsid w:val="00B15CE7"/>
    <w:rsid w:val="00B235FD"/>
    <w:rsid w:val="00B23B84"/>
    <w:rsid w:val="00B24AE3"/>
    <w:rsid w:val="00B32A8A"/>
    <w:rsid w:val="00B4037B"/>
    <w:rsid w:val="00B54BBB"/>
    <w:rsid w:val="00B624A4"/>
    <w:rsid w:val="00B663B8"/>
    <w:rsid w:val="00B6716C"/>
    <w:rsid w:val="00B674E4"/>
    <w:rsid w:val="00B718C5"/>
    <w:rsid w:val="00B84A53"/>
    <w:rsid w:val="00B8517D"/>
    <w:rsid w:val="00B931C2"/>
    <w:rsid w:val="00B94656"/>
    <w:rsid w:val="00BA0AD0"/>
    <w:rsid w:val="00BA7C79"/>
    <w:rsid w:val="00BB3DE4"/>
    <w:rsid w:val="00BB5CD8"/>
    <w:rsid w:val="00BB65B3"/>
    <w:rsid w:val="00BB6AD1"/>
    <w:rsid w:val="00BC2F50"/>
    <w:rsid w:val="00BC7E4F"/>
    <w:rsid w:val="00BD741D"/>
    <w:rsid w:val="00BD7E03"/>
    <w:rsid w:val="00BF0BFB"/>
    <w:rsid w:val="00BF1477"/>
    <w:rsid w:val="00C0213D"/>
    <w:rsid w:val="00C044E5"/>
    <w:rsid w:val="00C073A0"/>
    <w:rsid w:val="00C1755D"/>
    <w:rsid w:val="00C3421B"/>
    <w:rsid w:val="00C41B1C"/>
    <w:rsid w:val="00C73CAE"/>
    <w:rsid w:val="00C8160B"/>
    <w:rsid w:val="00C86A8F"/>
    <w:rsid w:val="00C975DF"/>
    <w:rsid w:val="00CB5512"/>
    <w:rsid w:val="00CC3B15"/>
    <w:rsid w:val="00CC44D1"/>
    <w:rsid w:val="00CC6D71"/>
    <w:rsid w:val="00CF7FE3"/>
    <w:rsid w:val="00D01B31"/>
    <w:rsid w:val="00D05401"/>
    <w:rsid w:val="00D10CA4"/>
    <w:rsid w:val="00D117AE"/>
    <w:rsid w:val="00D20223"/>
    <w:rsid w:val="00D24718"/>
    <w:rsid w:val="00D508AA"/>
    <w:rsid w:val="00D66493"/>
    <w:rsid w:val="00D7010C"/>
    <w:rsid w:val="00D7623D"/>
    <w:rsid w:val="00D7641E"/>
    <w:rsid w:val="00D82337"/>
    <w:rsid w:val="00D95331"/>
    <w:rsid w:val="00D96068"/>
    <w:rsid w:val="00DF1B80"/>
    <w:rsid w:val="00DF2AA3"/>
    <w:rsid w:val="00DF785D"/>
    <w:rsid w:val="00E06D71"/>
    <w:rsid w:val="00E3159F"/>
    <w:rsid w:val="00E3393A"/>
    <w:rsid w:val="00E56355"/>
    <w:rsid w:val="00E60CDB"/>
    <w:rsid w:val="00E720E8"/>
    <w:rsid w:val="00E845D7"/>
    <w:rsid w:val="00EB13FB"/>
    <w:rsid w:val="00EB3EA1"/>
    <w:rsid w:val="00EB73DF"/>
    <w:rsid w:val="00EC508F"/>
    <w:rsid w:val="00EC7DD2"/>
    <w:rsid w:val="00ED4053"/>
    <w:rsid w:val="00EF0B1C"/>
    <w:rsid w:val="00EF3047"/>
    <w:rsid w:val="00F07B36"/>
    <w:rsid w:val="00F451CB"/>
    <w:rsid w:val="00F472A5"/>
    <w:rsid w:val="00F509BB"/>
    <w:rsid w:val="00F567D6"/>
    <w:rsid w:val="00F7403A"/>
    <w:rsid w:val="00F8230A"/>
    <w:rsid w:val="00F946ED"/>
    <w:rsid w:val="00F96F2F"/>
    <w:rsid w:val="00FA113D"/>
    <w:rsid w:val="00FA6FE8"/>
    <w:rsid w:val="00FB4C0B"/>
    <w:rsid w:val="00FC3452"/>
    <w:rsid w:val="00FE59BB"/>
    <w:rsid w:val="01F568FA"/>
    <w:rsid w:val="213809D8"/>
    <w:rsid w:val="22FF361B"/>
    <w:rsid w:val="31073B2B"/>
    <w:rsid w:val="7EEE1557"/>
    <w:rsid w:val="7F7272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2"/>
    <w:qFormat/>
    <w:uiPriority w:val="0"/>
    <w:pPr>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link w:val="35"/>
    <w:qFormat/>
    <w:uiPriority w:val="0"/>
    <w:pPr>
      <w:outlineLvl w:val="1"/>
    </w:pPr>
    <w:rPr>
      <w:rFonts w:eastAsia="黑体"/>
      <w:bCs/>
      <w:szCs w:val="32"/>
    </w:rPr>
  </w:style>
  <w:style w:type="paragraph" w:styleId="4">
    <w:name w:val="heading 3"/>
    <w:basedOn w:val="1"/>
    <w:next w:val="1"/>
    <w:link w:val="23"/>
    <w:qFormat/>
    <w:uiPriority w:val="0"/>
    <w:pPr>
      <w:outlineLvl w:val="2"/>
    </w:pPr>
    <w:rPr>
      <w:rFonts w:eastAsia="楷体_GB2312"/>
      <w:b/>
      <w:bCs/>
      <w:szCs w:val="32"/>
    </w:rPr>
  </w:style>
  <w:style w:type="paragraph" w:styleId="5">
    <w:name w:val="heading 4"/>
    <w:basedOn w:val="1"/>
    <w:next w:val="1"/>
    <w:link w:val="24"/>
    <w:qFormat/>
    <w:uiPriority w:val="0"/>
    <w:pPr>
      <w:spacing w:before="50" w:beforeLines="50" w:after="50" w:afterLines="50" w:line="500" w:lineRule="exact"/>
      <w:ind w:firstLine="0" w:firstLineChars="0"/>
      <w:jc w:val="center"/>
      <w:outlineLvl w:val="3"/>
    </w:pPr>
    <w:rPr>
      <w:rFonts w:eastAsia="方正小标宋简体"/>
      <w:bCs/>
      <w:sz w:val="36"/>
      <w:szCs w:val="28"/>
    </w:rPr>
  </w:style>
  <w:style w:type="paragraph" w:styleId="6">
    <w:name w:val="heading 7"/>
    <w:basedOn w:val="1"/>
    <w:next w:val="1"/>
    <w:qFormat/>
    <w:uiPriority w:val="0"/>
    <w:pPr>
      <w:keepNext/>
      <w:keepLines/>
      <w:spacing w:before="240" w:after="64" w:line="320" w:lineRule="atLeast"/>
      <w:outlineLvl w:val="6"/>
    </w:pPr>
    <w:rPr>
      <w:b/>
      <w:bCs/>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7">
    <w:name w:val="annotation text"/>
    <w:basedOn w:val="1"/>
    <w:link w:val="37"/>
    <w:qFormat/>
    <w:uiPriority w:val="0"/>
    <w:pPr>
      <w:adjustRightInd/>
      <w:snapToGrid/>
      <w:spacing w:line="240" w:lineRule="auto"/>
      <w:ind w:firstLine="0" w:firstLineChars="0"/>
      <w:jc w:val="left"/>
    </w:pPr>
    <w:rPr>
      <w:rFonts w:ascii="Calibri" w:hAnsi="Calibri" w:eastAsia="宋体"/>
      <w:sz w:val="21"/>
      <w:szCs w:val="22"/>
    </w:rPr>
  </w:style>
  <w:style w:type="paragraph" w:styleId="8">
    <w:name w:val="Body Text 3"/>
    <w:basedOn w:val="1"/>
    <w:qFormat/>
    <w:uiPriority w:val="0"/>
    <w:pPr>
      <w:spacing w:after="120"/>
    </w:pPr>
    <w:rPr>
      <w:sz w:val="16"/>
      <w:szCs w:val="16"/>
    </w:rPr>
  </w:style>
  <w:style w:type="paragraph" w:styleId="9">
    <w:name w:val="Plain Text"/>
    <w:basedOn w:val="1"/>
    <w:link w:val="32"/>
    <w:qFormat/>
    <w:uiPriority w:val="99"/>
    <w:pPr>
      <w:adjustRightInd/>
      <w:snapToGrid/>
      <w:spacing w:line="240" w:lineRule="auto"/>
      <w:ind w:firstLine="0" w:firstLineChars="0"/>
    </w:pPr>
    <w:rPr>
      <w:rFonts w:ascii="宋体" w:hAnsi="Courier New" w:eastAsia="宋体" w:cs="Courier New"/>
      <w:sz w:val="21"/>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adjustRightInd/>
      <w:snapToGrid/>
      <w:spacing w:line="240" w:lineRule="auto"/>
      <w:ind w:firstLine="420"/>
    </w:pPr>
    <w:rPr>
      <w:rFonts w:ascii="仿宋_GB2312"/>
      <w:color w:val="FF6600"/>
      <w:sz w:val="21"/>
    </w:rPr>
  </w:style>
  <w:style w:type="paragraph" w:styleId="12">
    <w:name w:val="Balloon Text"/>
    <w:basedOn w:val="1"/>
    <w:link w:val="29"/>
    <w:semiHidden/>
    <w:qFormat/>
    <w:uiPriority w:val="0"/>
    <w:pPr>
      <w:adjustRightInd/>
      <w:snapToGrid/>
      <w:spacing w:line="240" w:lineRule="auto"/>
      <w:ind w:firstLine="0" w:firstLineChars="0"/>
    </w:pPr>
    <w:rPr>
      <w:rFonts w:eastAsia="宋体"/>
      <w:sz w:val="18"/>
      <w:szCs w:val="18"/>
    </w:rPr>
  </w:style>
  <w:style w:type="paragraph" w:styleId="13">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4">
    <w:name w:val="header"/>
    <w:basedOn w:val="1"/>
    <w:link w:val="2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HTML Preformatted"/>
    <w:basedOn w:val="1"/>
    <w:link w:val="3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line="240" w:lineRule="auto"/>
      <w:ind w:firstLine="0" w:firstLineChars="0"/>
      <w:jc w:val="left"/>
    </w:pPr>
    <w:rPr>
      <w:rFonts w:ascii="宋体" w:hAnsi="宋体" w:eastAsia="宋体" w:cs="宋体"/>
      <w:kern w:val="0"/>
      <w:sz w:val="24"/>
    </w:rPr>
  </w:style>
  <w:style w:type="paragraph" w:styleId="16">
    <w:name w:val="Normal (Web)"/>
    <w:basedOn w:val="1"/>
    <w:qFormat/>
    <w:uiPriority w:val="0"/>
    <w:pPr>
      <w:adjustRightInd/>
      <w:snapToGrid/>
      <w:spacing w:beforeAutospacing="1" w:afterAutospacing="1" w:line="240" w:lineRule="auto"/>
      <w:ind w:firstLine="0" w:firstLineChars="0"/>
      <w:jc w:val="left"/>
    </w:pPr>
    <w:rPr>
      <w:rFonts w:ascii="Calibri" w:hAnsi="Calibri" w:eastAsia="宋体"/>
      <w:kern w:val="0"/>
      <w:sz w:val="24"/>
    </w:rPr>
  </w:style>
  <w:style w:type="table" w:styleId="18">
    <w:name w:val="Table Grid"/>
    <w:basedOn w:val="17"/>
    <w:qFormat/>
    <w:uiPriority w:val="0"/>
    <w:pPr>
      <w:widowControl w:val="0"/>
      <w:adjustRightInd w:val="0"/>
      <w:snapToGrid w:val="0"/>
      <w:spacing w:line="590" w:lineRule="atLeas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customStyle="1" w:styleId="22">
    <w:name w:val="标题 1 Char"/>
    <w:basedOn w:val="19"/>
    <w:link w:val="2"/>
    <w:qFormat/>
    <w:locked/>
    <w:uiPriority w:val="0"/>
    <w:rPr>
      <w:rFonts w:eastAsia="方正小标宋简体"/>
      <w:bCs/>
      <w:kern w:val="44"/>
      <w:sz w:val="44"/>
      <w:szCs w:val="44"/>
    </w:rPr>
  </w:style>
  <w:style w:type="character" w:customStyle="1" w:styleId="23">
    <w:name w:val="标题 3 Char"/>
    <w:basedOn w:val="19"/>
    <w:link w:val="4"/>
    <w:qFormat/>
    <w:uiPriority w:val="0"/>
    <w:rPr>
      <w:rFonts w:eastAsia="楷体_GB2312"/>
      <w:b/>
      <w:bCs/>
      <w:kern w:val="2"/>
      <w:sz w:val="32"/>
      <w:szCs w:val="32"/>
    </w:rPr>
  </w:style>
  <w:style w:type="character" w:customStyle="1" w:styleId="24">
    <w:name w:val="标题 4 Char1"/>
    <w:basedOn w:val="19"/>
    <w:link w:val="5"/>
    <w:qFormat/>
    <w:locked/>
    <w:uiPriority w:val="0"/>
    <w:rPr>
      <w:rFonts w:eastAsia="方正小标宋简体"/>
      <w:bCs/>
      <w:kern w:val="2"/>
      <w:sz w:val="36"/>
      <w:szCs w:val="28"/>
    </w:rPr>
  </w:style>
  <w:style w:type="character" w:customStyle="1" w:styleId="25">
    <w:name w:val="页脚 Char"/>
    <w:basedOn w:val="19"/>
    <w:link w:val="13"/>
    <w:qFormat/>
    <w:uiPriority w:val="0"/>
    <w:rPr>
      <w:rFonts w:eastAsia="仿宋_GB2312"/>
      <w:kern w:val="2"/>
      <w:sz w:val="18"/>
      <w:szCs w:val="18"/>
      <w:lang w:val="en-US" w:eastAsia="zh-CN" w:bidi="ar-SA"/>
    </w:rPr>
  </w:style>
  <w:style w:type="character" w:customStyle="1" w:styleId="26">
    <w:name w:val="页眉 Char"/>
    <w:basedOn w:val="19"/>
    <w:link w:val="14"/>
    <w:semiHidden/>
    <w:qFormat/>
    <w:uiPriority w:val="0"/>
    <w:rPr>
      <w:rFonts w:eastAsia="仿宋_GB2312"/>
      <w:kern w:val="2"/>
      <w:sz w:val="18"/>
      <w:szCs w:val="18"/>
      <w:lang w:val="en-US" w:eastAsia="zh-CN" w:bidi="ar-SA"/>
    </w:rPr>
  </w:style>
  <w:style w:type="paragraph" w:customStyle="1" w:styleId="27">
    <w:name w:val="表头"/>
    <w:basedOn w:val="1"/>
    <w:qFormat/>
    <w:uiPriority w:val="0"/>
    <w:pPr>
      <w:spacing w:before="80" w:after="80" w:line="280" w:lineRule="atLeast"/>
      <w:ind w:firstLine="0" w:firstLineChars="0"/>
      <w:jc w:val="center"/>
    </w:pPr>
    <w:rPr>
      <w:rFonts w:eastAsia="黑体" w:cs="宋体"/>
      <w:sz w:val="24"/>
    </w:rPr>
  </w:style>
  <w:style w:type="paragraph" w:customStyle="1" w:styleId="28">
    <w:name w:val="表内文字"/>
    <w:basedOn w:val="1"/>
    <w:qFormat/>
    <w:uiPriority w:val="0"/>
    <w:pPr>
      <w:spacing w:before="60" w:after="60" w:line="280" w:lineRule="atLeast"/>
      <w:ind w:firstLine="0" w:firstLineChars="0"/>
    </w:pPr>
    <w:rPr>
      <w:sz w:val="24"/>
    </w:rPr>
  </w:style>
  <w:style w:type="character" w:customStyle="1" w:styleId="29">
    <w:name w:val="批注框文本 Char"/>
    <w:basedOn w:val="19"/>
    <w:link w:val="12"/>
    <w:semiHidden/>
    <w:qFormat/>
    <w:uiPriority w:val="0"/>
    <w:rPr>
      <w:rFonts w:eastAsia="宋体"/>
      <w:kern w:val="2"/>
      <w:sz w:val="18"/>
      <w:szCs w:val="18"/>
      <w:lang w:val="en-US" w:eastAsia="zh-CN" w:bidi="ar-SA"/>
    </w:rPr>
  </w:style>
  <w:style w:type="paragraph" w:customStyle="1" w:styleId="30">
    <w:name w:val="p0"/>
    <w:basedOn w:val="1"/>
    <w:qFormat/>
    <w:uiPriority w:val="0"/>
    <w:pPr>
      <w:widowControl/>
      <w:adjustRightInd/>
      <w:snapToGrid/>
      <w:spacing w:line="240" w:lineRule="auto"/>
      <w:ind w:firstLine="0" w:firstLineChars="0"/>
    </w:pPr>
    <w:rPr>
      <w:rFonts w:eastAsia="宋体"/>
      <w:kern w:val="0"/>
      <w:sz w:val="21"/>
      <w:szCs w:val="21"/>
    </w:rPr>
  </w:style>
  <w:style w:type="character" w:customStyle="1" w:styleId="31">
    <w:name w:val="HTML 预设格式 Char"/>
    <w:basedOn w:val="19"/>
    <w:link w:val="15"/>
    <w:semiHidden/>
    <w:qFormat/>
    <w:locked/>
    <w:uiPriority w:val="0"/>
    <w:rPr>
      <w:rFonts w:ascii="宋体" w:hAnsi="宋体" w:eastAsia="宋体" w:cs="宋体"/>
      <w:sz w:val="24"/>
      <w:szCs w:val="24"/>
      <w:lang w:val="en-US" w:eastAsia="zh-CN" w:bidi="ar-SA"/>
    </w:rPr>
  </w:style>
  <w:style w:type="character" w:customStyle="1" w:styleId="32">
    <w:name w:val="纯文本 Char"/>
    <w:basedOn w:val="19"/>
    <w:link w:val="9"/>
    <w:qFormat/>
    <w:locked/>
    <w:uiPriority w:val="99"/>
    <w:rPr>
      <w:rFonts w:ascii="宋体" w:hAnsi="Courier New" w:eastAsia="宋体" w:cs="Courier New"/>
      <w:kern w:val="2"/>
      <w:sz w:val="21"/>
      <w:szCs w:val="21"/>
      <w:lang w:val="en-US" w:eastAsia="zh-CN" w:bidi="ar-SA"/>
    </w:rPr>
  </w:style>
  <w:style w:type="paragraph" w:customStyle="1" w:styleId="33">
    <w:name w:val="custom_unionstyle"/>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34">
    <w:name w:val="15"/>
    <w:basedOn w:val="19"/>
    <w:qFormat/>
    <w:uiPriority w:val="0"/>
    <w:rPr>
      <w:rFonts w:hint="default" w:ascii="Times New Roman" w:hAnsi="Times New Roman" w:cs="Times New Roman"/>
      <w:color w:val="0000FF"/>
      <w:u w:val="single"/>
    </w:rPr>
  </w:style>
  <w:style w:type="character" w:customStyle="1" w:styleId="35">
    <w:name w:val="标题 2 Char"/>
    <w:basedOn w:val="19"/>
    <w:link w:val="3"/>
    <w:qFormat/>
    <w:uiPriority w:val="0"/>
    <w:rPr>
      <w:rFonts w:eastAsia="黑体"/>
      <w:bCs/>
      <w:kern w:val="2"/>
      <w:sz w:val="32"/>
      <w:szCs w:val="32"/>
    </w:rPr>
  </w:style>
  <w:style w:type="character" w:customStyle="1" w:styleId="36">
    <w:name w:val="标题 4 Char"/>
    <w:basedOn w:val="19"/>
    <w:qFormat/>
    <w:uiPriority w:val="0"/>
    <w:rPr>
      <w:rFonts w:eastAsia="仿宋_GB2312"/>
      <w:bCs/>
      <w:kern w:val="2"/>
      <w:sz w:val="32"/>
      <w:szCs w:val="28"/>
      <w:lang w:val="en-US" w:eastAsia="zh-CN" w:bidi="ar-SA"/>
    </w:rPr>
  </w:style>
  <w:style w:type="character" w:customStyle="1" w:styleId="37">
    <w:name w:val="批注文字 Char"/>
    <w:basedOn w:val="19"/>
    <w:link w:val="7"/>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2397</Words>
  <Characters>2436</Characters>
  <Lines>50</Lines>
  <Paragraphs>14</Paragraphs>
  <TotalTime>6</TotalTime>
  <ScaleCrop>false</ScaleCrop>
  <LinksUpToDate>false</LinksUpToDate>
  <CharactersWithSpaces>2509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2022-03-24T02:25:00Z</dcterms:created>
  <dc:creator>walkinnet</dc:creator>
  <cp:lastModifiedBy>Administrator</cp:lastModifiedBy>
  <cp:lastPrinted>2025-05-06T03:46:00Z</cp:lastPrinted>
  <dcterms:modified xsi:type="dcterms:W3CDTF">2025-06-16T01:44:59Z</dcterms:modified>
  <dc:title>湘农业函〔2014〕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3291200A129A49768250DAC34F37A443_13</vt:lpwstr>
  </property>
  <property fmtid="{D5CDD505-2E9C-101B-9397-08002B2CF9AE}" pid="4" name="KSOTemplateDocerSaveRecord">
    <vt:lpwstr>eyJoZGlkIjoiODE3ZDFjNzQ1ZTBhYTEyMjY1ZTA1ZDZkMDI5ZTlhNWQiLCJ1c2VySWQiOiIzMTcyODcyNTAifQ==</vt:lpwstr>
  </property>
</Properties>
</file>