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600" w:lineRule="exact"/>
        <w:jc w:val="center"/>
        <w:textAlignment w:val="baseline"/>
        <w:rPr>
          <w:rFonts w:ascii="宋体" w:hAnsi="宋体" w:eastAsia="宋体" w:cs="宋体"/>
          <w:b/>
          <w:bCs/>
          <w:spacing w:val="17"/>
          <w:sz w:val="44"/>
          <w:szCs w:val="44"/>
        </w:rPr>
      </w:pPr>
      <w:r>
        <w:rPr>
          <w:rFonts w:ascii="宋体" w:hAnsi="宋体" w:eastAsia="宋体" w:cs="宋体"/>
          <w:b/>
          <w:bCs/>
          <w:spacing w:val="17"/>
          <w:sz w:val="44"/>
          <w:szCs w:val="44"/>
        </w:rPr>
        <w:t>荷塘区促进外贸发展实施办法(试行)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600" w:lineRule="exact"/>
        <w:jc w:val="center"/>
        <w:textAlignment w:val="baseline"/>
      </w:pPr>
      <w:r>
        <w:rPr>
          <w:rFonts w:hint="eastAsia" w:ascii="宋体" w:hAnsi="宋体" w:eastAsia="宋体" w:cs="宋体"/>
          <w:b/>
          <w:bCs/>
          <w:spacing w:val="17"/>
          <w:sz w:val="44"/>
          <w:szCs w:val="44"/>
          <w:lang w:val="en-US" w:eastAsia="zh-CN"/>
        </w:rPr>
        <w:t>征求意见稿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right="138" w:firstLine="610" w:firstLineChars="200"/>
        <w:jc w:val="both"/>
        <w:textAlignment w:val="baseline"/>
        <w:rPr>
          <w:rFonts w:ascii="黑体" w:hAnsi="黑体" w:eastAsia="黑体" w:cs="黑体"/>
          <w:b/>
          <w:bCs/>
          <w:spacing w:val="-3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ind w:right="138" w:firstLine="61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第一条</w:t>
      </w:r>
      <w:r>
        <w:rPr>
          <w:rFonts w:ascii="黑体" w:hAnsi="黑体" w:eastAsia="黑体" w:cs="黑体"/>
          <w:spacing w:val="-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为全面落实“三高四新”战略定位和使命任务，坚持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“聚焦、裂变、创新、升级、品牌”工作思路，紧</w:t>
      </w:r>
      <w:r>
        <w:rPr>
          <w:rFonts w:ascii="仿宋" w:hAnsi="仿宋" w:eastAsia="仿宋" w:cs="仿宋"/>
          <w:spacing w:val="3"/>
          <w:sz w:val="31"/>
          <w:szCs w:val="31"/>
        </w:rPr>
        <w:t>扣加快打造“一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区两城”奋斗目标，全力推进我区外贸工作实现稳中求进高质量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发展，根据《湖南省商务厅关于做好2023年全省跨境电商重点</w:t>
      </w:r>
      <w:r>
        <w:rPr>
          <w:rFonts w:ascii="仿宋" w:hAnsi="仿宋" w:eastAsia="仿宋" w:cs="仿宋"/>
          <w:spacing w:val="29"/>
          <w:sz w:val="31"/>
          <w:szCs w:val="31"/>
        </w:rPr>
        <w:t>工作的通知》(湘商电〔2023〕2号)、《株洲市促进外贸增长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和铜塘湾保税物流中心</w:t>
      </w:r>
      <w:r>
        <w:rPr>
          <w:rFonts w:ascii="宋体" w:hAnsi="宋体" w:eastAsia="宋体" w:cs="宋体"/>
          <w:spacing w:val="20"/>
          <w:sz w:val="31"/>
          <w:szCs w:val="31"/>
        </w:rPr>
        <w:t>(B</w:t>
      </w:r>
      <w:r>
        <w:rPr>
          <w:rFonts w:ascii="宋体" w:hAnsi="宋体" w:eastAsia="宋体" w:cs="宋体"/>
          <w:spacing w:val="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型)业务发展的若干措</w:t>
      </w:r>
      <w:r>
        <w:rPr>
          <w:rFonts w:ascii="仿宋" w:hAnsi="仿宋" w:eastAsia="仿宋" w:cs="仿宋"/>
          <w:spacing w:val="19"/>
          <w:sz w:val="31"/>
          <w:szCs w:val="31"/>
        </w:rPr>
        <w:t>施(2023-2026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年)》(株政发〔2023〕1号)、《2023年株洲市对外贸易工作</w:t>
      </w:r>
      <w:r>
        <w:rPr>
          <w:rFonts w:ascii="仿宋" w:hAnsi="仿宋" w:eastAsia="仿宋" w:cs="仿宋"/>
          <w:spacing w:val="29"/>
          <w:sz w:val="31"/>
          <w:szCs w:val="31"/>
        </w:rPr>
        <w:t>考核办法》(株开办发〔2023〕6号)等文件精神</w:t>
      </w:r>
      <w:r>
        <w:rPr>
          <w:rFonts w:hint="eastAsia" w:ascii="仿宋" w:hAnsi="仿宋" w:eastAsia="仿宋" w:cs="仿宋"/>
          <w:spacing w:val="29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29"/>
          <w:sz w:val="31"/>
          <w:szCs w:val="31"/>
        </w:rPr>
        <w:t>结合我区实</w:t>
      </w:r>
      <w:r>
        <w:rPr>
          <w:rFonts w:ascii="仿宋" w:hAnsi="仿宋" w:eastAsia="仿宋" w:cs="仿宋"/>
          <w:spacing w:val="22"/>
          <w:sz w:val="31"/>
          <w:szCs w:val="31"/>
        </w:rPr>
        <w:t>际，制定本实施办法。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3" w:line="600" w:lineRule="exact"/>
        <w:ind w:right="125" w:firstLine="654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第二条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本实施办法适用于注册登记、进出口统计均在我区 </w:t>
      </w:r>
      <w:r>
        <w:rPr>
          <w:rFonts w:ascii="仿宋" w:hAnsi="仿宋" w:eastAsia="仿宋" w:cs="仿宋"/>
          <w:spacing w:val="4"/>
          <w:sz w:val="31"/>
          <w:szCs w:val="31"/>
        </w:rPr>
        <w:t>的企业以及外贸综合服务平台。</w:t>
      </w:r>
    </w:p>
    <w:p>
      <w:pPr>
        <w:keepNext w:val="0"/>
        <w:keepLines w:val="0"/>
        <w:pageBreakBefore w:val="0"/>
        <w:widowControl/>
        <w:tabs>
          <w:tab w:val="left" w:pos="33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600" w:lineRule="exact"/>
        <w:ind w:right="98" w:firstLine="650" w:firstLineChars="200"/>
        <w:jc w:val="both"/>
        <w:textAlignment w:val="baseline"/>
        <w:rPr>
          <w:rFonts w:ascii="仿宋" w:hAnsi="仿宋" w:eastAsia="仿宋" w:cs="仿宋"/>
          <w:spacing w:val="11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第三条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支持做大做强。以上年度一般贸易进出口额为基数</w:t>
      </w:r>
      <w:r>
        <w:rPr>
          <w:rFonts w:ascii="仿宋" w:hAnsi="仿宋" w:eastAsia="仿宋" w:cs="仿宋"/>
          <w:spacing w:val="32"/>
          <w:sz w:val="31"/>
          <w:szCs w:val="31"/>
        </w:rPr>
        <w:t>(以海关统计或省商务厅通报数据为准),对当</w:t>
      </w:r>
      <w:r>
        <w:rPr>
          <w:rFonts w:ascii="仿宋" w:hAnsi="仿宋" w:eastAsia="仿宋" w:cs="仿宋"/>
          <w:spacing w:val="31"/>
          <w:sz w:val="31"/>
          <w:szCs w:val="31"/>
        </w:rPr>
        <w:t>年超基数1000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万元(指人民币，下同)以上的企业，或当年进出口额超过800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万元且同比增速超过20%的企业，其增量部</w:t>
      </w:r>
      <w:r>
        <w:rPr>
          <w:rFonts w:ascii="仿宋" w:hAnsi="仿宋" w:eastAsia="仿宋" w:cs="仿宋"/>
          <w:spacing w:val="29"/>
          <w:sz w:val="31"/>
          <w:szCs w:val="31"/>
        </w:rPr>
        <w:t>分按10至30元/万</w:t>
      </w:r>
      <w:r>
        <w:rPr>
          <w:rFonts w:ascii="仿宋" w:hAnsi="仿宋" w:eastAsia="仿宋" w:cs="仿宋"/>
          <w:spacing w:val="11"/>
          <w:sz w:val="31"/>
          <w:szCs w:val="31"/>
        </w:rPr>
        <w:t>元的标准予以奖励。</w:t>
      </w:r>
    </w:p>
    <w:p>
      <w:pPr>
        <w:keepNext w:val="0"/>
        <w:keepLines w:val="0"/>
        <w:pageBreakBefore w:val="0"/>
        <w:widowControl/>
        <w:tabs>
          <w:tab w:val="left" w:pos="33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0" w:line="600" w:lineRule="exact"/>
        <w:ind w:right="98" w:firstLine="61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第四条</w:t>
      </w:r>
      <w:r>
        <w:rPr>
          <w:rFonts w:ascii="黑体" w:hAnsi="黑体" w:eastAsia="黑体" w:cs="黑体"/>
          <w:spacing w:val="-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支持外贸企业“破零”。对首次实现进出口实绩破零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的生产型企业，当年新发生进出口实绩达到200万元</w:t>
      </w:r>
      <w:r>
        <w:rPr>
          <w:rFonts w:ascii="仿宋" w:hAnsi="仿宋" w:eastAsia="仿宋" w:cs="仿宋"/>
          <w:spacing w:val="10"/>
          <w:sz w:val="31"/>
          <w:szCs w:val="31"/>
        </w:rPr>
        <w:t>、500万元、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1000万元以上的企业，分别一次性奖励5000元、1万元、2万元。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600" w:lineRule="exact"/>
        <w:ind w:firstLine="678" w:firstLineChars="200"/>
        <w:jc w:val="both"/>
        <w:textAlignment w:val="baseline"/>
        <w:rPr>
          <w:rFonts w:ascii="仿宋" w:hAnsi="仿宋" w:eastAsia="仿宋" w:cs="仿宋"/>
          <w:spacing w:val="15"/>
          <w:sz w:val="32"/>
          <w:szCs w:val="32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第五条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支持主动创新。每完成1个外贸</w:t>
      </w:r>
      <w:r>
        <w:rPr>
          <w:rFonts w:ascii="仿宋" w:hAnsi="仿宋" w:eastAsia="仿宋" w:cs="仿宋"/>
          <w:spacing w:val="13"/>
          <w:sz w:val="31"/>
          <w:szCs w:val="31"/>
        </w:rPr>
        <w:t>主体创新发展行动</w:t>
      </w:r>
      <w:r>
        <w:rPr>
          <w:rFonts w:ascii="仿宋" w:hAnsi="仿宋" w:eastAsia="仿宋" w:cs="仿宋"/>
          <w:spacing w:val="-9"/>
          <w:sz w:val="32"/>
          <w:szCs w:val="32"/>
        </w:rPr>
        <w:t>项目(含规上企业产贸融合、外贸200强企业引进、创新“飞地”、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 xml:space="preserve">AEO </w:t>
      </w:r>
      <w:r>
        <w:rPr>
          <w:rFonts w:ascii="仿宋" w:hAnsi="仿宋" w:eastAsia="仿宋" w:cs="仿宋"/>
          <w:spacing w:val="-5"/>
          <w:sz w:val="32"/>
          <w:szCs w:val="32"/>
        </w:rPr>
        <w:t>高级认证企业、外贸企业上市，以企业注册、外贸实绩、相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关认证、成功上市等佐证材料为准)予以最高不超过10万元的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支持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1" w:line="600" w:lineRule="exact"/>
        <w:ind w:firstLine="678" w:firstLineChars="200"/>
        <w:jc w:val="both"/>
        <w:textAlignment w:val="baseline"/>
        <w:rPr>
          <w:rFonts w:ascii="仿宋" w:hAnsi="仿宋" w:eastAsia="仿宋" w:cs="仿宋"/>
          <w:spacing w:val="10"/>
          <w:sz w:val="31"/>
          <w:szCs w:val="31"/>
        </w:rPr>
      </w:pPr>
      <w:r>
        <w:rPr>
          <w:rFonts w:ascii="黑体" w:hAnsi="黑体" w:eastAsia="黑体" w:cs="黑体"/>
          <w:b/>
          <w:bCs/>
          <w:spacing w:val="14"/>
          <w:sz w:val="31"/>
          <w:szCs w:val="31"/>
        </w:rPr>
        <w:t>第六条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设立外贸企业进位争先奖。由区商务局牵头，会同区财政局从开拓国际市场积极、完成进出口任务出色、对外贸有 突出贡献的企业中评选出一等奖一名，二等奖两名，三等奖三名， 予以表彰奖励，分别奖励3万元、2万元、1万元。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600" w:lineRule="exact"/>
        <w:ind w:right="61" w:firstLine="635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第七条</w:t>
      </w:r>
      <w:r>
        <w:rPr>
          <w:rFonts w:ascii="黑体" w:hAnsi="黑体" w:eastAsia="黑体" w:cs="黑体"/>
          <w:spacing w:val="-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支持开展跨境电子商务进出口业务。根据跨境电子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商务企业进出口额(以海关统计或省商务厅通报数据为准)给予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每1美元不超过0.5分人民币的补贴。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600" w:lineRule="exact"/>
        <w:ind w:right="87" w:firstLine="664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第八条</w:t>
      </w:r>
      <w:r>
        <w:rPr>
          <w:rFonts w:ascii="黑体" w:hAnsi="黑体" w:eastAsia="黑体" w:cs="黑体"/>
          <w:spacing w:val="1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支持跨境电子商务孵化中心建设。经市商务局认定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为跨境电子商务孵化中心的企业或机构，整合资源为其他外贸企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业集中提供全业务流程跨境电商孵化服务的，根据其服务</w:t>
      </w:r>
      <w:r>
        <w:rPr>
          <w:rFonts w:ascii="仿宋" w:hAnsi="仿宋" w:eastAsia="仿宋" w:cs="仿宋"/>
          <w:spacing w:val="-3"/>
          <w:sz w:val="32"/>
          <w:szCs w:val="32"/>
        </w:rPr>
        <w:t>外贸企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业数量、产生的跨境电商业绩及建设跨境电子商务平</w:t>
      </w:r>
      <w:r>
        <w:rPr>
          <w:rFonts w:ascii="仿宋" w:hAnsi="仿宋" w:eastAsia="仿宋" w:cs="仿宋"/>
          <w:spacing w:val="8"/>
          <w:sz w:val="32"/>
          <w:szCs w:val="32"/>
        </w:rPr>
        <w:t>台所需硬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件、平台开发、维护等费用给予最高不超过5万元的资金</w:t>
      </w:r>
      <w:r>
        <w:rPr>
          <w:rFonts w:ascii="仿宋" w:hAnsi="仿宋" w:eastAsia="仿宋" w:cs="仿宋"/>
          <w:spacing w:val="3"/>
          <w:sz w:val="32"/>
          <w:szCs w:val="32"/>
        </w:rPr>
        <w:t>支持。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600" w:lineRule="exact"/>
        <w:ind w:right="90" w:firstLine="664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第九条</w:t>
      </w:r>
      <w:r>
        <w:rPr>
          <w:rFonts w:ascii="黑体" w:hAnsi="黑体" w:eastAsia="黑体" w:cs="黑体"/>
          <w:spacing w:val="-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支持开拓国际市场。支持外贸企业利用海外知名搜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索引擎、外贸及跨境电商平台、社交媒体等开展国际网</w:t>
      </w:r>
      <w:r>
        <w:rPr>
          <w:rFonts w:ascii="仿宋" w:hAnsi="仿宋" w:eastAsia="仿宋" w:cs="仿宋"/>
          <w:spacing w:val="-2"/>
          <w:sz w:val="32"/>
          <w:szCs w:val="32"/>
        </w:rPr>
        <w:t>络营销；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对开展网站创建、软件开发、境外专利申请、境外商标注册、产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品认证、检验检测、管理体系认证、国际市场</w:t>
      </w:r>
      <w:r>
        <w:rPr>
          <w:rFonts w:ascii="仿宋" w:hAnsi="仿宋" w:eastAsia="仿宋" w:cs="仿宋"/>
          <w:spacing w:val="-4"/>
          <w:sz w:val="32"/>
          <w:szCs w:val="32"/>
        </w:rPr>
        <w:t>宣传推介等开拓国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际市场的活动，按其实际发生费用给予不超过1</w:t>
      </w:r>
      <w:r>
        <w:rPr>
          <w:rFonts w:ascii="仿宋" w:hAnsi="仿宋" w:eastAsia="仿宋" w:cs="仿宋"/>
          <w:spacing w:val="3"/>
          <w:sz w:val="32"/>
          <w:szCs w:val="32"/>
        </w:rPr>
        <w:t>0%比例的补贴，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单个企业最高不超过1万元。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600" w:lineRule="exact"/>
        <w:ind w:right="48" w:firstLine="60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第十条</w:t>
      </w:r>
      <w:r>
        <w:rPr>
          <w:rFonts w:ascii="黑体" w:hAnsi="黑体" w:eastAsia="黑体" w:cs="黑体"/>
          <w:spacing w:val="-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4"/>
          <w:sz w:val="31"/>
          <w:szCs w:val="31"/>
        </w:rPr>
        <w:t>支持参加境外展会。参加各类境</w:t>
      </w:r>
      <w:r>
        <w:rPr>
          <w:rFonts w:ascii="仿宋" w:hAnsi="仿宋" w:eastAsia="仿宋" w:cs="仿宋"/>
          <w:spacing w:val="-5"/>
          <w:sz w:val="31"/>
          <w:szCs w:val="31"/>
        </w:rPr>
        <w:t>外博览会、展销会、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交易会的外贸企业，在省市支持的基础上，按每个展(摊)位费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不超过15%的比例给予补贴(省、市、区三级补贴总金额不超过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1"/>
          <w:sz w:val="31"/>
          <w:szCs w:val="31"/>
        </w:rPr>
        <w:t>展(摊)位费),单个企业一年支持参加境外展会数量不超过3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6"/>
          <w:sz w:val="31"/>
          <w:szCs w:val="31"/>
        </w:rPr>
        <w:t>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600" w:lineRule="exact"/>
        <w:ind w:right="131" w:firstLine="63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第十一条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支持创立出口品牌。对获评国家文化</w:t>
      </w:r>
      <w:r>
        <w:rPr>
          <w:rFonts w:ascii="仿宋" w:hAnsi="仿宋" w:eastAsia="仿宋" w:cs="仿宋"/>
          <w:spacing w:val="3"/>
          <w:sz w:val="31"/>
          <w:szCs w:val="31"/>
        </w:rPr>
        <w:t>出口重点企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业的外贸企业，获评当年给予不超过5万元的一次性奖励；对获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评省级文化出口重点企业的外贸企业，获评当年给予不超过2万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元的一次性奖励。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600" w:lineRule="exact"/>
        <w:ind w:right="113" w:firstLine="68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6"/>
          <w:sz w:val="31"/>
          <w:szCs w:val="31"/>
        </w:rPr>
        <w:t>第十二条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本办法涉及的奖励资金由区商务局和区财政局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于次年初审核认定后，报区人民政府批准拨付兑现。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2" w:line="600" w:lineRule="exact"/>
        <w:ind w:firstLine="686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6"/>
          <w:sz w:val="31"/>
          <w:szCs w:val="31"/>
        </w:rPr>
        <w:t>第十三条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7"/>
          <w:sz w:val="31"/>
          <w:szCs w:val="31"/>
        </w:rPr>
        <w:t>本办法所指进出口额为每年1月1日至12月31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1" w:line="600" w:lineRule="exact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日海关或省商务厅统计</w:t>
      </w:r>
      <w:bookmarkStart w:id="0" w:name="_GoBack"/>
      <w:bookmarkEnd w:id="0"/>
      <w:r>
        <w:rPr>
          <w:rFonts w:ascii="仿宋" w:hAnsi="仿宋" w:eastAsia="仿宋" w:cs="仿宋"/>
          <w:spacing w:val="-1"/>
          <w:sz w:val="31"/>
          <w:szCs w:val="31"/>
        </w:rPr>
        <w:t>数据。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600" w:lineRule="exact"/>
        <w:ind w:right="116" w:firstLine="63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第十四条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本办法自公布之日起执行，我区之前相关文件与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本办法内容相抵触的，以本办法为准。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</w:pPr>
    </w:p>
    <w:sectPr>
      <w:footerReference r:id="rId5" w:type="default"/>
      <w:pgSz w:w="11660" w:h="16840"/>
      <w:pgMar w:top="1431" w:right="1266" w:bottom="1826" w:left="1360" w:header="0" w:footer="14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RiMGRmNTA0MzMwNTBhYjM2NGMxYjNiMGYyYTQ1YjQifQ=="/>
    <w:docVar w:name="KSO_WPS_MARK_KEY" w:val="3ce79c69-a3cc-41e6-8efc-a7add7ff42ea"/>
  </w:docVars>
  <w:rsids>
    <w:rsidRoot w:val="00000000"/>
    <w:rsid w:val="009852DA"/>
    <w:rsid w:val="262D0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1370</Words>
  <Characters>1429</Characters>
  <TotalTime>11</TotalTime>
  <ScaleCrop>false</ScaleCrop>
  <LinksUpToDate>false</LinksUpToDate>
  <CharactersWithSpaces>1512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2025-06-12T17:31:00Z</dcterms:created>
  <dc:creator>Administrator</dc:creator>
  <cp:lastModifiedBy>WPS_1700117913</cp:lastModifiedBy>
  <dcterms:modified xsi:type="dcterms:W3CDTF">2025-06-13T09:13:54Z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2025-06-12T17:31:45Z</vt:filetime>
  </property>
  <property fmtid="{D5CDD505-2E9C-101B-9397-08002B2CF9AE}" pid="4" name="UsrData">
    <vt:lpwstr>684a9e7e4ebd400020577ac0wl</vt:lpwstr>
  </property>
  <property fmtid="{D5CDD505-2E9C-101B-9397-08002B2CF9AE}" pid="5" name="KSOProductBuildVer">
    <vt:lpwstr>2052-11.1.0.14309</vt:lpwstr>
  </property>
  <property fmtid="{D5CDD505-2E9C-101B-9397-08002B2CF9AE}" pid="6" name="ICV">
    <vt:lpwstr>0C1EC1F8D4924C97AE08A6A039DBE130_13</vt:lpwstr>
  </property>
</Properties>
</file>