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default" w:ascii="Times New Roman" w:hAnsi="Times New Roman" w:eastAsia="黑体" w:cs="Times New Roman"/>
          <w:sz w:val="32"/>
          <w:szCs w:val="32"/>
        </w:rPr>
      </w:pPr>
      <w:r>
        <w:rPr>
          <w:rFonts w:hint="default" w:ascii="Times New Roman" w:hAnsi="Times New Roman" w:eastAsia="方正小标宋简体" w:cs="Times New Roman"/>
          <w:color w:val="auto"/>
          <w:sz w:val="32"/>
          <w:szCs w:val="32"/>
          <w:u w:val="none"/>
          <w:lang w:val="en-US" w:eastAsia="zh-CN"/>
        </w:rPr>
        <w:t>ZZTYDR—202</w:t>
      </w:r>
      <w:r>
        <w:rPr>
          <w:rFonts w:hint="eastAsia" w:ascii="Times New Roman" w:hAnsi="Times New Roman" w:eastAsia="方正小标宋简体" w:cs="Times New Roman"/>
          <w:color w:val="auto"/>
          <w:sz w:val="32"/>
          <w:szCs w:val="32"/>
          <w:u w:val="none"/>
          <w:lang w:val="en-US" w:eastAsia="zh-CN"/>
        </w:rPr>
        <w:t>5</w:t>
      </w:r>
      <w:r>
        <w:rPr>
          <w:rFonts w:hint="default" w:ascii="Times New Roman" w:hAnsi="Times New Roman" w:eastAsia="方正小标宋简体" w:cs="Times New Roman"/>
          <w:color w:val="auto"/>
          <w:sz w:val="32"/>
          <w:szCs w:val="32"/>
          <w:u w:val="none"/>
          <w:lang w:val="en-US" w:eastAsia="zh-CN"/>
        </w:rPr>
        <w:t>—0100</w:t>
      </w:r>
      <w:r>
        <w:rPr>
          <w:rFonts w:hint="eastAsia" w:ascii="Times New Roman" w:hAnsi="Times New Roman" w:eastAsia="方正小标宋简体" w:cs="Times New Roman"/>
          <w:color w:val="auto"/>
          <w:sz w:val="32"/>
          <w:szCs w:val="32"/>
          <w:u w:val="none"/>
          <w:lang w:val="en-US" w:eastAsia="zh-CN"/>
        </w:rPr>
        <w:t>1</w:t>
      </w:r>
    </w:p>
    <w:p>
      <w:pPr>
        <w:tabs>
          <w:tab w:val="left" w:pos="8480"/>
        </w:tabs>
        <w:adjustRightInd w:val="0"/>
        <w:snapToGrid w:val="0"/>
        <w:spacing w:line="579" w:lineRule="exact"/>
        <w:rPr>
          <w:rFonts w:hint="default" w:ascii="Times New Roman" w:hAnsi="Times New Roman" w:eastAsia="黑体" w:cs="Times New Roman"/>
          <w:sz w:val="32"/>
          <w:szCs w:val="32"/>
        </w:rPr>
      </w:pPr>
    </w:p>
    <w:p>
      <w:pPr>
        <w:adjustRightInd w:val="0"/>
        <w:snapToGrid w:val="0"/>
        <w:spacing w:line="579" w:lineRule="exact"/>
        <w:rPr>
          <w:rFonts w:hint="default" w:ascii="Times New Roman" w:hAnsi="Times New Roman" w:eastAsia="黑体" w:cs="Times New Roman"/>
          <w:sz w:val="32"/>
          <w:szCs w:val="32"/>
        </w:rPr>
      </w:pPr>
    </w:p>
    <w:p>
      <w:pPr>
        <w:adjustRightInd w:val="0"/>
        <w:snapToGrid w:val="0"/>
        <w:spacing w:line="1200" w:lineRule="exact"/>
        <w:rPr>
          <w:rFonts w:hint="default" w:ascii="Times New Roman" w:hAnsi="Times New Roman" w:eastAsia="方正小标宋_GBK" w:cs="Times New Roman"/>
          <w:color w:val="FFFFFF"/>
          <w:sz w:val="32"/>
        </w:rPr>
      </w:pPr>
    </w:p>
    <w:p>
      <w:pPr>
        <w:spacing w:line="400" w:lineRule="exact"/>
        <w:jc w:val="center"/>
        <w:rPr>
          <w:rFonts w:hint="default" w:ascii="Times New Roman" w:hAnsi="Times New Roman" w:eastAsia="方正小标宋_GBK" w:cs="Times New Roman"/>
          <w:sz w:val="106"/>
          <w:szCs w:val="106"/>
        </w:rPr>
      </w:pPr>
    </w:p>
    <w:p>
      <w:pPr>
        <w:spacing w:line="400" w:lineRule="exact"/>
        <w:jc w:val="center"/>
        <w:rPr>
          <w:rFonts w:hint="default" w:ascii="Times New Roman" w:hAnsi="Times New Roman" w:eastAsia="方正小标宋_GBK" w:cs="Times New Roman"/>
          <w:sz w:val="106"/>
          <w:szCs w:val="106"/>
        </w:rPr>
      </w:pPr>
    </w:p>
    <w:p>
      <w:pPr>
        <w:spacing w:line="400" w:lineRule="exact"/>
        <w:jc w:val="center"/>
        <w:rPr>
          <w:rFonts w:hint="default" w:ascii="Times New Roman" w:hAnsi="Times New Roman" w:eastAsia="方正小标宋_GBK" w:cs="Times New Roman"/>
          <w:sz w:val="106"/>
          <w:szCs w:val="106"/>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株天政办发〔202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2pt;height:0pt;width:441pt;z-index:251659264;mso-width-relative:page;mso-height-relative:page;" filled="f" stroked="t" coordsize="21600,21600" o:gfxdata="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&#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J3shBPTAAAABgEAAA8AAAAAAAAA&#10;AQAgAAAAOAAAAGRycy9kb3ducmV2LnhtbFBLAQIUABQAAAAIAIdO4kDmakoY9AEAAOQDAAAOAAAA&#10;AAAAAAEAIAAAADgBAABkcnMvZTJvRG9jLnhtbFBLAQIUAAoAAAAAAIdO4kAAAAAAAAAAAAAAAAAE&#10;AAAAAAAAAAAAEAAAABYAAABkcnMvUEsBAhQACgAAAAAAh07iQAAAAAAAAAAAAAAAAAYAAAAAAAAA&#10;AAAQAAAAWAMAAF9yZWxzL1BLBQYAAAAABgAGAFkBAACeBQAAAAA=&#10;">
                <v:fill on="f" focussize="0,0"/>
                <v:stroke weight="0.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line="579" w:lineRule="exact"/>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r>
        <w:rPr>
          <w:rFonts w:hint="eastAsia" w:ascii="方正小标宋简体" w:hAnsi="方正小标宋简体" w:eastAsia="方正小标宋简体" w:cs="方正小标宋简体"/>
          <w:b w:val="0"/>
          <w:bCs w:val="0"/>
          <w:color w:val="auto"/>
          <w:spacing w:val="-11"/>
          <w:sz w:val="44"/>
          <w:szCs w:val="44"/>
          <w:lang w:val="en-US" w:eastAsia="zh-CN"/>
        </w:rPr>
        <w:t>株洲市天元区人民政府办公室</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trike w:val="0"/>
          <w:dstrike w:val="0"/>
          <w:snapToGrid/>
          <w:kern w:val="2"/>
          <w:sz w:val="44"/>
          <w:szCs w:val="44"/>
          <w:highlight w:val="none"/>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trike w:val="0"/>
          <w:dstrike w:val="0"/>
          <w:snapToGrid/>
          <w:kern w:val="2"/>
          <w:sz w:val="44"/>
          <w:szCs w:val="44"/>
          <w:highlight w:val="none"/>
          <w:lang w:eastAsia="zh-CN"/>
        </w:rPr>
        <w:t>株洲市天元区重污染天气应急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trike w:val="0"/>
          <w:dstrike w:val="0"/>
          <w:snapToGrid/>
          <w:kern w:val="2"/>
          <w:sz w:val="44"/>
          <w:szCs w:val="44"/>
          <w:highlight w:val="none"/>
          <w:lang w:eastAsia="zh-CN"/>
        </w:rPr>
        <w:t>预案</w:t>
      </w:r>
      <w:r>
        <w:rPr>
          <w:rFonts w:hint="eastAsia" w:ascii="方正小标宋简体" w:hAnsi="方正小标宋简体" w:eastAsia="方正小标宋简体" w:cs="方正小标宋简体"/>
          <w:sz w:val="44"/>
          <w:szCs w:val="44"/>
          <w:lang w:eastAsia="zh-CN"/>
        </w:rPr>
        <w:t>》的通知</w:t>
      </w:r>
    </w:p>
    <w:p>
      <w:pPr>
        <w:pStyle w:val="7"/>
        <w:keepNext w:val="0"/>
        <w:keepLines w:val="0"/>
        <w:pageBreakBefore w:val="0"/>
        <w:widowControl w:val="0"/>
        <w:kinsoku/>
        <w:wordWrap/>
        <w:overflowPunct/>
        <w:topLinePunct w:val="0"/>
        <w:autoSpaceDE/>
        <w:autoSpaceDN/>
        <w:bidi w:val="0"/>
        <w:adjustRightInd/>
        <w:spacing w:line="579"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pacing w:line="579" w:lineRule="exact"/>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各镇</w:t>
      </w:r>
      <w:r>
        <w:rPr>
          <w:rFonts w:hint="eastAsia" w:ascii="Nimbus Roman No9 L" w:hAnsi="Nimbus Roman No9 L" w:eastAsia="仿宋_GB2312" w:cs="Nimbus Roman No9 L"/>
          <w:sz w:val="32"/>
          <w:szCs w:val="32"/>
          <w:lang w:eastAsia="zh-CN"/>
        </w:rPr>
        <w:t>人民政府、街道办事处，各相关</w:t>
      </w:r>
      <w:r>
        <w:rPr>
          <w:rFonts w:hint="default" w:ascii="Nimbus Roman No9 L" w:hAnsi="Nimbus Roman No9 L" w:eastAsia="仿宋_GB2312" w:cs="Nimbus Roman No9 L"/>
          <w:sz w:val="32"/>
          <w:szCs w:val="32"/>
          <w:lang w:eastAsia="zh-CN"/>
        </w:rPr>
        <w:t>单位：</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《株洲市天元区重污染天气应急预案》已经区人民政府同意，现印发给你们，请认真组织实施。</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3840" w:firstLineChars="1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株洲市天元区人民政府办公室</w:t>
      </w:r>
    </w:p>
    <w:p>
      <w:pPr>
        <w:keepNext w:val="0"/>
        <w:keepLines w:val="0"/>
        <w:pageBreakBefore w:val="0"/>
        <w:widowControl w:val="0"/>
        <w:kinsoku/>
        <w:wordWrap/>
        <w:overflowPunct/>
        <w:topLinePunct w:val="0"/>
        <w:autoSpaceDE/>
        <w:autoSpaceDN/>
        <w:bidi w:val="0"/>
        <w:adjustRightInd/>
        <w:snapToGrid/>
        <w:spacing w:line="579" w:lineRule="exact"/>
        <w:ind w:firstLine="4640" w:firstLineChars="1450"/>
        <w:jc w:val="left"/>
        <w:textAlignment w:val="auto"/>
        <w:rPr>
          <w:rFonts w:hint="eastAsia" w:ascii="方正小标宋简体" w:hAnsi="方正小标宋简体" w:eastAsia="方正小标宋简体" w:cs="方正小标宋简体"/>
          <w:strike w:val="0"/>
          <w:dstrike w:val="0"/>
          <w:snapToGrid/>
          <w:kern w:val="2"/>
          <w:sz w:val="44"/>
          <w:szCs w:val="44"/>
          <w:highlight w:val="none"/>
          <w:lang w:eastAsia="zh-CN"/>
        </w:rPr>
      </w:pPr>
      <w:r>
        <w:rPr>
          <w:rFonts w:hint="eastAsia" w:ascii="Times New Roman" w:hAnsi="Times New Roman" w:eastAsia="仿宋_GB2312" w:cs="Times New Roman"/>
          <w:sz w:val="32"/>
          <w:szCs w:val="32"/>
          <w:lang w:val="en-US" w:eastAsia="zh-CN"/>
        </w:rPr>
        <w:t>2025年2月15日</w:t>
      </w:r>
      <w:bookmarkStart w:id="343" w:name="_GoBack"/>
      <w:bookmarkEnd w:id="343"/>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pPr>
      <w:r>
        <w:rPr>
          <w:rFonts w:hint="eastAsia" w:ascii="方正小标宋简体" w:hAnsi="方正小标宋简体" w:eastAsia="方正小标宋简体" w:cs="方正小标宋简体"/>
          <w:strike w:val="0"/>
          <w:dstrike w:val="0"/>
          <w:snapToGrid/>
          <w:kern w:val="2"/>
          <w:sz w:val="44"/>
          <w:szCs w:val="44"/>
          <w:highlight w:val="none"/>
          <w:lang w:eastAsia="zh-CN"/>
        </w:rPr>
        <w:t>株洲市天元区重污染天气应急预案目录</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z w:val="32"/>
          <w:szCs w:val="32"/>
          <w:highlight w:val="none"/>
          <w:lang w:eastAsia="zh-CN"/>
        </w:rPr>
      </w:pP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sz w:val="32"/>
          <w:szCs w:val="32"/>
          <w:highlight w:val="none"/>
        </w:rPr>
        <w:fldChar w:fldCharType="begin"/>
      </w:r>
      <w:r>
        <w:rPr>
          <w:rFonts w:hint="eastAsia" w:ascii="仿宋_GB2312" w:hAnsi="仿宋_GB2312" w:eastAsia="仿宋_GB2312" w:cs="仿宋_GB2312"/>
          <w:strike w:val="0"/>
          <w:dstrike w:val="0"/>
          <w:sz w:val="32"/>
          <w:szCs w:val="32"/>
          <w:highlight w:val="none"/>
        </w:rPr>
        <w:instrText xml:space="preserve"> HYPERLINK \l _Toc19072 </w:instrText>
      </w:r>
      <w:r>
        <w:rPr>
          <w:rFonts w:hint="eastAsia" w:ascii="仿宋_GB2312" w:hAnsi="仿宋_GB2312" w:eastAsia="仿宋_GB2312" w:cs="仿宋_GB2312"/>
          <w:strike w:val="0"/>
          <w:dstrike w:val="0"/>
          <w:sz w:val="32"/>
          <w:szCs w:val="32"/>
          <w:highlight w:val="none"/>
        </w:rPr>
        <w:fldChar w:fldCharType="separate"/>
      </w:r>
      <w:r>
        <w:rPr>
          <w:rFonts w:hint="eastAsia" w:ascii="仿宋_GB2312" w:hAnsi="仿宋_GB2312" w:eastAsia="仿宋_GB2312" w:cs="仿宋_GB2312"/>
          <w:strike w:val="0"/>
          <w:dstrike w:val="0"/>
          <w:snapToGrid/>
          <w:kern w:val="2"/>
          <w:sz w:val="32"/>
          <w:szCs w:val="32"/>
          <w:highlight w:val="none"/>
          <w:lang w:eastAsia="zh-CN"/>
        </w:rPr>
        <w:t>重污染天气应急预案及编制说明</w:t>
      </w:r>
      <w:r>
        <w:rPr>
          <w:rFonts w:hint="eastAsia" w:ascii="仿宋_GB2312" w:hAnsi="仿宋_GB2312" w:eastAsia="仿宋_GB2312" w:cs="仿宋_GB2312"/>
          <w:strike w:val="0"/>
          <w:dstrike w:val="0"/>
          <w:sz w:val="32"/>
          <w:szCs w:val="32"/>
          <w:highlight w:val="none"/>
        </w:rPr>
        <w:tab/>
      </w:r>
      <w:r>
        <w:rPr>
          <w:rFonts w:hint="eastAsia" w:ascii="Times New Roman" w:hAnsi="Times New Roman" w:eastAsia="仿宋_GB2312" w:cs="Times New Roman"/>
          <w:strike w:val="0"/>
          <w:dstrike w:val="0"/>
          <w:sz w:val="32"/>
          <w:szCs w:val="32"/>
          <w:highlight w:val="none"/>
          <w:lang w:val="en-US" w:eastAsia="zh-CN"/>
        </w:rPr>
        <w:t>4</w:t>
      </w:r>
      <w:r>
        <w:rPr>
          <w:rFonts w:hint="eastAsia" w:ascii="仿宋_GB2312" w:hAnsi="仿宋_GB2312" w:eastAsia="仿宋_GB2312" w:cs="仿宋_GB2312"/>
          <w:strike w:val="0"/>
          <w:dstrike w:val="0"/>
          <w:sz w:val="32"/>
          <w:szCs w:val="32"/>
          <w:highlight w:val="none"/>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sz w:val="32"/>
          <w:szCs w:val="32"/>
          <w:highlight w:val="none"/>
        </w:rPr>
        <w:fldChar w:fldCharType="begin"/>
      </w:r>
      <w:r>
        <w:rPr>
          <w:rFonts w:hint="eastAsia" w:ascii="仿宋_GB2312" w:hAnsi="仿宋_GB2312" w:eastAsia="仿宋_GB2312" w:cs="仿宋_GB2312"/>
          <w:strike w:val="0"/>
          <w:dstrike w:val="0"/>
          <w:sz w:val="32"/>
          <w:szCs w:val="32"/>
          <w:highlight w:val="none"/>
        </w:rPr>
        <w:instrText xml:space="preserve"> HYPERLINK \l _Toc9589 </w:instrText>
      </w:r>
      <w:r>
        <w:rPr>
          <w:rFonts w:hint="eastAsia" w:ascii="仿宋_GB2312" w:hAnsi="仿宋_GB2312" w:eastAsia="仿宋_GB2312" w:cs="仿宋_GB2312"/>
          <w:strike w:val="0"/>
          <w:dstrike w:val="0"/>
          <w:sz w:val="32"/>
          <w:szCs w:val="32"/>
          <w:highlight w:val="none"/>
        </w:rPr>
        <w:fldChar w:fldCharType="separate"/>
      </w:r>
      <w:r>
        <w:rPr>
          <w:rFonts w:hint="default" w:ascii="Times New Roman" w:hAnsi="Times New Roman" w:eastAsia="仿宋_GB2312" w:cs="Times New Roman"/>
          <w:strike w:val="0"/>
          <w:dstrike w:val="0"/>
          <w:snapToGrid/>
          <w:kern w:val="2"/>
          <w:sz w:val="32"/>
          <w:szCs w:val="32"/>
          <w:highlight w:val="none"/>
          <w:lang w:eastAsia="zh-CN"/>
        </w:rPr>
        <w:t>1</w:t>
      </w:r>
      <w:r>
        <w:rPr>
          <w:rFonts w:hint="eastAsia" w:ascii="仿宋_GB2312" w:hAnsi="仿宋_GB2312" w:eastAsia="仿宋_GB2312" w:cs="仿宋_GB2312"/>
          <w:strike w:val="0"/>
          <w:dstrike w:val="0"/>
          <w:snapToGrid/>
          <w:kern w:val="2"/>
          <w:sz w:val="32"/>
          <w:szCs w:val="32"/>
          <w:highlight w:val="none"/>
          <w:lang w:eastAsia="zh-CN"/>
        </w:rPr>
        <w:t>总则</w:t>
      </w:r>
      <w:r>
        <w:rPr>
          <w:rFonts w:hint="eastAsia" w:ascii="仿宋_GB2312" w:hAnsi="仿宋_GB2312" w:eastAsia="仿宋_GB2312" w:cs="仿宋_GB2312"/>
          <w:strike w:val="0"/>
          <w:dstrike w:val="0"/>
          <w:sz w:val="32"/>
          <w:szCs w:val="32"/>
          <w:highlight w:val="none"/>
        </w:rPr>
        <w:tab/>
      </w:r>
      <w:r>
        <w:rPr>
          <w:rFonts w:hint="eastAsia" w:ascii="仿宋_GB2312" w:hAnsi="仿宋_GB2312" w:eastAsia="仿宋_GB2312" w:cs="仿宋_GB2312"/>
          <w:strike w:val="0"/>
          <w:dstrike w:val="0"/>
          <w:sz w:val="32"/>
          <w:szCs w:val="32"/>
          <w:highlight w:val="none"/>
          <w:lang w:val="en-US" w:eastAsia="zh-CN"/>
        </w:rPr>
        <w:t>5</w:t>
      </w:r>
      <w:r>
        <w:rPr>
          <w:rFonts w:hint="eastAsia" w:ascii="仿宋_GB2312" w:hAnsi="仿宋_GB2312" w:eastAsia="仿宋_GB2312" w:cs="仿宋_GB2312"/>
          <w:strike w:val="0"/>
          <w:dstrike w:val="0"/>
          <w:sz w:val="32"/>
          <w:szCs w:val="32"/>
          <w:highlight w:val="none"/>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_Toc20535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1.1编制目的</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5</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_Toc1410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1.2编制依据</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5</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_Toc19357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1.3适用范围</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6</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_Toc29517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1.4预案体系及与其他应急预案的衔接</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6</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_Toc19049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1.5工作原则</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6</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_Toc26112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2组织体系与职责</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7</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_Toc20007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2.1组织体系</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7</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_Toc19420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2.2主要职责</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8</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_Toc15216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3应急准备</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8</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_Toc20741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3.1编制应急减排项目清单</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8</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_Toc18434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3.2夯实应急减排措施</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9</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Times New Roman" w:hAnsi="Times New Roman" w:eastAsia="仿宋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_Toc19912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3.3指导企业制定“一厂一策”实施方案</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9</w:t>
      </w:r>
      <w:r>
        <w:rPr>
          <w:rFonts w:hint="eastAsia" w:ascii="Times New Roman" w:hAnsi="Times New Roman" w:eastAsia="仿宋_GB2312" w:cs="Times New Roman"/>
          <w:strike w:val="0"/>
          <w:dstrike w:val="0"/>
          <w:snapToGrid/>
          <w:kern w:val="2"/>
          <w:sz w:val="32"/>
          <w:szCs w:val="32"/>
          <w:highlight w:val="none"/>
          <w:lang w:eastAsia="zh-CN"/>
        </w:rPr>
        <w:fldChar w:fldCharType="end"/>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_Toc1649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3.4预警分区</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0</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_Toc8186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4监测与预警</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0</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_Toc25734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4.1监测与预报</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0</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_Toc4190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4.2预警分级</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_Toc22929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4.3预警会商</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2</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_Toc11321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4.4预警发布</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2</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_Toc11309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4.5预警变更、解除</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_Toc31864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5应急响应和措施</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_Toc13135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5.1响应分级及启动</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_Toc3862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5.2Ⅲ级响应措施</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_Toc21647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5.3Ⅱ级响应措施</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5</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_Toc21647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5.</w:t>
      </w:r>
      <w:r>
        <w:rPr>
          <w:rFonts w:hint="eastAsia" w:ascii="Times New Roman" w:hAnsi="Times New Roman" w:eastAsia="仿宋_GB2312" w:cs="Times New Roman"/>
          <w:strike w:val="0"/>
          <w:dstrike w:val="0"/>
          <w:snapToGrid/>
          <w:kern w:val="2"/>
          <w:sz w:val="32"/>
          <w:szCs w:val="32"/>
          <w:highlight w:val="none"/>
          <w:lang w:val="en-US" w:eastAsia="zh-CN"/>
        </w:rPr>
        <w:t>4Ⅰ</w:t>
      </w:r>
      <w:r>
        <w:rPr>
          <w:rFonts w:hint="eastAsia" w:ascii="Times New Roman" w:hAnsi="Times New Roman" w:eastAsia="仿宋_GB2312" w:cs="Times New Roman"/>
          <w:strike w:val="0"/>
          <w:dstrike w:val="0"/>
          <w:snapToGrid/>
          <w:kern w:val="2"/>
          <w:sz w:val="32"/>
          <w:szCs w:val="32"/>
          <w:highlight w:val="none"/>
          <w:lang w:eastAsia="zh-CN"/>
        </w:rPr>
        <w:t>级响应措施</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1</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7</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_Toc11428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5.5响应级别调整或终止</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19</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_Toc21014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6区域应急联动</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19</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_Toc8992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7总结评估</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0</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_Toc19601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8应急保障</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0</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_Toc6274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8.1人力资源保障</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0</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_Toc16914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8.2资金保障</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_Toc10916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8.3科技保障</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_Toc22745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8.4通信与交通保障</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_Toc3950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8.5责任与奖惩</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1</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_Toc32068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9预案管理</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2</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_Toc16243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9.1预案宣传</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2</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_Toc21637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9.2预案培训</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2</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_Toc18015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9.3预案管理</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_Toc20945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9.4预案实施</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6"/>
        <w:keepNext w:val="0"/>
        <w:keepLines w:val="0"/>
        <w:pageBreakBefore w:val="0"/>
        <w:widowControl/>
        <w:tabs>
          <w:tab w:val="right" w:leader="dot" w:pos="8844"/>
        </w:tabs>
        <w:kinsoku w:val="0"/>
        <w:wordWrap/>
        <w:overflowPunct/>
        <w:topLinePunct w:val="0"/>
        <w:autoSpaceDE w:val="0"/>
        <w:autoSpaceDN w:val="0"/>
        <w:bidi w:val="0"/>
        <w:adjustRightInd w:val="0"/>
        <w:snapToGrid w:val="0"/>
        <w:spacing w:line="579" w:lineRule="exact"/>
        <w:ind w:firstLine="640" w:firstLineChars="200"/>
        <w:textAlignment w:val="baseline"/>
        <w:rPr>
          <w:rFonts w:hint="default"/>
          <w:strike w:val="0"/>
          <w:dstrike w:val="0"/>
          <w:highlight w:val="none"/>
          <w:lang w:val="en-US"/>
        </w:rPr>
      </w:pPr>
      <w:r>
        <w:rPr>
          <w:rFonts w:hint="eastAsia" w:ascii="Times New Roman" w:hAnsi="Times New Roman" w:eastAsia="仿宋_GB2312" w:cs="Times New Roman"/>
          <w:strike w:val="0"/>
          <w:dstrike w:val="0"/>
          <w:snapToGrid/>
          <w:kern w:val="2"/>
          <w:sz w:val="32"/>
          <w:szCs w:val="32"/>
          <w:highlight w:val="none"/>
          <w:lang w:eastAsia="zh-CN"/>
        </w:rPr>
        <w:fldChar w:fldCharType="begin"/>
      </w:r>
      <w:r>
        <w:rPr>
          <w:rFonts w:hint="eastAsia" w:ascii="Times New Roman" w:hAnsi="Times New Roman" w:eastAsia="仿宋_GB2312" w:cs="Times New Roman"/>
          <w:strike w:val="0"/>
          <w:dstrike w:val="0"/>
          <w:snapToGrid/>
          <w:kern w:val="2"/>
          <w:sz w:val="32"/>
          <w:szCs w:val="32"/>
          <w:highlight w:val="none"/>
          <w:lang w:eastAsia="zh-CN"/>
        </w:rPr>
        <w:instrText xml:space="preserve"> HYPERLINK \l _Toc28645 </w:instrText>
      </w:r>
      <w:r>
        <w:rPr>
          <w:rFonts w:hint="eastAsia" w:ascii="Times New Roman" w:hAnsi="Times New Roman" w:eastAsia="仿宋_GB2312" w:cs="Times New Roman"/>
          <w:strike w:val="0"/>
          <w:dstrike w:val="0"/>
          <w:snapToGrid/>
          <w:kern w:val="2"/>
          <w:sz w:val="32"/>
          <w:szCs w:val="32"/>
          <w:highlight w:val="none"/>
          <w:lang w:eastAsia="zh-CN"/>
        </w:rPr>
        <w:fldChar w:fldCharType="separate"/>
      </w:r>
      <w:r>
        <w:rPr>
          <w:rFonts w:hint="eastAsia" w:ascii="Times New Roman" w:hAnsi="Times New Roman" w:eastAsia="仿宋_GB2312" w:cs="Times New Roman"/>
          <w:strike w:val="0"/>
          <w:dstrike w:val="0"/>
          <w:snapToGrid/>
          <w:kern w:val="2"/>
          <w:sz w:val="32"/>
          <w:szCs w:val="32"/>
          <w:highlight w:val="none"/>
          <w:lang w:eastAsia="zh-CN"/>
        </w:rPr>
        <w:t>9.5预案实施日期</w:t>
      </w:r>
      <w:r>
        <w:rPr>
          <w:rFonts w:hint="eastAsia" w:ascii="Times New Roman" w:hAnsi="Times New Roman" w:eastAsia="仿宋_GB2312" w:cs="Times New Roman"/>
          <w:strike w:val="0"/>
          <w:dstrike w:val="0"/>
          <w:snapToGrid/>
          <w:kern w:val="2"/>
          <w:sz w:val="32"/>
          <w:szCs w:val="32"/>
          <w:highlight w:val="none"/>
          <w:lang w:eastAsia="zh-CN"/>
        </w:rPr>
        <w:tab/>
      </w:r>
      <w:r>
        <w:rPr>
          <w:rFonts w:hint="eastAsia" w:ascii="Times New Roman" w:hAnsi="Times New Roman" w:eastAsia="仿宋_GB2312" w:cs="Times New Roman"/>
          <w:strike w:val="0"/>
          <w:dstrike w:val="0"/>
          <w:snapToGrid/>
          <w:kern w:val="2"/>
          <w:sz w:val="32"/>
          <w:szCs w:val="32"/>
          <w:highlight w:val="none"/>
          <w:lang w:val="en-US" w:eastAsia="zh-CN"/>
        </w:rPr>
        <w:t>2</w:t>
      </w:r>
      <w:r>
        <w:rPr>
          <w:rFonts w:hint="eastAsia" w:ascii="Times New Roman" w:hAnsi="Times New Roman" w:eastAsia="仿宋_GB2312" w:cs="Times New Roman"/>
          <w:strike w:val="0"/>
          <w:dstrike w:val="0"/>
          <w:snapToGrid/>
          <w:kern w:val="2"/>
          <w:sz w:val="32"/>
          <w:szCs w:val="32"/>
          <w:highlight w:val="none"/>
          <w:lang w:eastAsia="zh-CN"/>
        </w:rPr>
        <w:fldChar w:fldCharType="end"/>
      </w:r>
      <w:r>
        <w:rPr>
          <w:rFonts w:hint="eastAsia" w:ascii="Times New Roman" w:hAnsi="Times New Roman" w:eastAsia="仿宋_GB2312" w:cs="Times New Roman"/>
          <w:strike w:val="0"/>
          <w:dstrike w:val="0"/>
          <w:snapToGrid/>
          <w:kern w:val="2"/>
          <w:sz w:val="32"/>
          <w:szCs w:val="32"/>
          <w:highlight w:val="none"/>
          <w:lang w:val="en-US" w:eastAsia="zh-CN"/>
        </w:rPr>
        <w:t>3</w:t>
      </w:r>
    </w:p>
    <w:p>
      <w:pPr>
        <w:pStyle w:val="7"/>
        <w:keepNext w:val="0"/>
        <w:keepLines w:val="0"/>
        <w:pageBreakBefore w:val="0"/>
        <w:widowControl/>
        <w:kinsoku w:val="0"/>
        <w:wordWrap/>
        <w:overflowPunct/>
        <w:topLinePunct w:val="0"/>
        <w:autoSpaceDE w:val="0"/>
        <w:autoSpaceDN w:val="0"/>
        <w:bidi w:val="0"/>
        <w:adjustRightInd w:val="0"/>
        <w:snapToGrid w:val="0"/>
        <w:spacing w:line="579" w:lineRule="exact"/>
        <w:textAlignment w:val="baseline"/>
        <w:rPr>
          <w:rFonts w:hint="eastAsia"/>
          <w:lang w:eastAsia="zh-CN"/>
        </w:rPr>
      </w:pPr>
    </w:p>
    <w:p>
      <w:pPr>
        <w:pStyle w:val="7"/>
        <w:keepNext w:val="0"/>
        <w:keepLines w:val="0"/>
        <w:pageBreakBefore w:val="0"/>
        <w:wordWrap/>
        <w:overflowPunct/>
        <w:topLinePunct w:val="0"/>
        <w:bidi w:val="0"/>
        <w:spacing w:line="579" w:lineRule="exact"/>
        <w:rPr>
          <w:lang w:eastAsia="zh-CN"/>
        </w:rPr>
      </w:pPr>
    </w:p>
    <w:p>
      <w:pPr>
        <w:keepNext w:val="0"/>
        <w:keepLines w:val="0"/>
        <w:pageBreakBefore w:val="0"/>
        <w:kinsoku/>
        <w:wordWrap/>
        <w:overflowPunct/>
        <w:topLinePunct w:val="0"/>
        <w:autoSpaceDE/>
        <w:autoSpaceDN/>
        <w:bidi w:val="0"/>
        <w:adjustRightInd/>
        <w:snapToGrid/>
        <w:spacing w:line="579" w:lineRule="exact"/>
        <w:textAlignment w:val="auto"/>
        <w:outlineLvl w:val="0"/>
        <w:rPr>
          <w:rFonts w:ascii="黑体" w:hAnsi="黑体" w:eastAsia="黑体" w:cs="黑体"/>
          <w:strike w:val="0"/>
          <w:dstrike w:val="0"/>
          <w:snapToGrid/>
          <w:kern w:val="2"/>
          <w:sz w:val="32"/>
          <w:szCs w:val="32"/>
          <w:highlight w:val="none"/>
          <w:lang w:eastAsia="zh-CN"/>
        </w:rPr>
      </w:pPr>
      <w:bookmarkStart w:id="0" w:name="_Toc23845"/>
      <w:bookmarkStart w:id="1" w:name="_Toc692"/>
      <w:bookmarkStart w:id="2" w:name="_Toc2454"/>
      <w:bookmarkStart w:id="3" w:name="_Toc32636"/>
      <w:bookmarkStart w:id="4" w:name="_Toc5564"/>
      <w:r>
        <w:rPr>
          <w:rFonts w:hint="eastAsia" w:ascii="黑体" w:hAnsi="黑体" w:eastAsia="黑体" w:cs="黑体"/>
          <w:strike w:val="0"/>
          <w:dstrike w:val="0"/>
          <w:snapToGrid/>
          <w:kern w:val="2"/>
          <w:sz w:val="32"/>
          <w:szCs w:val="32"/>
          <w:highlight w:val="none"/>
          <w:lang w:eastAsia="zh-CN"/>
        </w:rPr>
        <w:t>重污染天气应急预案及编制说明</w:t>
      </w:r>
      <w:bookmarkEnd w:id="0"/>
      <w:bookmarkEnd w:id="1"/>
      <w:bookmarkEnd w:id="2"/>
      <w:bookmarkEnd w:id="3"/>
      <w:bookmarkEnd w:id="4"/>
    </w:p>
    <w:p>
      <w:pPr>
        <w:keepNext w:val="0"/>
        <w:keepLines w:val="0"/>
        <w:pageBreakBefore w:val="0"/>
        <w:kinsoku/>
        <w:wordWrap/>
        <w:overflowPunct/>
        <w:topLinePunct w:val="0"/>
        <w:autoSpaceDE/>
        <w:autoSpaceDN/>
        <w:bidi w:val="0"/>
        <w:adjustRightInd/>
        <w:snapToGrid/>
        <w:spacing w:line="579" w:lineRule="exact"/>
        <w:textAlignment w:val="auto"/>
        <w:outlineLvl w:val="9"/>
        <w:rPr>
          <w:rFonts w:ascii="黑体" w:hAnsi="黑体" w:eastAsia="黑体" w:cs="黑体"/>
          <w:strike w:val="0"/>
          <w:dstrike w:val="0"/>
          <w:snapToGrid/>
          <w:kern w:val="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为了进一步提高应对重污染天气的防范和处置能力，保障株洲市天元区及周边地区人民群众的安全，贯彻《中华人民共和国突发事件应对法》《中华人民共和国环境保护法》《中华人民共和国大气污染防治法》《环境空气质量指数（AQI）技术规定（试行）》《湖南省大气污染防治条例》《关于进一步优化重污染天气应对机制的指导意见》（环大气〔2024〕6号）、《湖南省重污染天气防治若干规定》（湖南省第十四届人民代表大会常务委员会公告第10号，2024年1月1日施行）、《湖南省重污染天气应急预案》（湘政办发〔2023〕53号）、《株洲市重污染天气应急预案》（株政办发〔2023〕23号）等法律法规文件及其他相关法规的要求，编制本预案，适用于天元区行政区域内的重污染天气</w:t>
      </w:r>
      <w:r>
        <w:rPr>
          <w:rFonts w:hint="eastAsia" w:ascii="Times New Roman" w:hAnsi="Times New Roman" w:eastAsia="仿宋_GB2312" w:cs="Times New Roman"/>
          <w:strike w:val="0"/>
          <w:dstrike w:val="0"/>
          <w:snapToGrid/>
          <w:color w:val="auto"/>
          <w:kern w:val="2"/>
          <w:sz w:val="32"/>
          <w:szCs w:val="32"/>
          <w:highlight w:val="none"/>
          <w:lang w:val="en-US" w:eastAsia="zh-CN"/>
        </w:rPr>
        <w:t>预警及响应工作</w:t>
      </w:r>
      <w:r>
        <w:rPr>
          <w:rFonts w:hint="eastAsia" w:ascii="Times New Roman" w:hAnsi="Times New Roman" w:eastAsia="仿宋_GB2312" w:cs="Times New Roman"/>
          <w:strike w:val="0"/>
          <w:dstrike w:val="0"/>
          <w:snapToGrid/>
          <w:color w:val="auto"/>
          <w:kern w:val="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仿宋_GB2312" w:hAnsi="仿宋_GB2312" w:eastAsia="仿宋_GB2312" w:cs="仿宋_GB2312"/>
          <w:strike w:val="0"/>
          <w:dstrike w:val="0"/>
          <w:sz w:val="32"/>
          <w:szCs w:val="32"/>
          <w:highlight w:val="none"/>
          <w:lang w:eastAsia="zh-CN"/>
        </w:rPr>
        <w:br w:type="page"/>
      </w:r>
      <w:bookmarkStart w:id="5" w:name="_Toc1268"/>
      <w:bookmarkStart w:id="6" w:name="_Toc19222"/>
      <w:bookmarkStart w:id="7" w:name="_Toc7771"/>
      <w:bookmarkStart w:id="8" w:name="_Toc30275"/>
      <w:bookmarkStart w:id="9" w:name="_Toc29925"/>
      <w:r>
        <w:rPr>
          <w:rFonts w:hint="eastAsia" w:ascii="Times New Roman" w:hAnsi="Times New Roman" w:eastAsia="仿宋_GB2312" w:cs="Times New Roman"/>
          <w:strike w:val="0"/>
          <w:dstrike w:val="0"/>
          <w:snapToGrid/>
          <w:color w:val="auto"/>
          <w:kern w:val="2"/>
          <w:sz w:val="32"/>
          <w:szCs w:val="32"/>
          <w:highlight w:val="none"/>
          <w:lang w:eastAsia="zh-CN"/>
        </w:rPr>
        <w:t>1</w:t>
      </w:r>
      <w:r>
        <w:rPr>
          <w:rFonts w:hint="eastAsia" w:ascii="黑体" w:hAnsi="黑体" w:eastAsia="黑体" w:cs="黑体"/>
          <w:strike w:val="0"/>
          <w:dstrike w:val="0"/>
          <w:snapToGrid/>
          <w:color w:val="auto"/>
          <w:kern w:val="2"/>
          <w:sz w:val="32"/>
          <w:szCs w:val="32"/>
          <w:highlight w:val="none"/>
          <w:lang w:eastAsia="zh-CN"/>
        </w:rPr>
        <w:t>总则</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10" w:name="_Toc28590"/>
      <w:bookmarkStart w:id="11" w:name="_Toc2357"/>
      <w:bookmarkStart w:id="12" w:name="_Toc10846"/>
      <w:bookmarkStart w:id="13" w:name="_Toc24922"/>
      <w:bookmarkStart w:id="14" w:name="_Toc5333"/>
      <w:r>
        <w:rPr>
          <w:rFonts w:hint="eastAsia" w:ascii="Times New Roman" w:hAnsi="Times New Roman" w:eastAsia="楷体_GB2312" w:cs="Times New Roman"/>
          <w:strike w:val="0"/>
          <w:dstrike w:val="0"/>
          <w:snapToGrid/>
          <w:kern w:val="2"/>
          <w:sz w:val="32"/>
          <w:szCs w:val="32"/>
          <w:highlight w:val="none"/>
          <w:lang w:eastAsia="zh-CN"/>
        </w:rPr>
        <w:t>1.1编制目的</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为进一步完善重污染天气预警和应急机制，提高预警能力，建立主动预防、指挥有序、反应迅速、协调联动、防范有力的大气污染应急体系，科学高效做好重污染天气应对工作，最大限度降低重污染天气危害程度，保障环境安全和人民群众身体健康，保护生态环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15" w:name="_Toc866"/>
      <w:bookmarkStart w:id="16" w:name="_Toc15918"/>
      <w:bookmarkStart w:id="17" w:name="_Toc3503"/>
      <w:bookmarkStart w:id="18" w:name="_Toc10376"/>
      <w:bookmarkStart w:id="19" w:name="_Toc21810"/>
      <w:r>
        <w:rPr>
          <w:rFonts w:hint="eastAsia" w:ascii="Times New Roman" w:hAnsi="Times New Roman" w:eastAsia="楷体_GB2312" w:cs="Times New Roman"/>
          <w:strike w:val="0"/>
          <w:dstrike w:val="0"/>
          <w:snapToGrid/>
          <w:kern w:val="2"/>
          <w:sz w:val="32"/>
          <w:szCs w:val="32"/>
          <w:highlight w:val="none"/>
          <w:lang w:eastAsia="zh-CN"/>
        </w:rPr>
        <w:t>1.2编制依据</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default" w:ascii="Times New Roman" w:hAnsi="Times New Roman" w:eastAsia="仿宋_GB2312" w:cs="Times New Roman"/>
          <w:strike w:val="0"/>
          <w:dstrike w:val="0"/>
          <w:snapToGrid/>
          <w:color w:val="auto"/>
          <w:kern w:val="2"/>
          <w:sz w:val="32"/>
          <w:szCs w:val="32"/>
          <w:highlight w:val="none"/>
          <w:lang w:eastAsia="zh-CN"/>
        </w:rPr>
        <w:t>依据《中华人民共和国环境保护法》《中华人民共和国大气污染防治法》《中华人民共和国突发事件应对法》《</w:t>
      </w:r>
      <w:r>
        <w:rPr>
          <w:rFonts w:hint="eastAsia" w:ascii="Times New Roman" w:hAnsi="Times New Roman" w:eastAsia="仿宋_GB2312" w:cs="Times New Roman"/>
          <w:strike w:val="0"/>
          <w:dstrike w:val="0"/>
          <w:snapToGrid/>
          <w:color w:val="auto"/>
          <w:kern w:val="2"/>
          <w:sz w:val="32"/>
          <w:szCs w:val="32"/>
          <w:highlight w:val="none"/>
          <w:lang w:val="en-US" w:eastAsia="zh-CN"/>
        </w:rPr>
        <w:t>生态环境部办公厅</w:t>
      </w:r>
      <w:r>
        <w:rPr>
          <w:rFonts w:hint="default" w:ascii="Times New Roman" w:hAnsi="Times New Roman" w:eastAsia="仿宋_GB2312" w:cs="Times New Roman"/>
          <w:strike w:val="0"/>
          <w:dstrike w:val="0"/>
          <w:snapToGrid/>
          <w:color w:val="auto"/>
          <w:kern w:val="2"/>
          <w:sz w:val="32"/>
          <w:szCs w:val="32"/>
          <w:highlight w:val="none"/>
          <w:lang w:eastAsia="zh-CN"/>
        </w:rPr>
        <w:t>关于</w:t>
      </w:r>
      <w:r>
        <w:rPr>
          <w:rFonts w:hint="eastAsia" w:ascii="Times New Roman" w:hAnsi="Times New Roman" w:eastAsia="仿宋_GB2312" w:cs="Times New Roman"/>
          <w:strike w:val="0"/>
          <w:dstrike w:val="0"/>
          <w:snapToGrid/>
          <w:color w:val="auto"/>
          <w:kern w:val="2"/>
          <w:sz w:val="32"/>
          <w:szCs w:val="32"/>
          <w:highlight w:val="none"/>
          <w:lang w:val="en-US" w:eastAsia="zh-CN"/>
        </w:rPr>
        <w:t>印送</w:t>
      </w:r>
      <w:r>
        <w:rPr>
          <w:rFonts w:hint="default" w:ascii="Times New Roman" w:hAnsi="Times New Roman" w:eastAsia="仿宋_GB2312" w:cs="Times New Roman"/>
          <w:strike w:val="0"/>
          <w:dstrike w:val="0"/>
          <w:snapToGrid/>
          <w:color w:val="auto"/>
          <w:kern w:val="2"/>
          <w:sz w:val="32"/>
          <w:szCs w:val="32"/>
          <w:highlight w:val="none"/>
          <w:lang w:eastAsia="zh-CN"/>
        </w:rPr>
        <w:t>〈加强重污染天气应对夯实应急减排措施的指导意见〉</w:t>
      </w:r>
      <w:r>
        <w:rPr>
          <w:rFonts w:hint="eastAsia" w:ascii="Times New Roman" w:hAnsi="Times New Roman" w:eastAsia="仿宋_GB2312" w:cs="Times New Roman"/>
          <w:strike w:val="0"/>
          <w:dstrike w:val="0"/>
          <w:snapToGrid/>
          <w:color w:val="auto"/>
          <w:kern w:val="2"/>
          <w:sz w:val="32"/>
          <w:szCs w:val="32"/>
          <w:highlight w:val="none"/>
          <w:lang w:val="en-US" w:eastAsia="zh-CN"/>
        </w:rPr>
        <w:t>的函</w:t>
      </w:r>
      <w:r>
        <w:rPr>
          <w:rFonts w:hint="default" w:ascii="Times New Roman" w:hAnsi="Times New Roman" w:eastAsia="仿宋_GB2312" w:cs="Times New Roman"/>
          <w:strike w:val="0"/>
          <w:dstrike w:val="0"/>
          <w:snapToGrid/>
          <w:color w:val="auto"/>
          <w:kern w:val="2"/>
          <w:sz w:val="32"/>
          <w:szCs w:val="32"/>
          <w:highlight w:val="none"/>
          <w:lang w:eastAsia="zh-CN"/>
        </w:rPr>
        <w:t>》（环办大气函〔2019〕64</w:t>
      </w:r>
      <w:r>
        <w:rPr>
          <w:rFonts w:hint="eastAsia" w:ascii="Times New Roman" w:hAnsi="Times New Roman" w:eastAsia="仿宋_GB2312" w:cs="Times New Roman"/>
          <w:strike w:val="0"/>
          <w:dstrike w:val="0"/>
          <w:snapToGrid/>
          <w:color w:val="auto"/>
          <w:kern w:val="2"/>
          <w:sz w:val="32"/>
          <w:szCs w:val="32"/>
          <w:highlight w:val="none"/>
          <w:lang w:val="en-US" w:eastAsia="zh-CN"/>
        </w:rPr>
        <w:t>8</w:t>
      </w:r>
      <w:r>
        <w:rPr>
          <w:rFonts w:hint="default" w:ascii="Times New Roman" w:hAnsi="Times New Roman" w:eastAsia="仿宋_GB2312" w:cs="Times New Roman"/>
          <w:strike w:val="0"/>
          <w:dstrike w:val="0"/>
          <w:snapToGrid/>
          <w:color w:val="auto"/>
          <w:kern w:val="2"/>
          <w:sz w:val="32"/>
          <w:szCs w:val="32"/>
          <w:highlight w:val="none"/>
          <w:lang w:eastAsia="zh-CN"/>
        </w:rPr>
        <w:t>号）</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default" w:ascii="Times New Roman" w:hAnsi="Times New Roman" w:eastAsia="仿宋_GB2312" w:cs="Times New Roman"/>
          <w:strike w:val="0"/>
          <w:dstrike w:val="0"/>
          <w:snapToGrid/>
          <w:color w:val="auto"/>
          <w:kern w:val="2"/>
          <w:sz w:val="32"/>
          <w:szCs w:val="32"/>
          <w:highlight w:val="none"/>
          <w:lang w:eastAsia="zh-CN"/>
        </w:rPr>
        <w:t>《生态环境部等15部门关于印发〈深入打好重污染天气消除臭氧污染防治和柴油货车污染治理攻坚战行动方案〉的通知》（环大气〔2022〕68号）</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default"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生态环境部印发</w:t>
      </w:r>
      <w:r>
        <w:rPr>
          <w:rFonts w:hint="default" w:ascii="Times New Roman" w:hAnsi="Times New Roman" w:eastAsia="仿宋_GB2312" w:cs="Times New Roman"/>
          <w:strike w:val="0"/>
          <w:dstrike w:val="0"/>
          <w:snapToGrid/>
          <w:color w:val="auto"/>
          <w:kern w:val="2"/>
          <w:sz w:val="32"/>
          <w:szCs w:val="32"/>
          <w:highlight w:val="none"/>
          <w:lang w:eastAsia="zh-CN"/>
        </w:rPr>
        <w:t>〈关于进一步优化重污染天气应对机制的指导意见〉</w:t>
      </w:r>
      <w:r>
        <w:rPr>
          <w:rFonts w:hint="eastAsia" w:ascii="Times New Roman" w:hAnsi="Times New Roman" w:eastAsia="仿宋_GB2312" w:cs="Times New Roman"/>
          <w:strike w:val="0"/>
          <w:dstrike w:val="0"/>
          <w:snapToGrid/>
          <w:color w:val="auto"/>
          <w:kern w:val="2"/>
          <w:sz w:val="32"/>
          <w:szCs w:val="32"/>
          <w:highlight w:val="none"/>
          <w:lang w:val="en-US" w:eastAsia="zh-CN"/>
        </w:rPr>
        <w:t>的函</w:t>
      </w:r>
      <w:r>
        <w:rPr>
          <w:rFonts w:hint="default" w:ascii="Times New Roman" w:hAnsi="Times New Roman" w:eastAsia="仿宋_GB2312" w:cs="Times New Roman"/>
          <w:strike w:val="0"/>
          <w:dstrike w:val="0"/>
          <w:snapToGrid/>
          <w:color w:val="auto"/>
          <w:kern w:val="2"/>
          <w:sz w:val="32"/>
          <w:szCs w:val="32"/>
          <w:highlight w:val="none"/>
          <w:lang w:eastAsia="zh-CN"/>
        </w:rPr>
        <w:t>》（环大气〔2024〕6号）</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default" w:ascii="Times New Roman" w:hAnsi="Times New Roman" w:eastAsia="仿宋_GB2312" w:cs="Times New Roman"/>
          <w:strike w:val="0"/>
          <w:dstrike w:val="0"/>
          <w:snapToGrid/>
          <w:color w:val="auto"/>
          <w:kern w:val="2"/>
          <w:sz w:val="32"/>
          <w:szCs w:val="32"/>
          <w:highlight w:val="none"/>
          <w:lang w:eastAsia="zh-CN"/>
        </w:rPr>
        <w:t>《湖南省大气污染防治条例》（2020年7月30日修订）</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default" w:ascii="Times New Roman" w:hAnsi="Times New Roman" w:eastAsia="仿宋_GB2312" w:cs="Times New Roman"/>
          <w:strike w:val="0"/>
          <w:dstrike w:val="0"/>
          <w:snapToGrid/>
          <w:color w:val="auto"/>
          <w:kern w:val="2"/>
          <w:sz w:val="32"/>
          <w:szCs w:val="32"/>
          <w:highlight w:val="none"/>
          <w:lang w:eastAsia="zh-CN"/>
        </w:rPr>
        <w:t>《湖南省重污染天气防治若干规定》《湖南省生态环境厅办公室关于做好2024年重污染天气应急减排清单修订工作的通知》（湘环办〔2024〕76号）</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default" w:ascii="Times New Roman" w:hAnsi="Times New Roman" w:eastAsia="仿宋_GB2312" w:cs="Times New Roman"/>
          <w:strike w:val="0"/>
          <w:dstrike w:val="0"/>
          <w:snapToGrid/>
          <w:color w:val="auto"/>
          <w:kern w:val="2"/>
          <w:sz w:val="32"/>
          <w:szCs w:val="32"/>
          <w:highlight w:val="none"/>
          <w:lang w:eastAsia="zh-CN"/>
        </w:rPr>
        <w:t>《湖南省重污染天气应急预案》（湘政办发〔2023〕53号）</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default" w:ascii="Times New Roman" w:hAnsi="Times New Roman" w:eastAsia="仿宋_GB2312" w:cs="Times New Roman"/>
          <w:strike w:val="0"/>
          <w:dstrike w:val="0"/>
          <w:snapToGrid/>
          <w:color w:val="auto"/>
          <w:kern w:val="2"/>
          <w:sz w:val="32"/>
          <w:szCs w:val="32"/>
          <w:highlight w:val="none"/>
          <w:lang w:eastAsia="zh-CN"/>
        </w:rPr>
        <w:t>《株洲市重污染天气应急预案》（株政办发〔2023〕23号）</w:t>
      </w:r>
      <w:r>
        <w:rPr>
          <w:rFonts w:hint="eastAsia" w:ascii="Times New Roman" w:hAnsi="Times New Roman" w:eastAsia="仿宋_GB2312" w:cs="Times New Roman"/>
          <w:strike w:val="0"/>
          <w:dstrike w:val="0"/>
          <w:snapToGrid/>
          <w:color w:val="auto"/>
          <w:kern w:val="2"/>
          <w:sz w:val="32"/>
          <w:szCs w:val="32"/>
          <w:highlight w:val="none"/>
          <w:lang w:val="en-US" w:eastAsia="zh-CN"/>
        </w:rPr>
        <w:t>等法律法规和有关文件进行修订。</w:t>
      </w:r>
      <w:r>
        <w:rPr>
          <w:rFonts w:hint="default" w:ascii="Times New Roman" w:hAnsi="Times New Roman" w:eastAsia="仿宋_GB2312" w:cs="Times New Roman"/>
          <w:strike w:val="0"/>
          <w:dstrike w:val="0"/>
          <w:snapToGrid/>
          <w:color w:val="auto"/>
          <w:kern w:val="2"/>
          <w:sz w:val="32"/>
          <w:szCs w:val="32"/>
          <w:highlight w:val="none"/>
          <w:lang w:eastAsia="zh-CN"/>
        </w:rPr>
        <w:t>未注明日期的文件，其最新版本适用于本预案。国家或地区出台相应政策要求、法规标准严于本文件的，从其规定。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0" w:name="_Toc9356"/>
      <w:bookmarkStart w:id="21" w:name="_Toc7262"/>
      <w:bookmarkStart w:id="22" w:name="_Toc17308"/>
      <w:bookmarkStart w:id="23" w:name="_Toc27733"/>
      <w:bookmarkStart w:id="24" w:name="_Toc31004"/>
      <w:r>
        <w:rPr>
          <w:rFonts w:hint="eastAsia" w:ascii="Times New Roman" w:hAnsi="Times New Roman" w:eastAsia="楷体_GB2312" w:cs="Times New Roman"/>
          <w:strike w:val="0"/>
          <w:dstrike w:val="0"/>
          <w:snapToGrid/>
          <w:kern w:val="2"/>
          <w:sz w:val="32"/>
          <w:szCs w:val="32"/>
          <w:highlight w:val="none"/>
          <w:lang w:eastAsia="zh-CN"/>
        </w:rPr>
        <w:t>1.3适用范围</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本预案适用于株洲市天元区行政区域内发生的</w:t>
      </w:r>
      <w:r>
        <w:rPr>
          <w:rFonts w:hint="eastAsia" w:ascii="Times New Roman" w:hAnsi="Times New Roman" w:eastAsia="仿宋_GB2312" w:cs="Times New Roman"/>
          <w:strike w:val="0"/>
          <w:dstrike w:val="0"/>
          <w:snapToGrid/>
          <w:color w:val="auto"/>
          <w:kern w:val="2"/>
          <w:sz w:val="32"/>
          <w:szCs w:val="32"/>
          <w:highlight w:val="none"/>
          <w:lang w:val="en-US" w:eastAsia="zh-CN"/>
        </w:rPr>
        <w:t>除沙尘天气外的</w:t>
      </w:r>
      <w:r>
        <w:rPr>
          <w:rFonts w:hint="eastAsia" w:ascii="Times New Roman" w:hAnsi="Times New Roman" w:eastAsia="仿宋_GB2312" w:cs="Times New Roman"/>
          <w:strike w:val="0"/>
          <w:dstrike w:val="0"/>
          <w:snapToGrid/>
          <w:color w:val="auto"/>
          <w:kern w:val="2"/>
          <w:sz w:val="32"/>
          <w:szCs w:val="32"/>
          <w:highlight w:val="none"/>
          <w:lang w:eastAsia="zh-CN"/>
        </w:rPr>
        <w:t>重污染天气</w:t>
      </w:r>
      <w:r>
        <w:rPr>
          <w:rFonts w:hint="eastAsia" w:ascii="Times New Roman" w:hAnsi="Times New Roman" w:eastAsia="仿宋_GB2312" w:cs="Times New Roman"/>
          <w:strike w:val="0"/>
          <w:dstrike w:val="0"/>
          <w:snapToGrid/>
          <w:color w:val="auto"/>
          <w:kern w:val="2"/>
          <w:sz w:val="32"/>
          <w:szCs w:val="32"/>
          <w:highlight w:val="none"/>
          <w:lang w:val="en-US" w:eastAsia="zh-CN"/>
        </w:rPr>
        <w:t>预警及响应工作</w:t>
      </w:r>
      <w:r>
        <w:rPr>
          <w:rFonts w:hint="eastAsia" w:ascii="Times New Roman" w:hAnsi="Times New Roman" w:eastAsia="仿宋_GB2312" w:cs="Times New Roman"/>
          <w:strike w:val="0"/>
          <w:dstrike w:val="0"/>
          <w:snapToGrid/>
          <w:color w:val="auto"/>
          <w:kern w:val="2"/>
          <w:sz w:val="32"/>
          <w:szCs w:val="32"/>
          <w:highlight w:val="none"/>
          <w:lang w:eastAsia="zh-CN"/>
        </w:rPr>
        <w:t>。由于天元区行政区与株洲高新技术产业开发区“政园合一”的特点，株洲高新技术产业开发区位于天元区行政区域的园区</w:t>
      </w:r>
      <w:r>
        <w:rPr>
          <w:rFonts w:hint="eastAsia" w:ascii="Times New Roman" w:hAnsi="Times New Roman" w:eastAsia="仿宋_GB2312" w:cs="Times New Roman"/>
          <w:strike w:val="0"/>
          <w:dstrike w:val="0"/>
          <w:snapToGrid/>
          <w:color w:val="auto"/>
          <w:kern w:val="2"/>
          <w:sz w:val="32"/>
          <w:szCs w:val="32"/>
          <w:highlight w:val="none"/>
          <w:lang w:val="en-US" w:eastAsia="zh-CN"/>
        </w:rPr>
        <w:t>企业</w:t>
      </w:r>
      <w:r>
        <w:rPr>
          <w:rFonts w:hint="eastAsia" w:ascii="Times New Roman" w:hAnsi="Times New Roman" w:eastAsia="仿宋_GB2312" w:cs="Times New Roman"/>
          <w:strike w:val="0"/>
          <w:dstrike w:val="0"/>
          <w:snapToGrid/>
          <w:color w:val="auto"/>
          <w:kern w:val="2"/>
          <w:sz w:val="32"/>
          <w:szCs w:val="32"/>
          <w:highlight w:val="none"/>
          <w:lang w:eastAsia="zh-CN"/>
        </w:rPr>
        <w:t>参照本预案执行。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本预案所称重污染天气是指根据《环境空气质量指数（AQI）技术规定（试行）》（HJ633-2012），环境空气质量指数（AQI）大于200，即空气质量达到5级（重度污染）及以上污染程度的大气污染。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5" w:name="_Toc4335"/>
      <w:bookmarkStart w:id="26" w:name="_Toc21440"/>
      <w:bookmarkStart w:id="27" w:name="_Toc2451"/>
      <w:bookmarkStart w:id="28" w:name="_Toc31074"/>
      <w:bookmarkStart w:id="29" w:name="_Toc4353"/>
      <w:r>
        <w:rPr>
          <w:rFonts w:hint="eastAsia" w:ascii="Times New Roman" w:hAnsi="Times New Roman" w:eastAsia="楷体_GB2312" w:cs="Times New Roman"/>
          <w:strike w:val="0"/>
          <w:dstrike w:val="0"/>
          <w:snapToGrid/>
          <w:kern w:val="2"/>
          <w:sz w:val="32"/>
          <w:szCs w:val="32"/>
          <w:highlight w:val="none"/>
          <w:lang w:eastAsia="zh-CN"/>
        </w:rPr>
        <w:t>1.4预案体系及与其他应急预案的衔接</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本预案是天元区突发事件总体应急预案体系、株洲市重污染天气应急预案</w:t>
      </w:r>
      <w:r>
        <w:rPr>
          <w:rFonts w:hint="eastAsia" w:ascii="Times New Roman" w:hAnsi="Times New Roman" w:eastAsia="仿宋_GB2312" w:cs="Times New Roman"/>
          <w:strike w:val="0"/>
          <w:dstrike w:val="0"/>
          <w:snapToGrid/>
          <w:color w:val="auto"/>
          <w:kern w:val="2"/>
          <w:sz w:val="32"/>
          <w:szCs w:val="32"/>
          <w:highlight w:val="none"/>
          <w:lang w:val="en-US" w:eastAsia="zh-CN"/>
        </w:rPr>
        <w:t>体系下的专项应急预案</w:t>
      </w:r>
      <w:bookmarkStart w:id="30" w:name="_Toc5514"/>
      <w:bookmarkStart w:id="31" w:name="_Toc6986"/>
      <w:bookmarkStart w:id="32" w:name="_Toc28727"/>
      <w:bookmarkStart w:id="33" w:name="_Toc30832"/>
      <w:bookmarkStart w:id="34" w:name="_Toc7385"/>
      <w:r>
        <w:rPr>
          <w:rFonts w:hint="eastAsia" w:ascii="Times New Roman" w:hAnsi="Times New Roman" w:eastAsia="仿宋_GB2312" w:cs="Times New Roman"/>
          <w:strike w:val="0"/>
          <w:dstrike w:val="0"/>
          <w:snapToGrid/>
          <w:color w:val="auto"/>
          <w:kern w:val="2"/>
          <w:sz w:val="32"/>
          <w:szCs w:val="32"/>
          <w:highlight w:val="none"/>
          <w:lang w:val="en-US" w:eastAsia="zh-CN"/>
        </w:rPr>
        <w:t>。</w:t>
      </w:r>
      <w:r>
        <w:rPr>
          <w:rFonts w:hint="eastAsia" w:ascii="Times New Roman" w:hAnsi="Times New Roman" w:eastAsia="仿宋_GB2312" w:cs="Times New Roman"/>
          <w:strike w:val="0"/>
          <w:dstrike w:val="0"/>
          <w:snapToGrid/>
          <w:color w:val="auto"/>
          <w:kern w:val="2"/>
          <w:sz w:val="32"/>
          <w:szCs w:val="32"/>
          <w:highlight w:val="none"/>
          <w:lang w:eastAsia="zh-CN"/>
        </w:rPr>
        <w:t>其下级预案包括各重污染天气专项方案和相关企业重污染天气应急响应操作方案（即企业“一厂一策”实施方案）。本预案与</w:t>
      </w:r>
      <w:r>
        <w:rPr>
          <w:rFonts w:hint="eastAsia" w:ascii="Times New Roman" w:hAnsi="Times New Roman" w:eastAsia="仿宋_GB2312" w:cs="Times New Roman"/>
          <w:strike w:val="0"/>
          <w:dstrike w:val="0"/>
          <w:snapToGrid/>
          <w:color w:val="auto"/>
          <w:kern w:val="2"/>
          <w:sz w:val="32"/>
          <w:szCs w:val="32"/>
          <w:highlight w:val="none"/>
          <w:lang w:val="en-US" w:eastAsia="zh-CN"/>
        </w:rPr>
        <w:t>其下级预案</w:t>
      </w:r>
      <w:r>
        <w:rPr>
          <w:rFonts w:hint="eastAsia" w:ascii="Times New Roman" w:hAnsi="Times New Roman" w:eastAsia="仿宋_GB2312" w:cs="Times New Roman"/>
          <w:strike w:val="0"/>
          <w:dstrike w:val="0"/>
          <w:snapToGrid/>
          <w:color w:val="auto"/>
          <w:kern w:val="2"/>
          <w:sz w:val="32"/>
          <w:szCs w:val="32"/>
          <w:highlight w:val="none"/>
          <w:lang w:eastAsia="zh-CN"/>
        </w:rPr>
        <w:t>共同组成天元区重污染天气应急预案体系。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1.5工作原则</w:t>
      </w:r>
      <w:bookmarkEnd w:id="30"/>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（1）以人为本，预防为主。</w:t>
      </w:r>
      <w:r>
        <w:rPr>
          <w:rFonts w:hint="eastAsia" w:ascii="Times New Roman" w:hAnsi="Times New Roman" w:eastAsia="仿宋_GB2312" w:cs="Times New Roman"/>
          <w:strike w:val="0"/>
          <w:dstrike w:val="0"/>
          <w:snapToGrid/>
          <w:color w:val="auto"/>
          <w:kern w:val="2"/>
          <w:sz w:val="32"/>
          <w:szCs w:val="32"/>
          <w:highlight w:val="none"/>
          <w:lang w:val="en-US" w:eastAsia="zh-CN"/>
        </w:rPr>
        <w:t>以保障公众身体健康作为重污染天气应对工作的出发点，强化节能减排措施，切实预防重污染天气的发生，最大程度降低重污染天气对公众身体健康的影响。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（2）科学预警，分级管控。</w:t>
      </w:r>
      <w:r>
        <w:rPr>
          <w:rFonts w:hint="eastAsia" w:ascii="Times New Roman" w:hAnsi="Times New Roman" w:eastAsia="仿宋_GB2312" w:cs="Times New Roman"/>
          <w:strike w:val="0"/>
          <w:dstrike w:val="0"/>
          <w:snapToGrid/>
          <w:color w:val="auto"/>
          <w:kern w:val="2"/>
          <w:sz w:val="32"/>
          <w:szCs w:val="32"/>
          <w:highlight w:val="none"/>
          <w:lang w:val="en-US" w:eastAsia="zh-CN"/>
        </w:rPr>
        <w:t>及时接收市重污染天气应急指挥中心预警消息，</w:t>
      </w:r>
      <w:r>
        <w:rPr>
          <w:rFonts w:hint="eastAsia" w:ascii="Times New Roman" w:hAnsi="Times New Roman" w:eastAsia="仿宋_GB2312" w:cs="Times New Roman"/>
          <w:strike w:val="0"/>
          <w:dstrike w:val="0"/>
          <w:snapToGrid/>
          <w:color w:val="auto"/>
          <w:kern w:val="2"/>
          <w:sz w:val="32"/>
          <w:szCs w:val="32"/>
          <w:highlight w:val="none"/>
          <w:lang w:eastAsia="zh-CN"/>
        </w:rPr>
        <w:t>完善空气质量监测监控体系，加强分析研判，实行定期会商，科学预警。根据不同预警等级，采取相应级别的应急响应措施，有效降低污染影响程度。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（3）属地管理，社会参与。建立全区统一的重污染天气应急指挥系统，明确各有关部门、</w:t>
      </w:r>
      <w:r>
        <w:rPr>
          <w:rFonts w:hint="eastAsia" w:ascii="Times New Roman" w:hAnsi="Times New Roman" w:eastAsia="仿宋_GB2312" w:cs="Times New Roman"/>
          <w:strike w:val="0"/>
          <w:dstrike w:val="0"/>
          <w:snapToGrid/>
          <w:color w:val="auto"/>
          <w:kern w:val="2"/>
          <w:sz w:val="32"/>
          <w:szCs w:val="32"/>
          <w:highlight w:val="none"/>
          <w:lang w:val="en-US" w:eastAsia="zh-CN"/>
        </w:rPr>
        <w:t>镇人民政府</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街道办事处</w:t>
      </w:r>
      <w:r>
        <w:rPr>
          <w:rFonts w:hint="eastAsia" w:ascii="Times New Roman" w:hAnsi="Times New Roman" w:eastAsia="仿宋_GB2312" w:cs="Times New Roman"/>
          <w:strike w:val="0"/>
          <w:dstrike w:val="0"/>
          <w:snapToGrid/>
          <w:color w:val="auto"/>
          <w:kern w:val="2"/>
          <w:sz w:val="32"/>
          <w:szCs w:val="32"/>
          <w:highlight w:val="none"/>
          <w:lang w:eastAsia="zh-CN"/>
        </w:rPr>
        <w:t>）职责分工。积极开展区域应急联动。加强各有关部门单位协调联动，建立健全信息共享机制，协同做好重污染天气应对工作。加强信息公开，及时准确发布空气质量监测和预警相关信息，增强公众自我防护意识、参与意识，共同改善环境空气质量。</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0"/>
        <w:rPr>
          <w:rFonts w:hint="eastAsia" w:ascii="黑体" w:hAnsi="黑体" w:eastAsia="黑体" w:cs="黑体"/>
          <w:strike w:val="0"/>
          <w:dstrike w:val="0"/>
          <w:snapToGrid/>
          <w:kern w:val="2"/>
          <w:sz w:val="32"/>
          <w:szCs w:val="32"/>
          <w:highlight w:val="none"/>
          <w:lang w:eastAsia="zh-CN"/>
        </w:rPr>
      </w:pPr>
      <w:bookmarkStart w:id="35" w:name="_Toc22840"/>
      <w:bookmarkStart w:id="36" w:name="_Toc23948"/>
      <w:bookmarkStart w:id="37" w:name="_Toc29488"/>
      <w:bookmarkStart w:id="38" w:name="_Toc2504"/>
      <w:bookmarkStart w:id="39" w:name="_Toc31815"/>
      <w:r>
        <w:rPr>
          <w:rFonts w:hint="eastAsia" w:ascii="Times New Roman" w:hAnsi="Times New Roman" w:eastAsia="仿宋_GB2312" w:cs="Times New Roman"/>
          <w:strike w:val="0"/>
          <w:dstrike w:val="0"/>
          <w:snapToGrid/>
          <w:color w:val="auto"/>
          <w:kern w:val="2"/>
          <w:sz w:val="32"/>
          <w:szCs w:val="32"/>
          <w:highlight w:val="none"/>
          <w:lang w:eastAsia="zh-CN"/>
        </w:rPr>
        <w:t>2</w:t>
      </w:r>
      <w:r>
        <w:rPr>
          <w:rFonts w:hint="eastAsia" w:ascii="黑体" w:hAnsi="黑体" w:eastAsia="黑体" w:cs="黑体"/>
          <w:strike w:val="0"/>
          <w:dstrike w:val="0"/>
          <w:snapToGrid/>
          <w:kern w:val="2"/>
          <w:sz w:val="32"/>
          <w:szCs w:val="32"/>
          <w:highlight w:val="none"/>
          <w:lang w:eastAsia="zh-CN"/>
        </w:rPr>
        <w:t>组织体系及职责</w:t>
      </w:r>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40" w:name="_Toc3107"/>
      <w:bookmarkStart w:id="41" w:name="_Toc26196"/>
      <w:bookmarkStart w:id="42" w:name="_Toc13539"/>
      <w:bookmarkStart w:id="43" w:name="_Toc17490"/>
      <w:bookmarkStart w:id="44" w:name="_Toc12099"/>
      <w:r>
        <w:rPr>
          <w:rFonts w:hint="eastAsia" w:ascii="Times New Roman" w:hAnsi="Times New Roman" w:eastAsia="楷体_GB2312" w:cs="Times New Roman"/>
          <w:strike w:val="0"/>
          <w:dstrike w:val="0"/>
          <w:snapToGrid/>
          <w:kern w:val="2"/>
          <w:sz w:val="32"/>
          <w:szCs w:val="32"/>
          <w:highlight w:val="none"/>
          <w:lang w:eastAsia="zh-CN"/>
        </w:rPr>
        <w:t>2.1组织</w:t>
      </w:r>
      <w:bookmarkEnd w:id="40"/>
      <w:bookmarkEnd w:id="41"/>
      <w:bookmarkEnd w:id="42"/>
      <w:bookmarkEnd w:id="43"/>
      <w:bookmarkEnd w:id="44"/>
      <w:r>
        <w:rPr>
          <w:rFonts w:hint="eastAsia" w:ascii="Times New Roman" w:hAnsi="Times New Roman" w:eastAsia="楷体_GB2312" w:cs="Times New Roman"/>
          <w:strike w:val="0"/>
          <w:dstrike w:val="0"/>
          <w:snapToGrid/>
          <w:kern w:val="2"/>
          <w:sz w:val="32"/>
          <w:szCs w:val="32"/>
          <w:highlight w:val="none"/>
          <w:lang w:eastAsia="zh-CN"/>
        </w:rPr>
        <w:t>体系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天元区人民政府设立重污染天气应急指挥中心（以下简称“区指挥中心”），由区人民政府分管副区长兼任指挥长，区政府办分管副主任、市生态环境局天元分局局长兼任副指挥长；</w:t>
      </w:r>
      <w:bookmarkStart w:id="45" w:name="OLE_LINK1"/>
      <w:r>
        <w:rPr>
          <w:rFonts w:hint="eastAsia" w:ascii="Times New Roman" w:hAnsi="Times New Roman" w:eastAsia="仿宋_GB2312" w:cs="Times New Roman"/>
          <w:strike w:val="0"/>
          <w:dstrike w:val="0"/>
          <w:snapToGrid/>
          <w:color w:val="auto"/>
          <w:kern w:val="2"/>
          <w:sz w:val="32"/>
          <w:szCs w:val="32"/>
          <w:highlight w:val="none"/>
          <w:lang w:eastAsia="zh-CN"/>
        </w:rPr>
        <w:t>区委宣传部、区委网信办、区发改局、区教育局、区科工信局、区财政局、区自然资源局、市生态环境局天元分局、区住建局、区城管局、区水利局、区农业农村局、区应急</w:t>
      </w:r>
      <w:r>
        <w:rPr>
          <w:rFonts w:hint="eastAsia" w:ascii="Times New Roman" w:hAnsi="Times New Roman" w:eastAsia="仿宋_GB2312" w:cs="Times New Roman"/>
          <w:strike w:val="0"/>
          <w:dstrike w:val="0"/>
          <w:snapToGrid/>
          <w:color w:val="auto"/>
          <w:kern w:val="2"/>
          <w:sz w:val="32"/>
          <w:szCs w:val="32"/>
          <w:highlight w:val="none"/>
          <w:lang w:val="en-US" w:eastAsia="zh-CN"/>
        </w:rPr>
        <w:t>管理</w:t>
      </w:r>
      <w:r>
        <w:rPr>
          <w:rFonts w:hint="eastAsia" w:ascii="Times New Roman" w:hAnsi="Times New Roman" w:eastAsia="仿宋_GB2312" w:cs="Times New Roman"/>
          <w:strike w:val="0"/>
          <w:dstrike w:val="0"/>
          <w:snapToGrid/>
          <w:color w:val="auto"/>
          <w:kern w:val="2"/>
          <w:sz w:val="32"/>
          <w:szCs w:val="32"/>
          <w:highlight w:val="none"/>
          <w:lang w:eastAsia="zh-CN"/>
        </w:rPr>
        <w:t>局、区卫健局、市公安局天元分局、</w:t>
      </w:r>
      <w:r>
        <w:rPr>
          <w:rFonts w:hint="eastAsia" w:ascii="Times New Roman" w:hAnsi="Times New Roman" w:eastAsia="仿宋_GB2312" w:cs="Times New Roman"/>
          <w:strike w:val="0"/>
          <w:dstrike w:val="0"/>
          <w:snapToGrid/>
          <w:color w:val="auto"/>
          <w:kern w:val="2"/>
          <w:sz w:val="32"/>
          <w:szCs w:val="32"/>
          <w:highlight w:val="none"/>
          <w:lang w:val="en-US" w:eastAsia="zh-CN"/>
        </w:rPr>
        <w:t>天元</w:t>
      </w:r>
      <w:r>
        <w:rPr>
          <w:rFonts w:hint="eastAsia" w:ascii="Times New Roman" w:hAnsi="Times New Roman" w:eastAsia="仿宋_GB2312" w:cs="Times New Roman"/>
          <w:strike w:val="0"/>
          <w:dstrike w:val="0"/>
          <w:snapToGrid/>
          <w:color w:val="auto"/>
          <w:kern w:val="2"/>
          <w:sz w:val="32"/>
          <w:szCs w:val="32"/>
          <w:highlight w:val="none"/>
          <w:lang w:eastAsia="zh-CN"/>
        </w:rPr>
        <w:t>交警大队</w:t>
      </w:r>
      <w:bookmarkEnd w:id="45"/>
      <w:r>
        <w:rPr>
          <w:rFonts w:hint="eastAsia" w:ascii="Times New Roman" w:hAnsi="Times New Roman" w:eastAsia="仿宋_GB2312" w:cs="Times New Roman"/>
          <w:strike w:val="0"/>
          <w:dstrike w:val="0"/>
          <w:snapToGrid/>
          <w:color w:val="auto"/>
          <w:kern w:val="2"/>
          <w:sz w:val="32"/>
          <w:szCs w:val="32"/>
          <w:highlight w:val="none"/>
          <w:lang w:eastAsia="zh-CN"/>
        </w:rPr>
        <w:t>、区交通运输局、</w:t>
      </w:r>
      <w:r>
        <w:rPr>
          <w:rFonts w:hint="eastAsia" w:ascii="Times New Roman" w:hAnsi="Times New Roman" w:eastAsia="仿宋_GB2312" w:cs="Times New Roman"/>
          <w:strike w:val="0"/>
          <w:dstrike w:val="0"/>
          <w:snapToGrid/>
          <w:color w:val="auto"/>
          <w:kern w:val="2"/>
          <w:sz w:val="32"/>
          <w:szCs w:val="32"/>
          <w:highlight w:val="none"/>
          <w:lang w:val="en-US" w:eastAsia="zh-CN"/>
        </w:rPr>
        <w:t>区市场监管局、区文旅广体局</w:t>
      </w:r>
      <w:r>
        <w:rPr>
          <w:rFonts w:hint="eastAsia" w:ascii="Times New Roman" w:hAnsi="Times New Roman" w:eastAsia="仿宋_GB2312" w:cs="Times New Roman"/>
          <w:strike w:val="0"/>
          <w:dstrike w:val="0"/>
          <w:snapToGrid/>
          <w:color w:val="auto"/>
          <w:kern w:val="2"/>
          <w:sz w:val="32"/>
          <w:szCs w:val="32"/>
          <w:highlight w:val="none"/>
          <w:lang w:eastAsia="zh-CN"/>
        </w:rPr>
        <w:t>，各镇（街道）等单位为成员单位。应急预案启动后，指挥长（或授权副指挥长）负责指挥、协调开展重污染天气应对工作。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区指挥中心办公室设在市生态环境局天元分局，办公室主任由局长兼任，负责处理日常事务。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市生态环境局天元分局牵头组建重污染天气应对专家组，主要负责重污染天气预报、预警、响应及评估，形成专家会商结果，为重污染天气应对提供技术支撑与对策建议。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46" w:name="_Toc10569"/>
      <w:bookmarkStart w:id="47" w:name="_Toc20164"/>
      <w:bookmarkStart w:id="48" w:name="_Toc18455"/>
      <w:bookmarkStart w:id="49" w:name="_Toc8865"/>
      <w:bookmarkStart w:id="50" w:name="_Toc24313"/>
      <w:r>
        <w:rPr>
          <w:rFonts w:hint="eastAsia" w:ascii="Times New Roman" w:hAnsi="Times New Roman" w:eastAsia="楷体_GB2312" w:cs="Times New Roman"/>
          <w:strike w:val="0"/>
          <w:dstrike w:val="0"/>
          <w:snapToGrid/>
          <w:kern w:val="2"/>
          <w:sz w:val="32"/>
          <w:szCs w:val="32"/>
          <w:highlight w:val="none"/>
          <w:lang w:eastAsia="zh-CN"/>
        </w:rPr>
        <w:t>2.2主要职责</w:t>
      </w:r>
      <w:bookmarkEnd w:id="46"/>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区指挥中心负责重污染天气应对工作的决策部署；指挥、组织、协调全区重污染天气监测预警、应急响应、总结评估等工作。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bookmarkStart w:id="51" w:name="_Toc30927"/>
      <w:bookmarkStart w:id="52" w:name="_Toc19286"/>
      <w:bookmarkStart w:id="53" w:name="_Toc852"/>
      <w:bookmarkStart w:id="54" w:name="_Toc4367"/>
      <w:bookmarkStart w:id="55" w:name="_Toc12233"/>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负责接收市指挥中心的预警和指令，领导、指挥和组织行政区内重污染天气应对工作，并结合本区实际，编制完善重污染天气应急预案，全面负责本区内重污染天气应急减排各项措施落实，督促和指导本区各职能部门根据部门职能编制和更新重污染天气相应实施专项方案、应急减排项目清单，以及纳入重污染天气应急减排清单的工业企业编制“一厂一策”实施方案；按照上级预警信息和本区重污染天气应急预案做好重污染天气应对工作，应急响应终止后及时做好预案实施的总结评估工作（各部门具体职责见附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仿宋" w:hAnsi="仿宋" w:eastAsia="仿宋" w:cs="仿宋"/>
          <w:strike w:val="0"/>
          <w:dstrike w:val="0"/>
          <w:spacing w:val="5"/>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w:t>
      </w:r>
      <w:r>
        <w:rPr>
          <w:rFonts w:hint="eastAsia" w:ascii="黑体" w:hAnsi="黑体" w:eastAsia="黑体" w:cs="黑体"/>
          <w:strike w:val="0"/>
          <w:dstrike w:val="0"/>
          <w:snapToGrid/>
          <w:kern w:val="2"/>
          <w:sz w:val="32"/>
          <w:szCs w:val="32"/>
          <w:highlight w:val="none"/>
          <w:lang w:eastAsia="zh-CN"/>
        </w:rPr>
        <w:t>应急准备</w:t>
      </w:r>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56" w:name="_Toc19854"/>
      <w:bookmarkStart w:id="57" w:name="_Toc22958"/>
      <w:bookmarkStart w:id="58" w:name="_Toc22072"/>
      <w:bookmarkStart w:id="59" w:name="_Toc16374"/>
      <w:bookmarkStart w:id="60" w:name="_Toc12580"/>
      <w:r>
        <w:rPr>
          <w:rFonts w:hint="eastAsia" w:ascii="Times New Roman" w:hAnsi="Times New Roman" w:eastAsia="楷体_GB2312" w:cs="Times New Roman"/>
          <w:strike w:val="0"/>
          <w:dstrike w:val="0"/>
          <w:snapToGrid/>
          <w:kern w:val="2"/>
          <w:sz w:val="32"/>
          <w:szCs w:val="32"/>
          <w:highlight w:val="none"/>
          <w:lang w:eastAsia="zh-CN"/>
        </w:rPr>
        <w:t>3.1编制应急减排项目清单</w:t>
      </w:r>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bookmarkStart w:id="61" w:name="_Toc14458"/>
      <w:bookmarkStart w:id="62" w:name="_Toc19105"/>
      <w:bookmarkStart w:id="63" w:name="_Toc8160"/>
      <w:bookmarkStart w:id="64" w:name="_Toc31179"/>
      <w:bookmarkStart w:id="65" w:name="_Toc28766"/>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市生态环境局天元分局牵头，区科工信局参与，编制更新工业企业应急减排项目清单；区住建局</w:t>
      </w:r>
      <w:r>
        <w:rPr>
          <w:rFonts w:hint="eastAsia" w:ascii="Times New Roman" w:hAnsi="Times New Roman" w:eastAsia="仿宋_GB2312" w:cs="Times New Roman"/>
          <w:strike w:val="0"/>
          <w:dstrike w:val="0"/>
          <w:snapToGrid/>
          <w:color w:val="auto"/>
          <w:kern w:val="2"/>
          <w:sz w:val="32"/>
          <w:szCs w:val="32"/>
          <w:highlight w:val="none"/>
          <w:lang w:val="en-US" w:eastAsia="zh-CN"/>
        </w:rPr>
        <w:t>组织</w:t>
      </w:r>
      <w:r>
        <w:rPr>
          <w:rFonts w:hint="eastAsia" w:ascii="Times New Roman" w:hAnsi="Times New Roman" w:eastAsia="仿宋_GB2312" w:cs="Times New Roman"/>
          <w:strike w:val="0"/>
          <w:dstrike w:val="0"/>
          <w:snapToGrid/>
          <w:color w:val="auto"/>
          <w:kern w:val="2"/>
          <w:sz w:val="32"/>
          <w:szCs w:val="32"/>
          <w:highlight w:val="none"/>
          <w:lang w:eastAsia="zh-CN"/>
        </w:rPr>
        <w:t>编制更新房屋建筑和市政基础设施施工工地应急减排项目清单；区城管局</w:t>
      </w:r>
      <w:r>
        <w:rPr>
          <w:rFonts w:hint="eastAsia" w:ascii="Times New Roman" w:hAnsi="Times New Roman" w:eastAsia="仿宋_GB2312" w:cs="Times New Roman"/>
          <w:strike w:val="0"/>
          <w:dstrike w:val="0"/>
          <w:snapToGrid/>
          <w:color w:val="auto"/>
          <w:kern w:val="2"/>
          <w:sz w:val="32"/>
          <w:szCs w:val="32"/>
          <w:highlight w:val="none"/>
          <w:lang w:val="en-US" w:eastAsia="zh-CN"/>
        </w:rPr>
        <w:t>组织</w:t>
      </w:r>
      <w:r>
        <w:rPr>
          <w:rFonts w:hint="eastAsia" w:ascii="Times New Roman" w:hAnsi="Times New Roman" w:eastAsia="仿宋_GB2312" w:cs="Times New Roman"/>
          <w:strike w:val="0"/>
          <w:dstrike w:val="0"/>
          <w:snapToGrid/>
          <w:color w:val="auto"/>
          <w:kern w:val="2"/>
          <w:sz w:val="32"/>
          <w:szCs w:val="32"/>
          <w:highlight w:val="none"/>
          <w:lang w:eastAsia="zh-CN"/>
        </w:rPr>
        <w:t>编制更新建筑垃圾（含渣土）运输和项目前期工地重污染天气应急减排项目清单；区自然资源局</w:t>
      </w:r>
      <w:r>
        <w:rPr>
          <w:rFonts w:hint="eastAsia" w:ascii="Times New Roman" w:hAnsi="Times New Roman" w:eastAsia="仿宋_GB2312" w:cs="Times New Roman"/>
          <w:strike w:val="0"/>
          <w:dstrike w:val="0"/>
          <w:snapToGrid/>
          <w:color w:val="auto"/>
          <w:kern w:val="2"/>
          <w:sz w:val="32"/>
          <w:szCs w:val="32"/>
          <w:highlight w:val="none"/>
          <w:lang w:val="en-US" w:eastAsia="zh-CN"/>
        </w:rPr>
        <w:t>组织</w:t>
      </w:r>
      <w:r>
        <w:rPr>
          <w:rFonts w:hint="eastAsia" w:ascii="Times New Roman" w:hAnsi="Times New Roman" w:eastAsia="仿宋_GB2312" w:cs="Times New Roman"/>
          <w:strike w:val="0"/>
          <w:dstrike w:val="0"/>
          <w:snapToGrid/>
          <w:color w:val="auto"/>
          <w:kern w:val="2"/>
          <w:sz w:val="32"/>
          <w:szCs w:val="32"/>
          <w:highlight w:val="none"/>
          <w:lang w:eastAsia="zh-CN"/>
        </w:rPr>
        <w:t>编制更新土地整理施工应急减排项目清单；区交通运输局</w:t>
      </w:r>
      <w:r>
        <w:rPr>
          <w:rFonts w:hint="eastAsia" w:ascii="Times New Roman" w:hAnsi="Times New Roman" w:eastAsia="仿宋_GB2312" w:cs="Times New Roman"/>
          <w:strike w:val="0"/>
          <w:dstrike w:val="0"/>
          <w:snapToGrid/>
          <w:color w:val="auto"/>
          <w:kern w:val="2"/>
          <w:sz w:val="32"/>
          <w:szCs w:val="32"/>
          <w:highlight w:val="none"/>
          <w:lang w:val="en-US" w:eastAsia="zh-CN"/>
        </w:rPr>
        <w:t>组织</w:t>
      </w:r>
      <w:r>
        <w:rPr>
          <w:rFonts w:hint="eastAsia" w:ascii="Times New Roman" w:hAnsi="Times New Roman" w:eastAsia="仿宋_GB2312" w:cs="Times New Roman"/>
          <w:strike w:val="0"/>
          <w:dstrike w:val="0"/>
          <w:snapToGrid/>
          <w:color w:val="auto"/>
          <w:kern w:val="2"/>
          <w:sz w:val="32"/>
          <w:szCs w:val="32"/>
          <w:highlight w:val="none"/>
          <w:lang w:eastAsia="zh-CN"/>
        </w:rPr>
        <w:t>编制更新交通建设施工应急减排项目清单；区水利局</w:t>
      </w:r>
      <w:r>
        <w:rPr>
          <w:rFonts w:hint="eastAsia" w:ascii="Times New Roman" w:hAnsi="Times New Roman" w:eastAsia="仿宋_GB2312" w:cs="Times New Roman"/>
          <w:strike w:val="0"/>
          <w:dstrike w:val="0"/>
          <w:snapToGrid/>
          <w:color w:val="auto"/>
          <w:kern w:val="2"/>
          <w:sz w:val="32"/>
          <w:szCs w:val="32"/>
          <w:highlight w:val="none"/>
          <w:lang w:val="en-US" w:eastAsia="zh-CN"/>
        </w:rPr>
        <w:t>组织</w:t>
      </w:r>
      <w:r>
        <w:rPr>
          <w:rFonts w:hint="eastAsia" w:ascii="Times New Roman" w:hAnsi="Times New Roman" w:eastAsia="仿宋_GB2312" w:cs="Times New Roman"/>
          <w:strike w:val="0"/>
          <w:dstrike w:val="0"/>
          <w:snapToGrid/>
          <w:color w:val="auto"/>
          <w:kern w:val="2"/>
          <w:sz w:val="32"/>
          <w:szCs w:val="32"/>
          <w:highlight w:val="none"/>
          <w:lang w:eastAsia="zh-CN"/>
        </w:rPr>
        <w:t>编制更新水利建设施工应急减排项目清单，将差异化应急减排措施层层落实到具体工业企业、施工工地等，分类提出切实有效、便于操作的应急减排措施。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3.2夯实应急减排措施</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bookmarkStart w:id="66" w:name="_Toc7086"/>
      <w:bookmarkStart w:id="67" w:name="_Toc31775"/>
      <w:bookmarkStart w:id="68" w:name="_Toc30576"/>
      <w:bookmarkStart w:id="69" w:name="_Toc11947"/>
      <w:bookmarkStart w:id="70" w:name="_Toc16894"/>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组织落实工业源应急减排项目清单、减排措施和应急减排比例审核。主要包括基础排放量和应急减排基数。通过实施多污染物协同减排，在强制性减排措施中，二氧化硫、氮氧化物、颗粒物、挥发性有机物的应急减排比例在黄色、橙色和红色应急响应期间，应当分别达到全社会排放量的10%、20%和30%以上，可根据本地污染物排放构成适当调整二氧化硫和氮氧化物减排比例，但二者比例之和不应低于上述总体要求。在制定减排措施时，应在满足减排比例要求的前提下，采取差异化减排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3.3指导企业制定“一厂一策”实施方案</w:t>
      </w:r>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会同相关部门指导纳入重污染天气应急减排项目清单的工业企业制定“一厂一策”实施方案。实施方案包含企业基本情况、主要生产工艺流程、主要产生和排放大气污染物环节、污染物排放情况（含重型运输车辆及非道路移动机械），并载明不同级别预警下的应急减排措施，明确具体停产的生产线、工艺环节和各类减排措施的关键性指标，细化具体减排工序责任人及联系方式等。企业应当制定“一厂一策”实施方案公示牌，安装在厂区入口等醒目位置。对于简易工序或重污染预警期间实施全厂、整条生产线停产和轮流停产的工业企业，可只制定“公示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71" w:name="_Toc179409557"/>
      <w:r>
        <w:rPr>
          <w:rFonts w:hint="eastAsia" w:ascii="Times New Roman" w:hAnsi="Times New Roman" w:eastAsia="楷体_GB2312" w:cs="Times New Roman"/>
          <w:strike w:val="0"/>
          <w:dstrike w:val="0"/>
          <w:snapToGrid/>
          <w:kern w:val="2"/>
          <w:sz w:val="32"/>
          <w:szCs w:val="32"/>
          <w:highlight w:val="none"/>
          <w:lang w:eastAsia="zh-CN"/>
        </w:rPr>
        <w:t>3.4预警分区</w:t>
      </w:r>
      <w:bookmarkEnd w:id="7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根据株洲市重污染天气应急预案以及天元区地理位置关系，辖区内污染源分布情况，将全区分为一般控制区和重点控制区。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一般控制区：三门镇、雷打石镇。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重点控制区：除三门镇、雷打石镇外其他区域。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黑体" w:hAnsi="黑体" w:eastAsia="黑体" w:cs="黑体"/>
          <w:strike w:val="0"/>
          <w:dstrike w:val="0"/>
          <w:snapToGrid/>
          <w:kern w:val="2"/>
          <w:sz w:val="32"/>
          <w:szCs w:val="32"/>
          <w:highlight w:val="none"/>
          <w:lang w:eastAsia="zh-CN"/>
        </w:rPr>
      </w:pPr>
      <w:bookmarkStart w:id="72" w:name="_Toc15237"/>
      <w:bookmarkStart w:id="73" w:name="_Toc7935"/>
      <w:bookmarkStart w:id="74" w:name="_Toc7853"/>
      <w:bookmarkStart w:id="75" w:name="_Toc25252"/>
      <w:bookmarkStart w:id="76" w:name="_Toc22763"/>
      <w:r>
        <w:rPr>
          <w:rFonts w:hint="eastAsia" w:ascii="Times New Roman" w:hAnsi="Times New Roman" w:eastAsia="仿宋_GB2312" w:cs="Times New Roman"/>
          <w:strike w:val="0"/>
          <w:dstrike w:val="0"/>
          <w:snapToGrid/>
          <w:color w:val="auto"/>
          <w:kern w:val="2"/>
          <w:sz w:val="32"/>
          <w:szCs w:val="32"/>
          <w:highlight w:val="none"/>
          <w:lang w:eastAsia="zh-CN"/>
        </w:rPr>
        <w:t>4</w:t>
      </w:r>
      <w:r>
        <w:rPr>
          <w:rFonts w:hint="eastAsia" w:ascii="黑体" w:hAnsi="黑体" w:eastAsia="黑体" w:cs="黑体"/>
          <w:strike w:val="0"/>
          <w:dstrike w:val="0"/>
          <w:snapToGrid/>
          <w:kern w:val="2"/>
          <w:sz w:val="32"/>
          <w:szCs w:val="32"/>
          <w:highlight w:val="none"/>
          <w:lang w:eastAsia="zh-CN"/>
        </w:rPr>
        <w:t>监测与预警</w:t>
      </w:r>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77" w:name="_Toc26254"/>
      <w:bookmarkStart w:id="78" w:name="_Toc12634"/>
      <w:bookmarkStart w:id="79" w:name="_Toc22414"/>
      <w:bookmarkStart w:id="80" w:name="_Toc32497"/>
      <w:bookmarkStart w:id="81" w:name="_Toc22116"/>
      <w:r>
        <w:rPr>
          <w:rFonts w:hint="eastAsia" w:ascii="Times New Roman" w:hAnsi="Times New Roman" w:eastAsia="楷体_GB2312" w:cs="Times New Roman"/>
          <w:strike w:val="0"/>
          <w:dstrike w:val="0"/>
          <w:snapToGrid/>
          <w:kern w:val="2"/>
          <w:sz w:val="32"/>
          <w:szCs w:val="32"/>
          <w:highlight w:val="none"/>
          <w:lang w:eastAsia="zh-CN"/>
        </w:rPr>
        <w:t>4.1监测与预报</w:t>
      </w:r>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市生态环境局天元分局应积极利用株洲高新技术产业开发区现有空气质量监测小微站点等资源，同时依托株洲市市级预警体系，完善本区域重污染天气监测预警体系，开展预警响应、应对工作。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同时密切关注官方渠道公布的监测站点空气质量信息，在收到市指挥中心办公室发布的重污染天气信息时，及时报告区人民政府和指挥中心，为重污染天气预警、响应工作提供决策依据。重污染天气过程期间，及时提出发布、调整、解除预警建议，为响应工作提供决策依据，实现株洲市、高新区、天元区多级联动预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82" w:name="_Toc30877"/>
      <w:bookmarkStart w:id="83" w:name="_Toc485"/>
      <w:bookmarkStart w:id="84" w:name="_Toc9423"/>
      <w:bookmarkStart w:id="85" w:name="_Toc13474"/>
      <w:bookmarkStart w:id="86" w:name="_Toc29466"/>
      <w:r>
        <w:rPr>
          <w:rFonts w:hint="eastAsia" w:ascii="Times New Roman" w:hAnsi="Times New Roman" w:eastAsia="楷体_GB2312" w:cs="Times New Roman"/>
          <w:strike w:val="0"/>
          <w:dstrike w:val="0"/>
          <w:snapToGrid/>
          <w:kern w:val="2"/>
          <w:sz w:val="32"/>
          <w:szCs w:val="32"/>
          <w:highlight w:val="none"/>
          <w:lang w:eastAsia="zh-CN"/>
        </w:rPr>
        <w:t>4.2预警分级</w:t>
      </w:r>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重污染天气预警统一以AQI日均值为指标，按连续24小时（可跨自然日）均值计算，按照环境质量预测结果、空气污染程度、重污染天气持续时间等因素，将重污染天气预警分为3个级别，由轻到重依次分为黄色（Ⅲ级）预警、橙色（Ⅱ级）预警、红色（Ⅰ级）预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87" w:name="_Toc25200"/>
      <w:bookmarkStart w:id="88" w:name="_Toc3027"/>
      <w:bookmarkStart w:id="89" w:name="_Toc12414"/>
      <w:bookmarkStart w:id="90" w:name="_Toc9340"/>
      <w:bookmarkStart w:id="91" w:name="_Toc12294"/>
      <w:bookmarkStart w:id="92" w:name="_Toc7610"/>
      <w:r>
        <w:rPr>
          <w:rFonts w:hint="eastAsia" w:ascii="Times New Roman" w:hAnsi="Times New Roman" w:eastAsia="楷体_GB2312" w:cs="Times New Roman"/>
          <w:strike w:val="0"/>
          <w:dstrike w:val="0"/>
          <w:snapToGrid/>
          <w:kern w:val="2"/>
          <w:sz w:val="32"/>
          <w:szCs w:val="32"/>
          <w:highlight w:val="none"/>
          <w:lang w:eastAsia="zh-CN"/>
        </w:rPr>
        <w:t>4.2.1预警分级</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黄色（Ⅲ级）预警：预测日AQI&gt;200或日AQI&gt;150持续48小时及以上，且未达到高级别预警条件。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橙色（Ⅱ级）预警：预测日AQI&gt;200持续48小时或日AQI&gt;150持续72小时及以上，且未达到高级别预警条件。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红色（Ⅰ级）预警：预测日AQI&gt;200持续72小时且日AQI&gt;300持续24小时及以上。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bookmarkStart w:id="93" w:name="_Toc10333"/>
      <w:bookmarkStart w:id="94" w:name="_Toc13890"/>
      <w:bookmarkStart w:id="95" w:name="_Toc29415"/>
      <w:bookmarkStart w:id="96" w:name="_Toc7267"/>
      <w:bookmarkStart w:id="97" w:name="_Toc28412"/>
      <w:r>
        <w:rPr>
          <w:rFonts w:hint="eastAsia" w:ascii="Times New Roman" w:hAnsi="Times New Roman" w:eastAsia="仿宋_GB2312" w:cs="Times New Roman"/>
          <w:strike w:val="0"/>
          <w:dstrike w:val="0"/>
          <w:snapToGrid/>
          <w:color w:val="auto"/>
          <w:kern w:val="2"/>
          <w:sz w:val="32"/>
          <w:szCs w:val="32"/>
          <w:highlight w:val="none"/>
          <w:lang w:eastAsia="zh-CN"/>
        </w:rPr>
        <w:t>坚持预防为主的原则，根据</w:t>
      </w:r>
      <w:r>
        <w:rPr>
          <w:rFonts w:hint="default" w:ascii="Times New Roman" w:hAnsi="Times New Roman" w:eastAsia="仿宋_GB2312" w:cs="Times New Roman"/>
          <w:strike w:val="0"/>
          <w:dstrike w:val="0"/>
          <w:snapToGrid/>
          <w:color w:val="auto"/>
          <w:kern w:val="2"/>
          <w:sz w:val="32"/>
          <w:szCs w:val="32"/>
          <w:highlight w:val="none"/>
          <w:lang w:val="en-US" w:eastAsia="zh-CN"/>
        </w:rPr>
        <w:t>市指挥中心</w:t>
      </w:r>
      <w:r>
        <w:rPr>
          <w:rFonts w:hint="eastAsia" w:ascii="Times New Roman" w:hAnsi="Times New Roman" w:eastAsia="仿宋_GB2312" w:cs="Times New Roman"/>
          <w:strike w:val="0"/>
          <w:dstrike w:val="0"/>
          <w:snapToGrid/>
          <w:color w:val="auto"/>
          <w:kern w:val="2"/>
          <w:sz w:val="32"/>
          <w:szCs w:val="32"/>
          <w:highlight w:val="none"/>
          <w:lang w:eastAsia="zh-CN"/>
        </w:rPr>
        <w:t>预警通报的空气质量情况，当预测未来24小时出现PM</w:t>
      </w:r>
      <w:r>
        <w:rPr>
          <w:rFonts w:hint="eastAsia" w:ascii="Times New Roman" w:hAnsi="Times New Roman" w:eastAsia="仿宋_GB2312" w:cs="Times New Roman"/>
          <w:strike w:val="0"/>
          <w:dstrike w:val="0"/>
          <w:snapToGrid/>
          <w:color w:val="auto"/>
          <w:kern w:val="2"/>
          <w:sz w:val="32"/>
          <w:szCs w:val="32"/>
          <w:highlight w:val="none"/>
          <w:vertAlign w:val="subscript"/>
          <w:lang w:eastAsia="zh-CN"/>
        </w:rPr>
        <w:t>10</w:t>
      </w:r>
      <w:r>
        <w:rPr>
          <w:rFonts w:hint="eastAsia" w:ascii="Times New Roman" w:hAnsi="Times New Roman" w:eastAsia="仿宋_GB2312" w:cs="Times New Roman"/>
          <w:strike w:val="0"/>
          <w:dstrike w:val="0"/>
          <w:snapToGrid/>
          <w:color w:val="auto"/>
          <w:kern w:val="2"/>
          <w:sz w:val="32"/>
          <w:szCs w:val="32"/>
          <w:highlight w:val="none"/>
          <w:lang w:eastAsia="zh-CN"/>
        </w:rPr>
        <w:t>均值浓度&gt;150μg/m³（微克/立方米）、PM</w:t>
      </w:r>
      <w:r>
        <w:rPr>
          <w:rFonts w:hint="eastAsia" w:ascii="Times New Roman" w:hAnsi="Times New Roman" w:eastAsia="仿宋_GB2312" w:cs="Times New Roman"/>
          <w:strike w:val="0"/>
          <w:dstrike w:val="0"/>
          <w:snapToGrid/>
          <w:color w:val="auto"/>
          <w:kern w:val="2"/>
          <w:sz w:val="32"/>
          <w:szCs w:val="32"/>
          <w:highlight w:val="none"/>
          <w:vertAlign w:val="subscript"/>
          <w:lang w:eastAsia="zh-CN"/>
        </w:rPr>
        <w:t>2.5</w:t>
      </w:r>
      <w:r>
        <w:rPr>
          <w:rFonts w:hint="eastAsia" w:ascii="Times New Roman" w:hAnsi="Times New Roman" w:eastAsia="仿宋_GB2312" w:cs="Times New Roman"/>
          <w:strike w:val="0"/>
          <w:dstrike w:val="0"/>
          <w:snapToGrid/>
          <w:color w:val="auto"/>
          <w:kern w:val="2"/>
          <w:sz w:val="32"/>
          <w:szCs w:val="32"/>
          <w:highlight w:val="none"/>
          <w:lang w:eastAsia="zh-CN"/>
        </w:rPr>
        <w:t>均值浓度&gt;75μg/m³或臭氧（O</w:t>
      </w:r>
      <w:r>
        <w:rPr>
          <w:rFonts w:hint="eastAsia" w:ascii="Times New Roman" w:hAnsi="Times New Roman" w:eastAsia="仿宋_GB2312" w:cs="Times New Roman"/>
          <w:strike w:val="0"/>
          <w:dstrike w:val="0"/>
          <w:snapToGrid/>
          <w:color w:val="auto"/>
          <w:kern w:val="2"/>
          <w:sz w:val="32"/>
          <w:szCs w:val="32"/>
          <w:highlight w:val="none"/>
          <w:vertAlign w:val="subscript"/>
          <w:lang w:eastAsia="zh-CN"/>
        </w:rPr>
        <w:t>3</w:t>
      </w:r>
      <w:r>
        <w:rPr>
          <w:rFonts w:hint="eastAsia" w:ascii="Times New Roman" w:hAnsi="Times New Roman" w:eastAsia="仿宋_GB2312" w:cs="Times New Roman"/>
          <w:strike w:val="0"/>
          <w:dstrike w:val="0"/>
          <w:snapToGrid/>
          <w:color w:val="auto"/>
          <w:kern w:val="2"/>
          <w:sz w:val="32"/>
          <w:szCs w:val="32"/>
          <w:highlight w:val="none"/>
          <w:lang w:eastAsia="zh-CN"/>
        </w:rPr>
        <w:t>）8小时滑动平均浓度&gt;160μg/m³，且尚未达到黄色预警条件时，应加强公众健康防护信息提示，结合实际情况加强预防。</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根据接收到</w:t>
      </w:r>
      <w:r>
        <w:rPr>
          <w:rFonts w:hint="default" w:ascii="Times New Roman" w:hAnsi="Times New Roman" w:eastAsia="仿宋_GB2312" w:cs="Times New Roman"/>
          <w:strike w:val="0"/>
          <w:dstrike w:val="0"/>
          <w:snapToGrid/>
          <w:color w:val="auto"/>
          <w:kern w:val="2"/>
          <w:sz w:val="32"/>
          <w:szCs w:val="32"/>
          <w:highlight w:val="none"/>
          <w:lang w:val="en-US" w:eastAsia="zh-CN"/>
        </w:rPr>
        <w:t>市指挥中心</w:t>
      </w:r>
      <w:r>
        <w:rPr>
          <w:rFonts w:hint="eastAsia" w:ascii="Times New Roman" w:hAnsi="Times New Roman" w:eastAsia="仿宋_GB2312" w:cs="Times New Roman"/>
          <w:strike w:val="0"/>
          <w:dstrike w:val="0"/>
          <w:snapToGrid/>
          <w:color w:val="auto"/>
          <w:kern w:val="2"/>
          <w:sz w:val="32"/>
          <w:szCs w:val="32"/>
          <w:highlight w:val="none"/>
          <w:lang w:eastAsia="zh-CN"/>
        </w:rPr>
        <w:t>发布的预警指令确定预警级别。当监测AQI&gt;150，且预测未来24小时内空气质量不会有明显改善时，应当根据实际污染情况尽早启动或调整相应级别的预警。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98" w:name="_Toc20083"/>
      <w:r>
        <w:rPr>
          <w:rFonts w:hint="eastAsia" w:ascii="Times New Roman" w:hAnsi="Times New Roman" w:eastAsia="楷体_GB2312" w:cs="Times New Roman"/>
          <w:strike w:val="0"/>
          <w:dstrike w:val="0"/>
          <w:snapToGrid/>
          <w:kern w:val="2"/>
          <w:sz w:val="32"/>
          <w:szCs w:val="32"/>
          <w:highlight w:val="none"/>
          <w:lang w:eastAsia="zh-CN"/>
        </w:rPr>
        <w:t>4.2.2区域联动预警</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kern w:val="2"/>
          <w:sz w:val="32"/>
          <w:szCs w:val="32"/>
          <w:highlight w:val="none"/>
          <w:lang w:val="en-US" w:eastAsia="zh-CN"/>
        </w:rPr>
      </w:pPr>
      <w:bookmarkStart w:id="99" w:name="_Toc25893"/>
      <w:bookmarkStart w:id="100" w:name="_Toc4067"/>
      <w:bookmarkStart w:id="101" w:name="_Toc19231"/>
      <w:bookmarkStart w:id="102" w:name="_Toc12742"/>
      <w:bookmarkStart w:id="103" w:name="_Toc25178"/>
      <w:r>
        <w:rPr>
          <w:rFonts w:hint="default" w:ascii="Times New Roman" w:hAnsi="Times New Roman" w:eastAsia="仿宋_GB2312" w:cs="Times New Roman"/>
          <w:strike w:val="0"/>
          <w:dstrike w:val="0"/>
          <w:snapToGrid/>
          <w:kern w:val="2"/>
          <w:sz w:val="32"/>
          <w:szCs w:val="32"/>
          <w:highlight w:val="none"/>
          <w:lang w:eastAsia="zh-CN"/>
        </w:rPr>
        <w:t>当接收到</w:t>
      </w:r>
      <w:r>
        <w:rPr>
          <w:rFonts w:hint="eastAsia" w:ascii="Times New Roman" w:hAnsi="Times New Roman" w:eastAsia="仿宋_GB2312" w:cs="Times New Roman"/>
          <w:strike w:val="0"/>
          <w:dstrike w:val="0"/>
          <w:snapToGrid/>
          <w:kern w:val="2"/>
          <w:sz w:val="32"/>
          <w:szCs w:val="32"/>
          <w:highlight w:val="none"/>
          <w:lang w:val="en-US" w:eastAsia="zh-CN"/>
        </w:rPr>
        <w:t>株洲</w:t>
      </w:r>
      <w:r>
        <w:rPr>
          <w:rFonts w:hint="default" w:ascii="Times New Roman" w:hAnsi="Times New Roman" w:eastAsia="仿宋_GB2312" w:cs="Times New Roman"/>
          <w:strike w:val="0"/>
          <w:dstrike w:val="0"/>
          <w:snapToGrid/>
          <w:kern w:val="2"/>
          <w:sz w:val="32"/>
          <w:szCs w:val="32"/>
          <w:highlight w:val="none"/>
          <w:lang w:eastAsia="zh-CN"/>
        </w:rPr>
        <w:t>市</w:t>
      </w:r>
      <w:r>
        <w:rPr>
          <w:rFonts w:hint="eastAsia" w:ascii="Times New Roman" w:hAnsi="Times New Roman" w:eastAsia="仿宋_GB2312" w:cs="Times New Roman"/>
          <w:strike w:val="0"/>
          <w:dstrike w:val="0"/>
          <w:snapToGrid/>
          <w:kern w:val="2"/>
          <w:sz w:val="32"/>
          <w:szCs w:val="32"/>
          <w:highlight w:val="none"/>
          <w:lang w:val="en-US" w:eastAsia="zh-CN"/>
        </w:rPr>
        <w:t>重污染天气应急响应要求</w:t>
      </w:r>
      <w:r>
        <w:rPr>
          <w:rFonts w:hint="default" w:ascii="Times New Roman" w:hAnsi="Times New Roman" w:eastAsia="仿宋_GB2312" w:cs="Times New Roman"/>
          <w:strike w:val="0"/>
          <w:dstrike w:val="0"/>
          <w:snapToGrid/>
          <w:kern w:val="2"/>
          <w:sz w:val="32"/>
          <w:szCs w:val="32"/>
          <w:highlight w:val="none"/>
          <w:lang w:eastAsia="zh-CN"/>
        </w:rPr>
        <w:t>时，</w:t>
      </w:r>
      <w:r>
        <w:rPr>
          <w:rFonts w:hint="eastAsia" w:ascii="Times New Roman" w:hAnsi="Times New Roman" w:eastAsia="仿宋_GB2312" w:cs="Times New Roman"/>
          <w:strike w:val="0"/>
          <w:dstrike w:val="0"/>
          <w:snapToGrid/>
          <w:kern w:val="2"/>
          <w:sz w:val="32"/>
          <w:szCs w:val="32"/>
          <w:highlight w:val="none"/>
          <w:lang w:val="en-US" w:eastAsia="zh-CN"/>
        </w:rPr>
        <w:t>根据株洲市相关部门</w:t>
      </w:r>
      <w:r>
        <w:rPr>
          <w:rFonts w:hint="default" w:ascii="Times New Roman" w:hAnsi="Times New Roman" w:eastAsia="仿宋_GB2312" w:cs="Times New Roman"/>
          <w:strike w:val="0"/>
          <w:dstrike w:val="0"/>
          <w:snapToGrid/>
          <w:kern w:val="2"/>
          <w:sz w:val="32"/>
          <w:szCs w:val="32"/>
          <w:highlight w:val="none"/>
          <w:lang w:eastAsia="zh-CN"/>
        </w:rPr>
        <w:t>预警提示信息和</w:t>
      </w:r>
      <w:r>
        <w:rPr>
          <w:rFonts w:hint="eastAsia" w:ascii="Times New Roman" w:hAnsi="Times New Roman" w:eastAsia="仿宋_GB2312" w:cs="Times New Roman"/>
          <w:strike w:val="0"/>
          <w:dstrike w:val="0"/>
          <w:snapToGrid/>
          <w:kern w:val="2"/>
          <w:sz w:val="32"/>
          <w:szCs w:val="32"/>
          <w:highlight w:val="none"/>
          <w:lang w:val="en-US" w:eastAsia="zh-CN"/>
        </w:rPr>
        <w:t>相关指示要求</w:t>
      </w:r>
      <w:r>
        <w:rPr>
          <w:rFonts w:hint="default" w:ascii="Times New Roman" w:hAnsi="Times New Roman" w:eastAsia="仿宋_GB2312" w:cs="Times New Roman"/>
          <w:strike w:val="0"/>
          <w:dstrike w:val="0"/>
          <w:snapToGrid/>
          <w:kern w:val="2"/>
          <w:sz w:val="32"/>
          <w:szCs w:val="32"/>
          <w:highlight w:val="none"/>
          <w:lang w:eastAsia="zh-CN"/>
        </w:rPr>
        <w:t>，</w:t>
      </w:r>
      <w:r>
        <w:rPr>
          <w:rFonts w:hint="eastAsia" w:ascii="Times New Roman" w:hAnsi="Times New Roman" w:eastAsia="仿宋_GB2312" w:cs="Times New Roman"/>
          <w:strike w:val="0"/>
          <w:dstrike w:val="0"/>
          <w:snapToGrid/>
          <w:kern w:val="2"/>
          <w:sz w:val="32"/>
          <w:szCs w:val="32"/>
          <w:highlight w:val="none"/>
          <w:lang w:val="en-US" w:eastAsia="zh-CN"/>
        </w:rPr>
        <w:t>及时组织开展区域联动，发布预警，启动重污染天气应急响应。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trike w:val="0"/>
          <w:dstrike w:val="0"/>
          <w:snapToGrid/>
          <w:kern w:val="2"/>
          <w:sz w:val="32"/>
          <w:szCs w:val="32"/>
          <w:highlight w:val="none"/>
          <w:lang w:val="en-US" w:eastAsia="zh-CN"/>
        </w:rPr>
      </w:pPr>
      <w:r>
        <w:rPr>
          <w:rFonts w:hint="eastAsia" w:ascii="Times New Roman" w:hAnsi="Times New Roman" w:eastAsia="仿宋_GB2312" w:cs="Times New Roman"/>
          <w:strike w:val="0"/>
          <w:dstrike w:val="0"/>
          <w:snapToGrid/>
          <w:kern w:val="2"/>
          <w:sz w:val="32"/>
          <w:szCs w:val="32"/>
          <w:highlight w:val="none"/>
          <w:lang w:val="en-US" w:eastAsia="zh-CN"/>
        </w:rPr>
        <w:t>重大活动期间，根据环境空气质量改善要求，采取应急响应措施。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4.3预警会商</w:t>
      </w:r>
      <w:bookmarkEnd w:id="99"/>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会同区相关部门开展重污染天气预警会商工作。预测未来可能出现重污染天气时，应当及时发起会商。未发布预警信息、重污染天气已经出现时，要实时会商。区域联动预警和区级预警响应期间应增加会商频次，必要时请区指挥中心指挥长、副指挥长和有关成员单位负责人、专家组参与会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104" w:name="bookmark37"/>
      <w:bookmarkEnd w:id="104"/>
      <w:bookmarkStart w:id="105" w:name="bookmark38"/>
      <w:bookmarkEnd w:id="105"/>
      <w:bookmarkStart w:id="106" w:name="_Toc15635"/>
      <w:bookmarkStart w:id="107" w:name="_Toc30930"/>
      <w:bookmarkStart w:id="108" w:name="_Toc4110"/>
      <w:bookmarkStart w:id="109" w:name="_Toc5223"/>
      <w:bookmarkStart w:id="110" w:name="_Toc14776"/>
      <w:r>
        <w:rPr>
          <w:rFonts w:hint="eastAsia" w:ascii="Times New Roman" w:hAnsi="Times New Roman" w:eastAsia="楷体_GB2312" w:cs="Times New Roman"/>
          <w:strike w:val="0"/>
          <w:dstrike w:val="0"/>
          <w:snapToGrid/>
          <w:kern w:val="2"/>
          <w:sz w:val="32"/>
          <w:szCs w:val="32"/>
          <w:highlight w:val="none"/>
          <w:lang w:eastAsia="zh-CN"/>
        </w:rPr>
        <w:t>4.4预警发布</w:t>
      </w:r>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trike w:val="0"/>
          <w:dstrike w:val="0"/>
          <w:snapToGrid/>
          <w:color w:val="auto"/>
          <w:kern w:val="2"/>
          <w:sz w:val="32"/>
          <w:szCs w:val="32"/>
          <w:highlight w:val="none"/>
          <w:lang w:val="en-US" w:eastAsia="zh-CN"/>
        </w:rPr>
      </w:pPr>
      <w:bookmarkStart w:id="111" w:name="bookmark39"/>
      <w:bookmarkEnd w:id="111"/>
      <w:bookmarkStart w:id="112" w:name="bookmark40"/>
      <w:bookmarkEnd w:id="112"/>
      <w:bookmarkStart w:id="113" w:name="_Toc31279"/>
      <w:bookmarkStart w:id="114" w:name="_Toc30187"/>
      <w:bookmarkStart w:id="115" w:name="_Toc30682"/>
      <w:bookmarkStart w:id="116" w:name="_Toc5001"/>
      <w:bookmarkStart w:id="117" w:name="_Toc8139"/>
      <w:r>
        <w:rPr>
          <w:rFonts w:hint="default" w:ascii="Times New Roman" w:hAnsi="Times New Roman" w:eastAsia="仿宋_GB2312" w:cs="Times New Roman"/>
          <w:strike w:val="0"/>
          <w:dstrike w:val="0"/>
          <w:snapToGrid/>
          <w:color w:val="auto"/>
          <w:kern w:val="2"/>
          <w:sz w:val="32"/>
          <w:szCs w:val="32"/>
          <w:highlight w:val="none"/>
          <w:lang w:eastAsia="zh-CN"/>
        </w:rPr>
        <w:t>区</w:t>
      </w:r>
      <w:r>
        <w:rPr>
          <w:rFonts w:hint="eastAsia" w:ascii="Times New Roman" w:hAnsi="Times New Roman" w:eastAsia="仿宋_GB2312" w:cs="Times New Roman"/>
          <w:strike w:val="0"/>
          <w:dstrike w:val="0"/>
          <w:snapToGrid/>
          <w:color w:val="auto"/>
          <w:kern w:val="2"/>
          <w:sz w:val="32"/>
          <w:szCs w:val="32"/>
          <w:highlight w:val="none"/>
          <w:lang w:val="en-US" w:eastAsia="zh-CN"/>
        </w:rPr>
        <w:t>指挥中心</w:t>
      </w:r>
      <w:r>
        <w:rPr>
          <w:rFonts w:hint="default" w:ascii="Times New Roman" w:hAnsi="Times New Roman" w:eastAsia="仿宋_GB2312" w:cs="Times New Roman"/>
          <w:strike w:val="0"/>
          <w:dstrike w:val="0"/>
          <w:snapToGrid/>
          <w:color w:val="auto"/>
          <w:kern w:val="2"/>
          <w:sz w:val="32"/>
          <w:szCs w:val="32"/>
          <w:highlight w:val="none"/>
          <w:lang w:val="en-US" w:eastAsia="zh-CN"/>
        </w:rPr>
        <w:t>根据市指挥中心</w:t>
      </w:r>
      <w:r>
        <w:rPr>
          <w:rFonts w:hint="default" w:ascii="Times New Roman" w:hAnsi="Times New Roman" w:eastAsia="仿宋_GB2312" w:cs="Times New Roman"/>
          <w:strike w:val="0"/>
          <w:dstrike w:val="0"/>
          <w:snapToGrid/>
          <w:color w:val="auto"/>
          <w:kern w:val="2"/>
          <w:sz w:val="32"/>
          <w:szCs w:val="32"/>
          <w:highlight w:val="none"/>
          <w:lang w:eastAsia="zh-CN"/>
        </w:rPr>
        <w:t>预警</w:t>
      </w:r>
      <w:r>
        <w:rPr>
          <w:rFonts w:hint="default" w:ascii="Times New Roman" w:hAnsi="Times New Roman" w:eastAsia="仿宋_GB2312" w:cs="Times New Roman"/>
          <w:strike w:val="0"/>
          <w:dstrike w:val="0"/>
          <w:snapToGrid/>
          <w:color w:val="auto"/>
          <w:kern w:val="2"/>
          <w:sz w:val="32"/>
          <w:szCs w:val="32"/>
          <w:highlight w:val="none"/>
          <w:lang w:val="en-US" w:eastAsia="zh-CN"/>
        </w:rPr>
        <w:t>指令及时发布重污染天气预警信息</w:t>
      </w:r>
      <w:r>
        <w:rPr>
          <w:rFonts w:hint="default" w:ascii="Times New Roman" w:hAnsi="Times New Roman" w:eastAsia="仿宋_GB2312" w:cs="Times New Roman"/>
          <w:strike w:val="0"/>
          <w:dstrike w:val="0"/>
          <w:snapToGrid/>
          <w:color w:val="auto"/>
          <w:kern w:val="2"/>
          <w:sz w:val="32"/>
          <w:szCs w:val="32"/>
          <w:highlight w:val="none"/>
          <w:lang w:eastAsia="zh-CN"/>
        </w:rPr>
        <w:t>。预警信息须明确预警级别、启动时间、应急响应区域范围和响应措施等内容。</w:t>
      </w:r>
      <w:r>
        <w:rPr>
          <w:rFonts w:hint="default" w:ascii="Times New Roman" w:hAnsi="Times New Roman" w:eastAsia="仿宋_GB2312" w:cs="Times New Roman"/>
          <w:strike w:val="0"/>
          <w:dstrike w:val="0"/>
          <w:snapToGrid/>
          <w:color w:val="auto"/>
          <w:kern w:val="2"/>
          <w:sz w:val="32"/>
          <w:szCs w:val="32"/>
          <w:highlight w:val="none"/>
          <w:lang w:val="en-US" w:eastAsia="zh-CN"/>
        </w:rPr>
        <w:t>黄色预警由区</w:t>
      </w:r>
      <w:r>
        <w:rPr>
          <w:rFonts w:hint="eastAsia" w:ascii="Times New Roman" w:hAnsi="Times New Roman" w:eastAsia="仿宋_GB2312" w:cs="Times New Roman"/>
          <w:strike w:val="0"/>
          <w:dstrike w:val="0"/>
          <w:snapToGrid/>
          <w:color w:val="auto"/>
          <w:kern w:val="2"/>
          <w:sz w:val="32"/>
          <w:szCs w:val="32"/>
          <w:highlight w:val="none"/>
          <w:lang w:val="en-US" w:eastAsia="zh-CN"/>
        </w:rPr>
        <w:t>指挥中心</w:t>
      </w:r>
      <w:r>
        <w:rPr>
          <w:rFonts w:hint="default" w:ascii="Times New Roman" w:hAnsi="Times New Roman" w:eastAsia="仿宋_GB2312" w:cs="Times New Roman"/>
          <w:strike w:val="0"/>
          <w:dstrike w:val="0"/>
          <w:snapToGrid/>
          <w:color w:val="auto"/>
          <w:kern w:val="2"/>
          <w:sz w:val="32"/>
          <w:szCs w:val="32"/>
          <w:highlight w:val="none"/>
          <w:lang w:val="en-US" w:eastAsia="zh-CN"/>
        </w:rPr>
        <w:t>副指挥长批准后发布，橙色、红色预警由区</w:t>
      </w:r>
      <w:r>
        <w:rPr>
          <w:rFonts w:hint="eastAsia" w:ascii="Times New Roman" w:hAnsi="Times New Roman" w:eastAsia="仿宋_GB2312" w:cs="Times New Roman"/>
          <w:strike w:val="0"/>
          <w:dstrike w:val="0"/>
          <w:snapToGrid/>
          <w:color w:val="auto"/>
          <w:kern w:val="2"/>
          <w:sz w:val="32"/>
          <w:szCs w:val="32"/>
          <w:highlight w:val="none"/>
          <w:lang w:val="en-US" w:eastAsia="zh-CN"/>
        </w:rPr>
        <w:t>指挥中心</w:t>
      </w:r>
      <w:r>
        <w:rPr>
          <w:rFonts w:hint="default" w:ascii="Times New Roman" w:hAnsi="Times New Roman" w:eastAsia="仿宋_GB2312" w:cs="Times New Roman"/>
          <w:strike w:val="0"/>
          <w:dstrike w:val="0"/>
          <w:snapToGrid/>
          <w:color w:val="auto"/>
          <w:kern w:val="2"/>
          <w:sz w:val="32"/>
          <w:szCs w:val="32"/>
          <w:highlight w:val="none"/>
          <w:lang w:val="en-US" w:eastAsia="zh-CN"/>
        </w:rPr>
        <w:t>指挥长批准发布。预警发布后由区</w:t>
      </w:r>
      <w:r>
        <w:rPr>
          <w:rFonts w:hint="eastAsia" w:ascii="Times New Roman" w:hAnsi="Times New Roman" w:eastAsia="仿宋_GB2312" w:cs="Times New Roman"/>
          <w:strike w:val="0"/>
          <w:dstrike w:val="0"/>
          <w:snapToGrid/>
          <w:color w:val="auto"/>
          <w:kern w:val="2"/>
          <w:sz w:val="32"/>
          <w:szCs w:val="32"/>
          <w:highlight w:val="none"/>
          <w:lang w:val="en-US" w:eastAsia="zh-CN"/>
        </w:rPr>
        <w:t>指挥中心</w:t>
      </w:r>
      <w:r>
        <w:rPr>
          <w:rFonts w:hint="default" w:ascii="Times New Roman" w:hAnsi="Times New Roman" w:eastAsia="仿宋_GB2312" w:cs="Times New Roman"/>
          <w:strike w:val="0"/>
          <w:dstrike w:val="0"/>
          <w:snapToGrid/>
          <w:color w:val="auto"/>
          <w:kern w:val="2"/>
          <w:sz w:val="32"/>
          <w:szCs w:val="32"/>
          <w:highlight w:val="none"/>
          <w:lang w:val="en-US" w:eastAsia="zh-CN"/>
        </w:rPr>
        <w:t>办公室通过电子公文、传真、邮件等方式向区政府总值班室、区</w:t>
      </w:r>
      <w:r>
        <w:rPr>
          <w:rFonts w:hint="eastAsia" w:ascii="Times New Roman" w:hAnsi="Times New Roman" w:eastAsia="仿宋_GB2312" w:cs="Times New Roman"/>
          <w:strike w:val="0"/>
          <w:dstrike w:val="0"/>
          <w:snapToGrid/>
          <w:color w:val="auto"/>
          <w:kern w:val="2"/>
          <w:sz w:val="32"/>
          <w:szCs w:val="32"/>
          <w:highlight w:val="none"/>
          <w:lang w:val="en-US" w:eastAsia="zh-CN"/>
        </w:rPr>
        <w:t>指挥中心</w:t>
      </w:r>
      <w:r>
        <w:rPr>
          <w:rFonts w:hint="default" w:ascii="Times New Roman" w:hAnsi="Times New Roman" w:eastAsia="仿宋_GB2312" w:cs="Times New Roman"/>
          <w:strike w:val="0"/>
          <w:dstrike w:val="0"/>
          <w:snapToGrid/>
          <w:color w:val="auto"/>
          <w:kern w:val="2"/>
          <w:sz w:val="32"/>
          <w:szCs w:val="32"/>
          <w:highlight w:val="none"/>
          <w:lang w:val="en-US" w:eastAsia="zh-CN"/>
        </w:rPr>
        <w:t>各成员单位发布预警信息；同时，通过政府网站、电视等新闻媒介发布重污染天气预警信息。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4.5预警变更</w:t>
      </w:r>
      <w:bookmarkEnd w:id="113"/>
      <w:bookmarkEnd w:id="114"/>
      <w:bookmarkEnd w:id="115"/>
      <w:bookmarkEnd w:id="116"/>
      <w:bookmarkEnd w:id="117"/>
      <w:r>
        <w:rPr>
          <w:rFonts w:hint="eastAsia" w:ascii="Times New Roman" w:hAnsi="Times New Roman" w:eastAsia="楷体_GB2312" w:cs="Times New Roman"/>
          <w:strike w:val="0"/>
          <w:dstrike w:val="0"/>
          <w:snapToGrid/>
          <w:kern w:val="2"/>
          <w:sz w:val="32"/>
          <w:szCs w:val="32"/>
          <w:highlight w:val="none"/>
          <w:lang w:eastAsia="zh-CN"/>
        </w:rPr>
        <w:t>、解除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trike w:val="0"/>
          <w:dstrike w:val="0"/>
          <w:snapToGrid/>
          <w:color w:val="auto"/>
          <w:kern w:val="2"/>
          <w:sz w:val="32"/>
          <w:szCs w:val="32"/>
          <w:highlight w:val="none"/>
          <w:lang w:val="en-US" w:eastAsia="zh-CN"/>
        </w:rPr>
      </w:pPr>
      <w:bookmarkStart w:id="118" w:name="_Toc29850"/>
      <w:bookmarkStart w:id="119" w:name="_Toc15540"/>
      <w:bookmarkStart w:id="120" w:name="_Toc25235"/>
      <w:bookmarkStart w:id="121" w:name="_Toc6445"/>
      <w:bookmarkStart w:id="122" w:name="_Toc18112"/>
      <w:r>
        <w:rPr>
          <w:rFonts w:hint="eastAsia" w:ascii="Times New Roman" w:hAnsi="Times New Roman" w:eastAsia="仿宋_GB2312" w:cs="Times New Roman"/>
          <w:strike w:val="0"/>
          <w:dstrike w:val="0"/>
          <w:snapToGrid/>
          <w:color w:val="auto"/>
          <w:kern w:val="2"/>
          <w:sz w:val="32"/>
          <w:szCs w:val="32"/>
          <w:highlight w:val="none"/>
          <w:lang w:val="en-US" w:eastAsia="zh-CN"/>
        </w:rPr>
        <w:t>区指挥中心接收市指挥中心预警调整解除指令，根据市指挥中心指令发布预警调整、解除信息。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黑体" w:hAnsi="黑体" w:eastAsia="黑体" w:cs="黑体"/>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5</w:t>
      </w:r>
      <w:r>
        <w:rPr>
          <w:rFonts w:hint="eastAsia" w:ascii="黑体" w:hAnsi="黑体" w:eastAsia="黑体" w:cs="黑体"/>
          <w:strike w:val="0"/>
          <w:dstrike w:val="0"/>
          <w:snapToGrid/>
          <w:kern w:val="2"/>
          <w:sz w:val="32"/>
          <w:szCs w:val="32"/>
          <w:highlight w:val="none"/>
          <w:lang w:eastAsia="zh-CN"/>
        </w:rPr>
        <w:t>应急响应和措施</w:t>
      </w:r>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123" w:name="_Toc30728"/>
      <w:bookmarkStart w:id="124" w:name="_Toc25482"/>
      <w:bookmarkStart w:id="125" w:name="_Toc19271"/>
      <w:bookmarkStart w:id="126" w:name="_Toc25625"/>
      <w:bookmarkStart w:id="127" w:name="_Toc6644"/>
      <w:r>
        <w:rPr>
          <w:rFonts w:hint="eastAsia" w:ascii="Times New Roman" w:hAnsi="Times New Roman" w:eastAsia="楷体_GB2312" w:cs="Times New Roman"/>
          <w:strike w:val="0"/>
          <w:dstrike w:val="0"/>
          <w:snapToGrid/>
          <w:kern w:val="2"/>
          <w:sz w:val="32"/>
          <w:szCs w:val="32"/>
          <w:highlight w:val="none"/>
          <w:lang w:eastAsia="zh-CN"/>
        </w:rPr>
        <w:t>5.1响应分级及启动</w:t>
      </w:r>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与预警等级相对应，实行3级应急响应。当发布黄色预警时，启动Ⅲ级应急响应；当发布橙色预警时，启动Ⅱ级应急响应；当发布红色预警时，启动Ⅰ级应急响应。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区指挥中心各成员单位按照各自职责，迅速启动相应级别应急响应，落实应急值守制度，做好应急人员、车辆、设备、物资的调度，并采取相应措施。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128" w:name="_Toc13421"/>
      <w:bookmarkStart w:id="129" w:name="_Toc774"/>
      <w:bookmarkStart w:id="130" w:name="_Toc19702"/>
      <w:bookmarkStart w:id="131" w:name="_Toc300"/>
      <w:bookmarkStart w:id="132" w:name="_Toc20282"/>
      <w:r>
        <w:rPr>
          <w:rFonts w:hint="eastAsia" w:ascii="Times New Roman" w:hAnsi="Times New Roman" w:eastAsia="楷体_GB2312" w:cs="Times New Roman"/>
          <w:strike w:val="0"/>
          <w:dstrike w:val="0"/>
          <w:snapToGrid/>
          <w:kern w:val="2"/>
          <w:sz w:val="32"/>
          <w:szCs w:val="32"/>
          <w:highlight w:val="none"/>
          <w:lang w:eastAsia="zh-CN"/>
        </w:rPr>
        <w:t>5.2Ⅲ级响应措施</w:t>
      </w:r>
      <w:bookmarkEnd w:id="128"/>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黄色预警信息发布后，启动Ⅲ级响应措施。根据区重污染天气应急预案采取减排措施，加大对燃煤锅炉、施工场地、机动车排放、工业企业等重点大气污染源的执法检查频次，落实中心城区禁燃等要求，从严查处农作物秸秆及杂物焚烧、露天烧烤、餐饮油烟无组织排放、中心城区燃放烟花爆竹等违规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33" w:name="_Toc26381"/>
      <w:bookmarkStart w:id="134" w:name="_Toc26804"/>
      <w:bookmarkStart w:id="135" w:name="_Toc13951"/>
      <w:bookmarkStart w:id="136" w:name="_Toc19814"/>
      <w:bookmarkStart w:id="137" w:name="_Toc9351"/>
      <w:bookmarkStart w:id="138" w:name="_Toc6167"/>
      <w:r>
        <w:rPr>
          <w:rFonts w:hint="eastAsia" w:ascii="Times New Roman" w:hAnsi="Times New Roman" w:eastAsia="楷体_GB2312" w:cs="Times New Roman"/>
          <w:strike w:val="0"/>
          <w:dstrike w:val="0"/>
          <w:snapToGrid/>
          <w:kern w:val="2"/>
          <w:sz w:val="32"/>
          <w:szCs w:val="32"/>
          <w:highlight w:val="none"/>
          <w:lang w:eastAsia="zh-CN"/>
        </w:rPr>
        <w:t>5.2.1公众健康防护指引</w:t>
      </w:r>
      <w:bookmarkEnd w:id="133"/>
      <w:bookmarkEnd w:id="134"/>
      <w:bookmarkEnd w:id="135"/>
      <w:bookmarkEnd w:id="136"/>
      <w:bookmarkEnd w:id="137"/>
      <w:bookmarkEnd w:id="13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（1）加强对重污染天气应急、健康防护等方面的科普知识宣传。</w:t>
      </w:r>
      <w:r>
        <w:rPr>
          <w:rFonts w:hint="eastAsia" w:ascii="Times New Roman" w:hAnsi="Times New Roman" w:eastAsia="仿宋_GB2312" w:cs="Times New Roman"/>
          <w:strike w:val="0"/>
          <w:dstrike w:val="0"/>
          <w:snapToGrid/>
          <w:color w:val="auto"/>
          <w:kern w:val="2"/>
          <w:sz w:val="32"/>
          <w:szCs w:val="32"/>
          <w:highlight w:val="none"/>
          <w:lang w:val="en-US" w:eastAsia="zh-CN"/>
        </w:rPr>
        <w:t>建议</w:t>
      </w:r>
      <w:r>
        <w:rPr>
          <w:rFonts w:hint="eastAsia" w:ascii="Times New Roman" w:hAnsi="Times New Roman" w:eastAsia="仿宋_GB2312" w:cs="Times New Roman"/>
          <w:strike w:val="0"/>
          <w:dstrike w:val="0"/>
          <w:snapToGrid/>
          <w:color w:val="auto"/>
          <w:kern w:val="2"/>
          <w:sz w:val="32"/>
          <w:szCs w:val="32"/>
          <w:highlight w:val="none"/>
          <w:lang w:eastAsia="zh-CN"/>
        </w:rPr>
        <w:t>儿童、孕妇、老年人和呼吸道、心脑血管疾病患者等易感人群尽量留在室内，避免户外活动，并组织医疗卫生机构做好呼吸道疾病治疗准备工作。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（2）协调政府网站、电视台、新闻媒体发布卫健、教育等部门报送的预防告知信息，并做好新闻报道工作。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w:t>
      </w:r>
      <w:r>
        <w:rPr>
          <w:rFonts w:hint="eastAsia" w:ascii="Times New Roman" w:hAnsi="Times New Roman" w:eastAsia="仿宋_GB2312" w:cs="Times New Roman"/>
          <w:strike w:val="0"/>
          <w:dstrike w:val="0"/>
          <w:snapToGrid/>
          <w:color w:val="auto"/>
          <w:kern w:val="2"/>
          <w:sz w:val="32"/>
          <w:szCs w:val="32"/>
          <w:highlight w:val="none"/>
          <w:lang w:val="en-US" w:eastAsia="zh-CN"/>
        </w:rPr>
        <w:t>建议学校及教育机构</w:t>
      </w:r>
      <w:r>
        <w:rPr>
          <w:rFonts w:hint="eastAsia" w:ascii="Times New Roman" w:hAnsi="Times New Roman" w:eastAsia="仿宋_GB2312" w:cs="Times New Roman"/>
          <w:strike w:val="0"/>
          <w:dstrike w:val="0"/>
          <w:snapToGrid/>
          <w:color w:val="auto"/>
          <w:kern w:val="2"/>
          <w:sz w:val="32"/>
          <w:szCs w:val="32"/>
          <w:highlight w:val="none"/>
          <w:lang w:eastAsia="zh-CN"/>
        </w:rPr>
        <w:t>减少户外体育课、课间操、运动会等活动频次措施。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39" w:name="_Toc9526"/>
      <w:bookmarkStart w:id="140" w:name="_Toc30556"/>
      <w:bookmarkStart w:id="141" w:name="_Toc1261"/>
      <w:bookmarkStart w:id="142" w:name="_Toc19540"/>
      <w:bookmarkStart w:id="143" w:name="_Toc28743"/>
      <w:bookmarkStart w:id="144" w:name="_Toc23902"/>
      <w:r>
        <w:rPr>
          <w:rFonts w:hint="eastAsia" w:ascii="Times New Roman" w:hAnsi="Times New Roman" w:eastAsia="楷体_GB2312" w:cs="Times New Roman"/>
          <w:strike w:val="0"/>
          <w:dstrike w:val="0"/>
          <w:snapToGrid/>
          <w:kern w:val="2"/>
          <w:sz w:val="32"/>
          <w:szCs w:val="32"/>
          <w:highlight w:val="none"/>
          <w:lang w:eastAsia="zh-CN"/>
        </w:rPr>
        <w:t>5.2.2建议性减排措施</w:t>
      </w:r>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w:t>
      </w:r>
      <w:r>
        <w:rPr>
          <w:rFonts w:hint="eastAsia" w:ascii="Times New Roman" w:hAnsi="Times New Roman" w:eastAsia="仿宋_GB2312" w:cs="Times New Roman"/>
          <w:strike w:val="0"/>
          <w:dstrike w:val="0"/>
          <w:snapToGrid/>
          <w:color w:val="auto"/>
          <w:kern w:val="2"/>
          <w:sz w:val="32"/>
          <w:szCs w:val="32"/>
          <w:highlight w:val="none"/>
          <w:lang w:val="en-US" w:eastAsia="zh-CN"/>
        </w:rPr>
        <w:t>倡导</w:t>
      </w:r>
      <w:r>
        <w:rPr>
          <w:rFonts w:hint="eastAsia" w:ascii="Times New Roman" w:hAnsi="Times New Roman" w:eastAsia="仿宋_GB2312" w:cs="Times New Roman"/>
          <w:strike w:val="0"/>
          <w:dstrike w:val="0"/>
          <w:snapToGrid/>
          <w:color w:val="auto"/>
          <w:kern w:val="2"/>
          <w:sz w:val="32"/>
          <w:szCs w:val="32"/>
          <w:highlight w:val="none"/>
          <w:lang w:eastAsia="zh-CN"/>
        </w:rPr>
        <w:t>公众尽量乘坐公共交通工具出行，减少机动车上路行驶。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（2）倡导公众绿色生活，节能减排，提倡使用节能产品替代高耗能产品。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（3）倡导公众绿色消费，单位和公众尽量减少涂料、油漆、溶剂等含挥发性有机物的原材料及产品使用。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45" w:name="_Toc19310"/>
      <w:bookmarkStart w:id="146" w:name="_Toc15381"/>
      <w:bookmarkStart w:id="147" w:name="_Toc25140"/>
      <w:bookmarkStart w:id="148" w:name="_Toc13601"/>
      <w:bookmarkStart w:id="149" w:name="_Toc22871"/>
      <w:bookmarkStart w:id="150" w:name="_Toc19964"/>
      <w:r>
        <w:rPr>
          <w:rFonts w:hint="eastAsia" w:ascii="Times New Roman" w:hAnsi="Times New Roman" w:eastAsia="楷体_GB2312" w:cs="Times New Roman"/>
          <w:strike w:val="0"/>
          <w:dstrike w:val="0"/>
          <w:snapToGrid/>
          <w:kern w:val="2"/>
          <w:sz w:val="32"/>
          <w:szCs w:val="32"/>
          <w:highlight w:val="none"/>
          <w:lang w:eastAsia="zh-CN"/>
        </w:rPr>
        <w:t>5.2.3强制性减排措施</w:t>
      </w:r>
      <w:bookmarkEnd w:id="145"/>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w:t>
      </w:r>
      <w:r>
        <w:rPr>
          <w:rFonts w:hint="eastAsia" w:ascii="Times New Roman" w:hAnsi="Times New Roman" w:eastAsia="仿宋_GB2312" w:cs="Times New Roman"/>
          <w:strike w:val="0"/>
          <w:dstrike w:val="0"/>
          <w:snapToGrid/>
          <w:color w:val="auto"/>
          <w:kern w:val="2"/>
          <w:sz w:val="32"/>
          <w:szCs w:val="32"/>
          <w:highlight w:val="none"/>
          <w:lang w:val="en-US" w:eastAsia="zh-CN"/>
        </w:rPr>
        <w:t>工业源。</w:t>
      </w:r>
      <w:r>
        <w:rPr>
          <w:rFonts w:hint="eastAsia" w:ascii="Times New Roman" w:hAnsi="Times New Roman" w:eastAsia="仿宋_GB2312" w:cs="Times New Roman"/>
          <w:strike w:val="0"/>
          <w:dstrike w:val="0"/>
          <w:snapToGrid/>
          <w:color w:val="auto"/>
          <w:kern w:val="2"/>
          <w:sz w:val="32"/>
          <w:szCs w:val="32"/>
          <w:highlight w:val="none"/>
          <w:lang w:eastAsia="zh-CN"/>
        </w:rPr>
        <w:t>纳入应急减排项目清单的工业企业按照“一厂一策”实施方案要求实施黄色预警下的减排措施，明确具体的停限产生产装置、工艺环节和各类关键性指标，做到企业减排措施“可操作、可监测、可核查”。工业企业减排措施应当以停止排放污染物的生产线或主要产排污环节（设备）为主；对不可临时中断，通过采取提高治污效率、限制生产负荷等措施减排的生产线或生产工序，应当依法安装废气自动监控设施和分布式控制系统，并能够提供1年以上的数据记录，同时应当根据季节特点指导企业预先调整生产计划，确保预警期间能够落实减排措施。避免对非涉气工序、生产设施采取停限产措施，确保应急管控措施精准到位，降低对企业正常生产经营的影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trike w:val="0"/>
          <w:dstrike w:val="0"/>
          <w:snapToGrid/>
          <w:color w:val="auto"/>
          <w:kern w:val="2"/>
          <w:sz w:val="32"/>
          <w:szCs w:val="32"/>
          <w:highlight w:val="none"/>
          <w:lang w:val="en-US"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w:t>
      </w:r>
      <w:r>
        <w:rPr>
          <w:rFonts w:hint="eastAsia" w:ascii="Times New Roman" w:hAnsi="Times New Roman" w:eastAsia="仿宋_GB2312" w:cs="Times New Roman"/>
          <w:strike w:val="0"/>
          <w:dstrike w:val="0"/>
          <w:snapToGrid/>
          <w:color w:val="auto"/>
          <w:kern w:val="2"/>
          <w:sz w:val="32"/>
          <w:szCs w:val="32"/>
          <w:highlight w:val="none"/>
          <w:lang w:val="en-US" w:eastAsia="zh-CN"/>
        </w:rPr>
        <w:t>移动源。</w:t>
      </w:r>
      <w:r>
        <w:rPr>
          <w:rFonts w:hint="eastAsia" w:ascii="Times New Roman" w:hAnsi="Times New Roman" w:eastAsia="仿宋_GB2312" w:cs="Times New Roman"/>
          <w:strike w:val="0"/>
          <w:dstrike w:val="0"/>
          <w:snapToGrid/>
          <w:color w:val="auto"/>
          <w:kern w:val="2"/>
          <w:sz w:val="32"/>
          <w:szCs w:val="32"/>
          <w:highlight w:val="none"/>
          <w:lang w:eastAsia="zh-CN"/>
        </w:rPr>
        <w:t>实施黄色预警下的减排措施。</w:t>
      </w:r>
      <w:r>
        <w:rPr>
          <w:rFonts w:hint="eastAsia" w:ascii="Times New Roman" w:hAnsi="Times New Roman" w:eastAsia="仿宋_GB2312" w:cs="Times New Roman"/>
          <w:strike w:val="0"/>
          <w:dstrike w:val="0"/>
          <w:snapToGrid/>
          <w:color w:val="auto"/>
          <w:kern w:val="2"/>
          <w:sz w:val="32"/>
          <w:szCs w:val="32"/>
          <w:highlight w:val="none"/>
          <w:lang w:val="en-US" w:eastAsia="zh-CN"/>
        </w:rPr>
        <w:t>城区重型载货汽车（柴油）限制通行。</w:t>
      </w:r>
      <w:r>
        <w:rPr>
          <w:rFonts w:hint="default" w:ascii="Times New Roman" w:hAnsi="Times New Roman" w:eastAsia="仿宋_GB2312" w:cs="Times New Roman"/>
          <w:strike w:val="0"/>
          <w:dstrike w:val="0"/>
          <w:snapToGrid/>
          <w:color w:val="auto"/>
          <w:kern w:val="2"/>
          <w:sz w:val="32"/>
          <w:szCs w:val="32"/>
          <w:highlight w:val="none"/>
          <w:lang w:val="en-US" w:eastAsia="zh-CN"/>
        </w:rPr>
        <w:t>除应急抢险、民生保障工程外，未安装密闭装置易产生遗撒的运输车辆禁止上路行驶。涉大宗物料运输单位应制定详细交通运输源头管控方案并配备有关硬件监管设施。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val="en-US" w:eastAsia="zh-CN"/>
        </w:rPr>
      </w:pPr>
      <w:r>
        <w:rPr>
          <w:rFonts w:hint="eastAsia" w:ascii="Times New Roman" w:hAnsi="Times New Roman" w:eastAsia="仿宋_GB2312" w:cs="Times New Roman"/>
          <w:strike w:val="0"/>
          <w:dstrike w:val="0"/>
          <w:snapToGrid/>
          <w:color w:val="auto"/>
          <w:kern w:val="2"/>
          <w:sz w:val="32"/>
          <w:szCs w:val="32"/>
          <w:highlight w:val="none"/>
          <w:lang w:val="en-US" w:eastAsia="zh-CN"/>
        </w:rPr>
        <w:t xml:space="preserve">（3）扬尘源。施工工地等按扬尘源应急减排项目清单要求实施黄色预警下的减排措施，防止扬尘大气污染；除应急抢险、区重点工程、特殊工艺外，施工工地应当停止土石方作业、建筑拆除、喷涂粉刷、护坡喷浆、混凝土搅拌、渣土运输等施工作业。主干道和易产生扬尘路段增加机扫和洒水等保洁频次。城区重点道路每日洒水降尘频次不少于4次。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val="en-US" w:eastAsia="zh-CN"/>
        </w:rPr>
      </w:pPr>
      <w:r>
        <w:rPr>
          <w:rFonts w:hint="eastAsia" w:ascii="Times New Roman" w:hAnsi="Times New Roman" w:eastAsia="仿宋_GB2312" w:cs="Times New Roman"/>
          <w:strike w:val="0"/>
          <w:dstrike w:val="0"/>
          <w:snapToGrid/>
          <w:color w:val="auto"/>
          <w:kern w:val="2"/>
          <w:sz w:val="32"/>
          <w:szCs w:val="32"/>
          <w:highlight w:val="none"/>
          <w:lang w:val="en-US" w:eastAsia="zh-CN"/>
        </w:rPr>
        <w:t>（4）其他减排措施。重污染天气应急期间严格禁止农作物秸秆及杂物露天焚烧，加大餐饮油烟处理设施正常运行监管力度和频次，禁止露天燃烧，禁止燃放烟花爆竹。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5.2.</w:t>
      </w:r>
      <w:r>
        <w:rPr>
          <w:rFonts w:hint="eastAsia" w:ascii="Times New Roman" w:hAnsi="Times New Roman" w:eastAsia="楷体_GB2312" w:cs="Times New Roman"/>
          <w:strike w:val="0"/>
          <w:dstrike w:val="0"/>
          <w:snapToGrid/>
          <w:kern w:val="2"/>
          <w:sz w:val="32"/>
          <w:szCs w:val="32"/>
          <w:highlight w:val="none"/>
          <w:lang w:val="en-US" w:eastAsia="zh-CN"/>
        </w:rPr>
        <w:t>4监督管理</w:t>
      </w:r>
      <w:r>
        <w:rPr>
          <w:rFonts w:hint="eastAsia" w:ascii="Times New Roman" w:hAnsi="Times New Roman" w:eastAsia="楷体_GB2312" w:cs="Times New Roman"/>
          <w:strike w:val="0"/>
          <w:dstrike w:val="0"/>
          <w:snapToGrid/>
          <w:kern w:val="2"/>
          <w:sz w:val="32"/>
          <w:szCs w:val="32"/>
          <w:highlight w:val="none"/>
          <w:lang w:eastAsia="zh-CN"/>
        </w:rPr>
        <w:t>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trike w:val="0"/>
          <w:dstrike w:val="0"/>
          <w:snapToGrid/>
          <w:color w:val="auto"/>
          <w:kern w:val="2"/>
          <w:sz w:val="32"/>
          <w:szCs w:val="32"/>
          <w:highlight w:val="none"/>
          <w:lang w:val="en-US" w:eastAsia="zh-CN"/>
        </w:rPr>
      </w:pPr>
      <w:r>
        <w:rPr>
          <w:rFonts w:hint="eastAsia" w:ascii="仿宋_GB2312" w:hAnsi="仿宋_GB2312" w:eastAsia="仿宋_GB2312" w:cs="仿宋_GB2312"/>
          <w:b w:val="0"/>
          <w:bCs/>
          <w:strike w:val="0"/>
          <w:dstrike w:val="0"/>
          <w:color w:val="auto"/>
          <w:sz w:val="32"/>
          <w:szCs w:val="32"/>
          <w:highlight w:val="none"/>
        </w:rPr>
        <w:t>生态环境部门增加工业大气污染源</w:t>
      </w:r>
      <w:r>
        <w:rPr>
          <w:rFonts w:hint="eastAsia" w:ascii="仿宋_GB2312" w:hAnsi="仿宋_GB2312" w:eastAsia="仿宋_GB2312" w:cs="仿宋_GB2312"/>
          <w:b w:val="0"/>
          <w:bCs/>
          <w:strike w:val="0"/>
          <w:dstrike w:val="0"/>
          <w:color w:val="auto"/>
          <w:sz w:val="32"/>
          <w:szCs w:val="32"/>
          <w:highlight w:val="none"/>
          <w:lang w:eastAsia="zh-CN"/>
        </w:rPr>
        <w:t>、</w:t>
      </w:r>
      <w:r>
        <w:rPr>
          <w:rFonts w:hint="eastAsia" w:ascii="仿宋_GB2312" w:hAnsi="仿宋_GB2312" w:eastAsia="仿宋_GB2312" w:cs="仿宋_GB2312"/>
          <w:b w:val="0"/>
          <w:bCs/>
          <w:strike w:val="0"/>
          <w:dstrike w:val="0"/>
          <w:color w:val="auto"/>
          <w:sz w:val="32"/>
          <w:szCs w:val="32"/>
          <w:highlight w:val="none"/>
        </w:rPr>
        <w:t>非道路移动机械源的检查频次，确保大气污染物处理设施正常运行</w:t>
      </w:r>
      <w:r>
        <w:rPr>
          <w:rFonts w:hint="eastAsia" w:ascii="仿宋_GB2312" w:hAnsi="仿宋_GB2312" w:eastAsia="仿宋_GB2312" w:cs="仿宋_GB2312"/>
          <w:b w:val="0"/>
          <w:bCs/>
          <w:strike w:val="0"/>
          <w:dstrike w:val="0"/>
          <w:color w:val="auto"/>
          <w:sz w:val="32"/>
          <w:szCs w:val="32"/>
          <w:highlight w:val="none"/>
          <w:lang w:eastAsia="zh-CN"/>
        </w:rPr>
        <w:t>；</w:t>
      </w:r>
      <w:r>
        <w:rPr>
          <w:rFonts w:hint="eastAsia" w:ascii="仿宋_GB2312" w:hAnsi="仿宋_GB2312" w:eastAsia="仿宋_GB2312" w:cs="仿宋_GB2312"/>
          <w:b w:val="0"/>
          <w:bCs/>
          <w:strike w:val="0"/>
          <w:dstrike w:val="0"/>
          <w:color w:val="auto"/>
          <w:sz w:val="32"/>
          <w:szCs w:val="32"/>
          <w:highlight w:val="none"/>
          <w:lang w:val="en-US" w:eastAsia="zh-CN"/>
        </w:rPr>
        <w:t>其他应急指挥中心成员单位根据职责分工增加检查频次。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151" w:name="_Toc27483"/>
      <w:bookmarkStart w:id="152" w:name="_Toc20981"/>
      <w:bookmarkStart w:id="153" w:name="_Toc9281"/>
      <w:bookmarkStart w:id="154" w:name="_Toc20839"/>
      <w:bookmarkStart w:id="155" w:name="_Toc22608"/>
      <w:r>
        <w:rPr>
          <w:rFonts w:hint="eastAsia" w:ascii="Times New Roman" w:hAnsi="Times New Roman" w:eastAsia="楷体_GB2312" w:cs="Times New Roman"/>
          <w:strike w:val="0"/>
          <w:dstrike w:val="0"/>
          <w:snapToGrid/>
          <w:kern w:val="2"/>
          <w:sz w:val="32"/>
          <w:szCs w:val="32"/>
          <w:highlight w:val="none"/>
          <w:lang w:eastAsia="zh-CN"/>
        </w:rPr>
        <w:t>5.3Ⅱ级响应措施</w:t>
      </w:r>
      <w:bookmarkEnd w:id="151"/>
      <w:bookmarkEnd w:id="152"/>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区指挥中心办公室督促指导各</w:t>
      </w:r>
      <w:r>
        <w:rPr>
          <w:rFonts w:hint="eastAsia" w:ascii="Times New Roman" w:hAnsi="Times New Roman" w:eastAsia="仿宋_GB2312" w:cs="Times New Roman"/>
          <w:strike w:val="0"/>
          <w:dstrike w:val="0"/>
          <w:snapToGrid/>
          <w:color w:val="auto"/>
          <w:kern w:val="2"/>
          <w:sz w:val="32"/>
          <w:szCs w:val="32"/>
          <w:highlight w:val="none"/>
          <w:lang w:val="en-US" w:eastAsia="zh-CN"/>
        </w:rPr>
        <w:t>镇人民政府</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街道办事处</w:t>
      </w:r>
      <w:r>
        <w:rPr>
          <w:rFonts w:hint="eastAsia" w:ascii="Times New Roman" w:hAnsi="Times New Roman" w:eastAsia="仿宋_GB2312" w:cs="Times New Roman"/>
          <w:strike w:val="0"/>
          <w:dstrike w:val="0"/>
          <w:snapToGrid/>
          <w:color w:val="auto"/>
          <w:kern w:val="2"/>
          <w:sz w:val="32"/>
          <w:szCs w:val="32"/>
          <w:highlight w:val="none"/>
          <w:lang w:eastAsia="zh-CN"/>
        </w:rPr>
        <w:t>）落实各项应急响应措施。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区指挥中心办公室根据实际情况组织评估重污染天气应急减排措施的效果，及时补充完善应对措施。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橙色预警信息发布后，在落实Ⅲ级响应措施的基础上启动Ⅱ级响应措施。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56" w:name="_Toc27797"/>
      <w:bookmarkStart w:id="157" w:name="_Toc13117"/>
      <w:bookmarkStart w:id="158" w:name="_Toc23652"/>
      <w:bookmarkStart w:id="159" w:name="_Toc22410"/>
      <w:bookmarkStart w:id="160" w:name="_Toc24154"/>
      <w:bookmarkStart w:id="161" w:name="_Toc2568"/>
      <w:r>
        <w:rPr>
          <w:rFonts w:hint="eastAsia" w:ascii="Times New Roman" w:hAnsi="Times New Roman" w:eastAsia="楷体_GB2312" w:cs="Times New Roman"/>
          <w:strike w:val="0"/>
          <w:dstrike w:val="0"/>
          <w:snapToGrid/>
          <w:kern w:val="2"/>
          <w:sz w:val="32"/>
          <w:szCs w:val="32"/>
          <w:highlight w:val="none"/>
          <w:lang w:eastAsia="zh-CN"/>
        </w:rPr>
        <w:t>5.3.1公众健康防护指引</w:t>
      </w:r>
      <w:bookmarkEnd w:id="156"/>
      <w:bookmarkEnd w:id="157"/>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编制提醒居民避免户外运动、室外作业和儿童、孕妇、老年人等易感人群停止户外活动的公众健康和疾病预防告知信息报宣传部门；组织医疗卫生机构开展重污染天气导致的呼吸道病预防、控制与治疗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w:t>
      </w:r>
      <w:r>
        <w:rPr>
          <w:rFonts w:hint="eastAsia" w:ascii="Times New Roman" w:hAnsi="Times New Roman" w:eastAsia="仿宋_GB2312" w:cs="Times New Roman"/>
          <w:strike w:val="0"/>
          <w:dstrike w:val="0"/>
          <w:snapToGrid/>
          <w:color w:val="auto"/>
          <w:kern w:val="2"/>
          <w:sz w:val="32"/>
          <w:szCs w:val="32"/>
          <w:highlight w:val="none"/>
          <w:lang w:val="en-US" w:eastAsia="zh-CN"/>
        </w:rPr>
        <w:t>建议学校和教育机构</w:t>
      </w:r>
      <w:r>
        <w:rPr>
          <w:rFonts w:hint="eastAsia" w:ascii="Times New Roman" w:hAnsi="Times New Roman" w:eastAsia="仿宋_GB2312" w:cs="Times New Roman"/>
          <w:strike w:val="0"/>
          <w:dstrike w:val="0"/>
          <w:snapToGrid/>
          <w:color w:val="auto"/>
          <w:kern w:val="2"/>
          <w:sz w:val="32"/>
          <w:szCs w:val="32"/>
          <w:highlight w:val="none"/>
          <w:lang w:eastAsia="zh-CN"/>
        </w:rPr>
        <w:t>停止室外活动、采取弹性教学措施。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62" w:name="_Toc10237"/>
      <w:bookmarkStart w:id="163" w:name="_Toc24859"/>
      <w:bookmarkStart w:id="164" w:name="_Toc18167"/>
      <w:bookmarkStart w:id="165" w:name="_Toc30383"/>
      <w:bookmarkStart w:id="166" w:name="_Toc10159"/>
      <w:bookmarkStart w:id="167" w:name="_Toc31586"/>
      <w:r>
        <w:rPr>
          <w:rFonts w:hint="eastAsia" w:ascii="Times New Roman" w:hAnsi="Times New Roman" w:eastAsia="楷体_GB2312" w:cs="Times New Roman"/>
          <w:strike w:val="0"/>
          <w:dstrike w:val="0"/>
          <w:snapToGrid/>
          <w:kern w:val="2"/>
          <w:sz w:val="32"/>
          <w:szCs w:val="32"/>
          <w:highlight w:val="none"/>
          <w:lang w:eastAsia="zh-CN"/>
        </w:rPr>
        <w:t>5.3.2建议性减排措施</w:t>
      </w:r>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在Ⅲ级建议性减排措施基础上，进一步加强建议性污染减排措施宣传力度，提升公众绿色生活、绿色出行、绿色消费意识。区交通部门配合市相关单位加大公共交通运力保障，合理增加城市主干道的公共交通工具的营运频次和营运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68" w:name="_Toc27975"/>
      <w:bookmarkStart w:id="169" w:name="_Toc27365"/>
      <w:bookmarkStart w:id="170" w:name="_Toc18512"/>
      <w:bookmarkStart w:id="171" w:name="_Toc8662"/>
      <w:bookmarkStart w:id="172" w:name="_Toc31378"/>
      <w:bookmarkStart w:id="173" w:name="_Toc8420"/>
      <w:r>
        <w:rPr>
          <w:rFonts w:hint="eastAsia" w:ascii="Times New Roman" w:hAnsi="Times New Roman" w:eastAsia="楷体_GB2312" w:cs="Times New Roman"/>
          <w:strike w:val="0"/>
          <w:dstrike w:val="0"/>
          <w:snapToGrid/>
          <w:kern w:val="2"/>
          <w:sz w:val="32"/>
          <w:szCs w:val="32"/>
          <w:highlight w:val="none"/>
          <w:lang w:eastAsia="zh-CN"/>
        </w:rPr>
        <w:t>5.3.3强制性减排措施</w:t>
      </w:r>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w:t>
      </w:r>
      <w:r>
        <w:rPr>
          <w:rFonts w:hint="eastAsia" w:ascii="Times New Roman" w:hAnsi="Times New Roman" w:eastAsia="仿宋_GB2312" w:cs="Times New Roman"/>
          <w:strike w:val="0"/>
          <w:dstrike w:val="0"/>
          <w:snapToGrid/>
          <w:color w:val="auto"/>
          <w:kern w:val="2"/>
          <w:sz w:val="32"/>
          <w:szCs w:val="32"/>
          <w:highlight w:val="none"/>
          <w:lang w:val="en-US" w:eastAsia="zh-CN"/>
        </w:rPr>
        <w:t>工业源。</w:t>
      </w:r>
      <w:r>
        <w:rPr>
          <w:rFonts w:hint="eastAsia" w:ascii="Times New Roman" w:hAnsi="Times New Roman" w:eastAsia="仿宋_GB2312" w:cs="Times New Roman"/>
          <w:strike w:val="0"/>
          <w:dstrike w:val="0"/>
          <w:snapToGrid/>
          <w:color w:val="auto"/>
          <w:kern w:val="2"/>
          <w:sz w:val="32"/>
          <w:szCs w:val="32"/>
          <w:highlight w:val="none"/>
          <w:lang w:eastAsia="zh-CN"/>
        </w:rPr>
        <w:t>纳入应急减排项目清单的工业企业按照“一厂一策”要求实施橙色预警下的减排措施。全区二氧化硫、氮氧化物、颗粒物、挥发性有机物排放量减排20%以上。工业企业停止使用国Ⅱ及以下非道路移动机械。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w:t>
      </w:r>
      <w:r>
        <w:rPr>
          <w:rFonts w:hint="eastAsia" w:ascii="Times New Roman" w:hAnsi="Times New Roman" w:eastAsia="仿宋_GB2312" w:cs="Times New Roman"/>
          <w:strike w:val="0"/>
          <w:dstrike w:val="0"/>
          <w:snapToGrid/>
          <w:color w:val="auto"/>
          <w:kern w:val="2"/>
          <w:sz w:val="32"/>
          <w:szCs w:val="32"/>
          <w:highlight w:val="none"/>
          <w:lang w:val="en-US" w:eastAsia="zh-CN"/>
        </w:rPr>
        <w:t>移动源。</w:t>
      </w:r>
      <w:r>
        <w:rPr>
          <w:rFonts w:hint="eastAsia" w:ascii="Times New Roman" w:hAnsi="Times New Roman" w:eastAsia="仿宋_GB2312" w:cs="Times New Roman"/>
          <w:strike w:val="0"/>
          <w:dstrike w:val="0"/>
          <w:snapToGrid/>
          <w:color w:val="auto"/>
          <w:kern w:val="2"/>
          <w:sz w:val="32"/>
          <w:szCs w:val="32"/>
          <w:highlight w:val="none"/>
          <w:lang w:eastAsia="zh-CN"/>
        </w:rPr>
        <w:t>机动车和非道路移动机械按移动源应急减排项目清单要求实施橙色预警下的减排措施，每日7:00至22:00禁止重、中型载货汽车（柴油）、挂车、专项作业车等在城区西环路、</w:t>
      </w:r>
      <w:r>
        <w:rPr>
          <w:rFonts w:hint="eastAsia" w:ascii="Times New Roman" w:hAnsi="Times New Roman" w:eastAsia="仿宋_GB2312" w:cs="Times New Roman"/>
          <w:strike w:val="0"/>
          <w:dstrike w:val="0"/>
          <w:snapToGrid/>
          <w:color w:val="auto"/>
          <w:kern w:val="2"/>
          <w:sz w:val="32"/>
          <w:szCs w:val="32"/>
          <w:highlight w:val="none"/>
          <w:lang w:val="en-US" w:eastAsia="zh-CN"/>
        </w:rPr>
        <w:t>滨江北路、滨江南路、</w:t>
      </w:r>
      <w:r>
        <w:rPr>
          <w:rFonts w:hint="eastAsia" w:ascii="Times New Roman" w:hAnsi="Times New Roman" w:eastAsia="仿宋_GB2312" w:cs="Times New Roman"/>
          <w:strike w:val="0"/>
          <w:dstrike w:val="0"/>
          <w:snapToGrid/>
          <w:color w:val="auto"/>
          <w:kern w:val="2"/>
          <w:sz w:val="32"/>
          <w:szCs w:val="32"/>
          <w:highlight w:val="none"/>
          <w:lang w:eastAsia="zh-CN"/>
        </w:rPr>
        <w:t>建宁大桥、</w:t>
      </w:r>
      <w:r>
        <w:rPr>
          <w:rFonts w:hint="eastAsia" w:ascii="Times New Roman" w:hAnsi="Times New Roman" w:eastAsia="仿宋_GB2312" w:cs="Times New Roman"/>
          <w:strike w:val="0"/>
          <w:dstrike w:val="0"/>
          <w:snapToGrid/>
          <w:color w:val="auto"/>
          <w:kern w:val="2"/>
          <w:sz w:val="32"/>
          <w:szCs w:val="32"/>
          <w:highlight w:val="none"/>
          <w:lang w:val="en-US" w:eastAsia="zh-CN"/>
        </w:rPr>
        <w:t>炎帝大道合围</w:t>
      </w:r>
      <w:r>
        <w:rPr>
          <w:rFonts w:hint="eastAsia" w:ascii="Times New Roman" w:hAnsi="Times New Roman" w:eastAsia="仿宋_GB2312" w:cs="Times New Roman"/>
          <w:strike w:val="0"/>
          <w:dstrike w:val="0"/>
          <w:snapToGrid/>
          <w:color w:val="auto"/>
          <w:kern w:val="2"/>
          <w:sz w:val="32"/>
          <w:szCs w:val="32"/>
          <w:highlight w:val="none"/>
          <w:lang w:eastAsia="zh-CN"/>
        </w:rPr>
        <w:t>区域内道路（不含边界道路）通行。施工工地、工业企业厂区和工业园区内应停止使用国二及以下非道路移动机械（清洁能源和紧急检修作业机械除外），港口、物流（除民生保障类）等涉及大宗原料和产品运输（日常车辆进出量超过10辆次）的单位应停止使用国四及以下重型载货汽车（含燃气）进行运输（特种车辆、危化品车辆等除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val="en-US"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w:t>
      </w:r>
      <w:r>
        <w:rPr>
          <w:rFonts w:hint="eastAsia" w:ascii="Times New Roman" w:hAnsi="Times New Roman" w:eastAsia="仿宋_GB2312" w:cs="Times New Roman"/>
          <w:strike w:val="0"/>
          <w:dstrike w:val="0"/>
          <w:snapToGrid/>
          <w:color w:val="auto"/>
          <w:kern w:val="2"/>
          <w:sz w:val="32"/>
          <w:szCs w:val="32"/>
          <w:highlight w:val="none"/>
          <w:lang w:val="en-US" w:eastAsia="zh-CN"/>
        </w:rPr>
        <w:t>扬尘源。</w:t>
      </w:r>
      <w:r>
        <w:rPr>
          <w:rFonts w:hint="eastAsia" w:ascii="Times New Roman" w:hAnsi="Times New Roman" w:eastAsia="仿宋_GB2312" w:cs="Times New Roman"/>
          <w:strike w:val="0"/>
          <w:dstrike w:val="0"/>
          <w:snapToGrid/>
          <w:color w:val="auto"/>
          <w:kern w:val="2"/>
          <w:sz w:val="32"/>
          <w:szCs w:val="32"/>
          <w:highlight w:val="none"/>
          <w:lang w:eastAsia="zh-CN"/>
        </w:rPr>
        <w:t>施工工地等按扬尘源应急减排项目清单要求实施橙色预警下的减排措施，防止扬尘大气污染。城区重点道路</w:t>
      </w:r>
      <w:r>
        <w:rPr>
          <w:rFonts w:hint="eastAsia" w:ascii="Times New Roman" w:hAnsi="Times New Roman" w:eastAsia="仿宋_GB2312" w:cs="Times New Roman"/>
          <w:strike w:val="0"/>
          <w:dstrike w:val="0"/>
          <w:snapToGrid/>
          <w:color w:val="auto"/>
          <w:kern w:val="2"/>
          <w:sz w:val="32"/>
          <w:szCs w:val="32"/>
          <w:highlight w:val="none"/>
          <w:lang w:val="en-US" w:eastAsia="zh-CN"/>
        </w:rPr>
        <w:t>每日洒水降尘频次不少于5次。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val="en-US" w:eastAsia="zh-CN"/>
        </w:rPr>
        <w:t>5.3.4</w:t>
      </w:r>
      <w:r>
        <w:rPr>
          <w:rFonts w:hint="eastAsia" w:ascii="Times New Roman" w:hAnsi="Times New Roman" w:eastAsia="楷体_GB2312" w:cs="Times New Roman"/>
          <w:strike w:val="0"/>
          <w:dstrike w:val="0"/>
          <w:snapToGrid/>
          <w:kern w:val="2"/>
          <w:sz w:val="32"/>
          <w:szCs w:val="32"/>
          <w:highlight w:val="none"/>
          <w:lang w:val="en-US" w:eastAsia="zh-CN"/>
        </w:rPr>
        <w:t>监督管理</w:t>
      </w:r>
      <w:r>
        <w:rPr>
          <w:rFonts w:hint="eastAsia" w:ascii="Times New Roman" w:hAnsi="Times New Roman" w:eastAsia="楷体_GB2312" w:cs="Times New Roman"/>
          <w:strike w:val="0"/>
          <w:dstrike w:val="0"/>
          <w:snapToGrid/>
          <w:kern w:val="2"/>
          <w:sz w:val="32"/>
          <w:szCs w:val="32"/>
          <w:highlight w:val="none"/>
          <w:lang w:eastAsia="zh-CN"/>
        </w:rPr>
        <w:t>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trike w:val="0"/>
          <w:dstrike w:val="0"/>
          <w:snapToGrid/>
          <w:color w:val="auto"/>
          <w:kern w:val="2"/>
          <w:sz w:val="32"/>
          <w:szCs w:val="32"/>
          <w:highlight w:val="none"/>
          <w:lang w:val="en-US" w:eastAsia="zh-CN"/>
        </w:rPr>
      </w:pPr>
      <w:r>
        <w:rPr>
          <w:rFonts w:hint="default" w:ascii="Times New Roman" w:hAnsi="Times New Roman" w:eastAsia="仿宋_GB2312" w:cs="Times New Roman"/>
          <w:strike w:val="0"/>
          <w:dstrike w:val="0"/>
          <w:snapToGrid/>
          <w:color w:val="auto"/>
          <w:kern w:val="2"/>
          <w:sz w:val="32"/>
          <w:szCs w:val="32"/>
          <w:highlight w:val="none"/>
          <w:lang w:eastAsia="zh-CN"/>
        </w:rPr>
        <w:t>在Ⅲ级响应措施的基础上，增加如下措施：生态环境、交警部门联合检查使用国Ⅳ及以下重型载货汽车运输情况；</w:t>
      </w:r>
      <w:r>
        <w:rPr>
          <w:rFonts w:hint="eastAsia" w:ascii="Times New Roman" w:hAnsi="Times New Roman" w:eastAsia="仿宋_GB2312" w:cs="Times New Roman"/>
          <w:strike w:val="0"/>
          <w:dstrike w:val="0"/>
          <w:snapToGrid/>
          <w:color w:val="auto"/>
          <w:kern w:val="2"/>
          <w:sz w:val="32"/>
          <w:szCs w:val="32"/>
          <w:highlight w:val="none"/>
          <w:lang w:val="en-US" w:eastAsia="zh-CN"/>
        </w:rPr>
        <w:t>区指挥中心办公室</w:t>
      </w:r>
      <w:r>
        <w:rPr>
          <w:rFonts w:hint="default" w:ascii="Times New Roman" w:hAnsi="Times New Roman" w:eastAsia="仿宋_GB2312" w:cs="Times New Roman"/>
          <w:strike w:val="0"/>
          <w:dstrike w:val="0"/>
          <w:snapToGrid/>
          <w:color w:val="auto"/>
          <w:kern w:val="2"/>
          <w:sz w:val="32"/>
          <w:szCs w:val="32"/>
          <w:highlight w:val="none"/>
          <w:lang w:eastAsia="zh-CN"/>
        </w:rPr>
        <w:t>督促指导</w:t>
      </w:r>
      <w:r>
        <w:rPr>
          <w:rFonts w:hint="eastAsia" w:ascii="Times New Roman" w:hAnsi="Times New Roman" w:eastAsia="仿宋_GB2312" w:cs="Times New Roman"/>
          <w:strike w:val="0"/>
          <w:dstrike w:val="0"/>
          <w:snapToGrid/>
          <w:color w:val="auto"/>
          <w:kern w:val="2"/>
          <w:sz w:val="32"/>
          <w:szCs w:val="32"/>
          <w:highlight w:val="none"/>
          <w:lang w:eastAsia="zh-CN"/>
        </w:rPr>
        <w:t>各镇（街道）</w:t>
      </w:r>
      <w:r>
        <w:rPr>
          <w:rFonts w:hint="default" w:ascii="Times New Roman" w:hAnsi="Times New Roman" w:eastAsia="仿宋_GB2312" w:cs="Times New Roman"/>
          <w:strike w:val="0"/>
          <w:dstrike w:val="0"/>
          <w:snapToGrid/>
          <w:color w:val="auto"/>
          <w:kern w:val="2"/>
          <w:sz w:val="32"/>
          <w:szCs w:val="32"/>
          <w:highlight w:val="none"/>
          <w:lang w:eastAsia="zh-CN"/>
        </w:rPr>
        <w:t>重污染天气应急响应措施；根据应急响应实际情况，组织评估重污染天气应急减排措施效果，及时补充完善应对措施。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楷体_GB2312" w:cs="Times New Roman"/>
          <w:strike w:val="0"/>
          <w:dstrike w:val="0"/>
          <w:snapToGrid/>
          <w:kern w:val="2"/>
          <w:sz w:val="32"/>
          <w:szCs w:val="32"/>
          <w:highlight w:val="none"/>
          <w:lang w:eastAsia="zh-CN"/>
        </w:rPr>
      </w:pPr>
      <w:bookmarkStart w:id="174" w:name="bookmark52"/>
      <w:bookmarkEnd w:id="174"/>
      <w:bookmarkStart w:id="175" w:name="bookmark51"/>
      <w:bookmarkEnd w:id="175"/>
      <w:bookmarkStart w:id="176" w:name="_Toc29704"/>
      <w:bookmarkStart w:id="177" w:name="_Toc22679"/>
      <w:bookmarkStart w:id="178" w:name="_Toc20615"/>
      <w:bookmarkStart w:id="179" w:name="_Toc10946"/>
      <w:bookmarkStart w:id="180" w:name="_Toc32224"/>
      <w:r>
        <w:rPr>
          <w:rFonts w:hint="eastAsia" w:ascii="Times New Roman" w:hAnsi="Times New Roman" w:eastAsia="楷体_GB2312" w:cs="Times New Roman"/>
          <w:strike w:val="0"/>
          <w:dstrike w:val="0"/>
          <w:snapToGrid/>
          <w:kern w:val="2"/>
          <w:sz w:val="32"/>
          <w:szCs w:val="32"/>
          <w:highlight w:val="none"/>
          <w:lang w:eastAsia="zh-CN"/>
        </w:rPr>
        <w:t>5.4Ⅰ级响应措施</w:t>
      </w:r>
      <w:bookmarkEnd w:id="176"/>
      <w:bookmarkEnd w:id="177"/>
      <w:bookmarkEnd w:id="178"/>
      <w:bookmarkEnd w:id="179"/>
      <w:bookmarkEnd w:id="18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区指挥中心督促指导各</w:t>
      </w:r>
      <w:r>
        <w:rPr>
          <w:rFonts w:hint="eastAsia" w:ascii="Times New Roman" w:hAnsi="Times New Roman" w:eastAsia="仿宋_GB2312" w:cs="Times New Roman"/>
          <w:strike w:val="0"/>
          <w:dstrike w:val="0"/>
          <w:snapToGrid/>
          <w:color w:val="auto"/>
          <w:kern w:val="2"/>
          <w:sz w:val="32"/>
          <w:szCs w:val="32"/>
          <w:highlight w:val="none"/>
          <w:lang w:val="en-US" w:eastAsia="zh-CN"/>
        </w:rPr>
        <w:t>镇</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街道</w:t>
      </w:r>
      <w:r>
        <w:rPr>
          <w:rFonts w:hint="eastAsia" w:ascii="Times New Roman" w:hAnsi="Times New Roman" w:eastAsia="仿宋_GB2312" w:cs="Times New Roman"/>
          <w:strike w:val="0"/>
          <w:dstrike w:val="0"/>
          <w:snapToGrid/>
          <w:color w:val="auto"/>
          <w:kern w:val="2"/>
          <w:sz w:val="32"/>
          <w:szCs w:val="32"/>
          <w:highlight w:val="none"/>
          <w:lang w:eastAsia="zh-CN"/>
        </w:rPr>
        <w:t>）落实各项应急响应措施。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区指挥中心派出现场工作组和技术力量，赴相关</w:t>
      </w:r>
      <w:r>
        <w:rPr>
          <w:rFonts w:hint="eastAsia" w:ascii="Times New Roman" w:hAnsi="Times New Roman" w:eastAsia="仿宋_GB2312" w:cs="Times New Roman"/>
          <w:strike w:val="0"/>
          <w:dstrike w:val="0"/>
          <w:snapToGrid/>
          <w:color w:val="auto"/>
          <w:kern w:val="2"/>
          <w:sz w:val="32"/>
          <w:szCs w:val="32"/>
          <w:highlight w:val="none"/>
          <w:lang w:val="en-US" w:eastAsia="zh-CN"/>
        </w:rPr>
        <w:t>镇</w:t>
      </w: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街道</w:t>
      </w:r>
      <w:r>
        <w:rPr>
          <w:rFonts w:hint="eastAsia" w:ascii="Times New Roman" w:hAnsi="Times New Roman" w:eastAsia="仿宋_GB2312" w:cs="Times New Roman"/>
          <w:strike w:val="0"/>
          <w:dstrike w:val="0"/>
          <w:snapToGrid/>
          <w:color w:val="auto"/>
          <w:kern w:val="2"/>
          <w:sz w:val="32"/>
          <w:szCs w:val="32"/>
          <w:highlight w:val="none"/>
          <w:lang w:eastAsia="zh-CN"/>
        </w:rPr>
        <w:t>）督促指导应急响应工作。必要时，与相邻县级区进行协调沟通，采取相关应急联动措施。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市生态环境局天元分局会同相关部门增加重污染天气应对工作会商频次，必要时请市级专家组参与会商。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区指挥中心根据实际情况组织评估重污染天气应急减排措施的效果，及时补充完善应对措施。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红色预警信息发布后，在落实Ⅱ级响应措施的基础上启动Ⅰ级响应措施。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81" w:name="_Toc13586"/>
      <w:bookmarkStart w:id="182" w:name="_Toc30004"/>
      <w:bookmarkStart w:id="183" w:name="_Toc15269"/>
      <w:bookmarkStart w:id="184" w:name="_Toc2765"/>
      <w:bookmarkStart w:id="185" w:name="_Toc25461"/>
      <w:bookmarkStart w:id="186" w:name="_Toc8557"/>
      <w:r>
        <w:rPr>
          <w:rFonts w:hint="eastAsia" w:ascii="Times New Roman" w:hAnsi="Times New Roman" w:eastAsia="楷体_GB2312" w:cs="Times New Roman"/>
          <w:strike w:val="0"/>
          <w:dstrike w:val="0"/>
          <w:snapToGrid/>
          <w:kern w:val="2"/>
          <w:sz w:val="32"/>
          <w:szCs w:val="32"/>
          <w:highlight w:val="none"/>
          <w:lang w:eastAsia="zh-CN"/>
        </w:rPr>
        <w:t>5.4.1公众健康防护指引</w:t>
      </w:r>
      <w:bookmarkEnd w:id="181"/>
      <w:bookmarkEnd w:id="182"/>
      <w:bookmarkEnd w:id="183"/>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（1）编制提醒室外执勤、作业等人员可采取佩戴口罩等防护措施的公众健康和疾病预防告知信息报宣传部门；停止举办户外大型活动；一般人群避免户外活动，室外作业人员停止或减少室外作业，并加强防护。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w:t>
      </w:r>
      <w:r>
        <w:rPr>
          <w:rFonts w:hint="eastAsia" w:ascii="Times New Roman" w:hAnsi="Times New Roman" w:eastAsia="仿宋_GB2312" w:cs="Times New Roman"/>
          <w:strike w:val="0"/>
          <w:dstrike w:val="0"/>
          <w:snapToGrid/>
          <w:color w:val="auto"/>
          <w:kern w:val="2"/>
          <w:sz w:val="32"/>
          <w:szCs w:val="32"/>
          <w:highlight w:val="none"/>
          <w:lang w:val="en-US" w:eastAsia="zh-CN"/>
        </w:rPr>
        <w:t>建议学校和教育机构根据实际情况采取</w:t>
      </w:r>
      <w:r>
        <w:rPr>
          <w:rFonts w:hint="eastAsia" w:ascii="Times New Roman" w:hAnsi="Times New Roman" w:eastAsia="仿宋_GB2312" w:cs="Times New Roman"/>
          <w:strike w:val="0"/>
          <w:dstrike w:val="0"/>
          <w:snapToGrid/>
          <w:color w:val="auto"/>
          <w:kern w:val="2"/>
          <w:sz w:val="32"/>
          <w:szCs w:val="32"/>
          <w:highlight w:val="none"/>
          <w:lang w:eastAsia="zh-CN"/>
        </w:rPr>
        <w:t>停课措施。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87" w:name="_Toc28891"/>
      <w:bookmarkStart w:id="188" w:name="_Toc27149"/>
      <w:bookmarkStart w:id="189" w:name="_Toc2007"/>
      <w:bookmarkStart w:id="190" w:name="_Toc7476"/>
      <w:bookmarkStart w:id="191" w:name="_Toc20235"/>
      <w:bookmarkStart w:id="192" w:name="_Toc26280"/>
      <w:r>
        <w:rPr>
          <w:rFonts w:hint="eastAsia" w:ascii="Times New Roman" w:hAnsi="Times New Roman" w:eastAsia="楷体_GB2312" w:cs="Times New Roman"/>
          <w:strike w:val="0"/>
          <w:dstrike w:val="0"/>
          <w:snapToGrid/>
          <w:kern w:val="2"/>
          <w:sz w:val="32"/>
          <w:szCs w:val="32"/>
          <w:highlight w:val="none"/>
          <w:lang w:eastAsia="zh-CN"/>
        </w:rPr>
        <w:t>5.4.2建议性减排措施</w:t>
      </w:r>
      <w:bookmarkEnd w:id="187"/>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bookmarkStart w:id="193" w:name="_Hlk175522482"/>
      <w:r>
        <w:rPr>
          <w:rFonts w:hint="eastAsia" w:ascii="Times New Roman" w:hAnsi="Times New Roman" w:eastAsia="仿宋_GB2312" w:cs="Times New Roman"/>
          <w:strike w:val="0"/>
          <w:dstrike w:val="0"/>
          <w:snapToGrid/>
          <w:color w:val="auto"/>
          <w:kern w:val="2"/>
          <w:sz w:val="32"/>
          <w:szCs w:val="32"/>
          <w:highlight w:val="none"/>
          <w:lang w:eastAsia="zh-CN"/>
        </w:rPr>
        <w:t>在Ⅱ级响应措施的基础上，建议企事业等单位根据实际情况，采取调休、错峰上下班、远程办公等弹性工作制。</w:t>
      </w:r>
    </w:p>
    <w:bookmarkEnd w:id="193"/>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bookmarkStart w:id="194" w:name="_Toc1566"/>
      <w:bookmarkStart w:id="195" w:name="_Toc23288"/>
      <w:bookmarkStart w:id="196" w:name="_Toc9647"/>
      <w:bookmarkStart w:id="197" w:name="_Toc20182"/>
      <w:bookmarkStart w:id="198" w:name="_Toc18363"/>
      <w:bookmarkStart w:id="199" w:name="_Toc21683"/>
      <w:r>
        <w:rPr>
          <w:rFonts w:hint="eastAsia" w:ascii="Times New Roman" w:hAnsi="Times New Roman" w:eastAsia="楷体_GB2312" w:cs="Times New Roman"/>
          <w:strike w:val="0"/>
          <w:dstrike w:val="0"/>
          <w:snapToGrid/>
          <w:kern w:val="2"/>
          <w:sz w:val="32"/>
          <w:szCs w:val="32"/>
          <w:highlight w:val="none"/>
          <w:lang w:eastAsia="zh-CN"/>
        </w:rPr>
        <w:t>5.4.3强制性减排措施</w:t>
      </w:r>
      <w:bookmarkEnd w:id="194"/>
      <w:bookmarkEnd w:id="195"/>
      <w:bookmarkEnd w:id="196"/>
      <w:bookmarkEnd w:id="197"/>
      <w:bookmarkEnd w:id="198"/>
      <w:bookmarkEnd w:id="19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（1）</w:t>
      </w:r>
      <w:r>
        <w:rPr>
          <w:rFonts w:hint="eastAsia" w:ascii="Times New Roman" w:hAnsi="Times New Roman" w:eastAsia="仿宋_GB2312" w:cs="Times New Roman"/>
          <w:strike w:val="0"/>
          <w:dstrike w:val="0"/>
          <w:snapToGrid/>
          <w:color w:val="auto"/>
          <w:kern w:val="2"/>
          <w:sz w:val="32"/>
          <w:szCs w:val="32"/>
          <w:highlight w:val="none"/>
          <w:lang w:val="en-US" w:eastAsia="zh-CN"/>
        </w:rPr>
        <w:t>工业源。</w:t>
      </w:r>
      <w:r>
        <w:rPr>
          <w:rFonts w:hint="eastAsia" w:ascii="Times New Roman" w:hAnsi="Times New Roman" w:eastAsia="仿宋_GB2312" w:cs="Times New Roman"/>
          <w:strike w:val="0"/>
          <w:dstrike w:val="0"/>
          <w:snapToGrid/>
          <w:color w:val="auto"/>
          <w:kern w:val="2"/>
          <w:sz w:val="32"/>
          <w:szCs w:val="32"/>
          <w:highlight w:val="none"/>
          <w:lang w:eastAsia="zh-CN"/>
        </w:rPr>
        <w:t>纳入应急减排项目清单的工业企业按照“一厂一策”要求实施红色预警下的减排措施。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w:t>
      </w:r>
      <w:r>
        <w:rPr>
          <w:rFonts w:hint="eastAsia" w:ascii="Times New Roman" w:hAnsi="Times New Roman" w:eastAsia="仿宋_GB2312" w:cs="Times New Roman"/>
          <w:strike w:val="0"/>
          <w:dstrike w:val="0"/>
          <w:snapToGrid/>
          <w:color w:val="auto"/>
          <w:kern w:val="2"/>
          <w:sz w:val="32"/>
          <w:szCs w:val="32"/>
          <w:highlight w:val="none"/>
          <w:lang w:val="en-US" w:eastAsia="zh-CN"/>
        </w:rPr>
        <w:t>移动源。</w:t>
      </w:r>
      <w:r>
        <w:rPr>
          <w:rFonts w:hint="eastAsia" w:ascii="Times New Roman" w:hAnsi="Times New Roman" w:eastAsia="仿宋_GB2312" w:cs="Times New Roman"/>
          <w:strike w:val="0"/>
          <w:dstrike w:val="0"/>
          <w:snapToGrid/>
          <w:color w:val="auto"/>
          <w:kern w:val="2"/>
          <w:sz w:val="32"/>
          <w:szCs w:val="32"/>
          <w:highlight w:val="none"/>
          <w:lang w:eastAsia="zh-CN"/>
        </w:rPr>
        <w:t>机动车和非道路移动机械按移动源应急减排项目清单要求实施红色预警下的减排措施。全天禁止重、中型载货汽车（柴油）、挂车、专项作业车等在城区西环路、</w:t>
      </w:r>
      <w:r>
        <w:rPr>
          <w:rFonts w:hint="eastAsia" w:ascii="Times New Roman" w:hAnsi="Times New Roman" w:eastAsia="仿宋_GB2312" w:cs="Times New Roman"/>
          <w:strike w:val="0"/>
          <w:dstrike w:val="0"/>
          <w:snapToGrid/>
          <w:color w:val="auto"/>
          <w:kern w:val="2"/>
          <w:sz w:val="32"/>
          <w:szCs w:val="32"/>
          <w:highlight w:val="none"/>
          <w:lang w:val="en-US" w:eastAsia="zh-CN"/>
        </w:rPr>
        <w:t>滨江北路、滨江南路、</w:t>
      </w:r>
      <w:r>
        <w:rPr>
          <w:rFonts w:hint="eastAsia" w:ascii="Times New Roman" w:hAnsi="Times New Roman" w:eastAsia="仿宋_GB2312" w:cs="Times New Roman"/>
          <w:strike w:val="0"/>
          <w:dstrike w:val="0"/>
          <w:snapToGrid/>
          <w:color w:val="auto"/>
          <w:kern w:val="2"/>
          <w:sz w:val="32"/>
          <w:szCs w:val="32"/>
          <w:highlight w:val="none"/>
          <w:lang w:eastAsia="zh-CN"/>
        </w:rPr>
        <w:t>建宁大桥、</w:t>
      </w:r>
      <w:r>
        <w:rPr>
          <w:rFonts w:hint="eastAsia" w:ascii="Times New Roman" w:hAnsi="Times New Roman" w:eastAsia="仿宋_GB2312" w:cs="Times New Roman"/>
          <w:strike w:val="0"/>
          <w:dstrike w:val="0"/>
          <w:snapToGrid/>
          <w:color w:val="auto"/>
          <w:kern w:val="2"/>
          <w:sz w:val="32"/>
          <w:szCs w:val="32"/>
          <w:highlight w:val="none"/>
          <w:lang w:val="en-US" w:eastAsia="zh-CN"/>
        </w:rPr>
        <w:t>炎帝大道合围</w:t>
      </w:r>
      <w:r>
        <w:rPr>
          <w:rFonts w:hint="eastAsia" w:ascii="Times New Roman" w:hAnsi="Times New Roman" w:eastAsia="仿宋_GB2312" w:cs="Times New Roman"/>
          <w:strike w:val="0"/>
          <w:dstrike w:val="0"/>
          <w:snapToGrid/>
          <w:color w:val="auto"/>
          <w:kern w:val="2"/>
          <w:sz w:val="32"/>
          <w:szCs w:val="32"/>
          <w:highlight w:val="none"/>
          <w:lang w:eastAsia="zh-CN"/>
        </w:rPr>
        <w:t>区域内道路（不含边界道路）通行，大型载客汽车（汽油、柴油）停止营运，城区过境柴油货车绕行疏导，200吨以下的干散货船、单壳化学品船、600吨载重以上的单壳油船停驶。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w:t>
      </w:r>
      <w:r>
        <w:rPr>
          <w:rFonts w:hint="eastAsia" w:ascii="Times New Roman" w:hAnsi="Times New Roman" w:eastAsia="仿宋_GB2312" w:cs="Times New Roman"/>
          <w:strike w:val="0"/>
          <w:dstrike w:val="0"/>
          <w:snapToGrid/>
          <w:color w:val="auto"/>
          <w:kern w:val="2"/>
          <w:sz w:val="32"/>
          <w:szCs w:val="32"/>
          <w:highlight w:val="none"/>
          <w:lang w:val="en-US" w:eastAsia="zh-CN"/>
        </w:rPr>
        <w:t>扬尘源。</w:t>
      </w:r>
      <w:r>
        <w:rPr>
          <w:rFonts w:hint="eastAsia" w:ascii="Times New Roman" w:hAnsi="Times New Roman" w:eastAsia="仿宋_GB2312" w:cs="Times New Roman"/>
          <w:strike w:val="0"/>
          <w:dstrike w:val="0"/>
          <w:snapToGrid/>
          <w:color w:val="auto"/>
          <w:kern w:val="2"/>
          <w:sz w:val="32"/>
          <w:szCs w:val="32"/>
          <w:highlight w:val="none"/>
          <w:lang w:eastAsia="zh-CN"/>
        </w:rPr>
        <w:t>施工工地等按扬尘源应急减排项目清单要求实施红色预警下的减排措施，防止扬尘大气污染。城区城市道路每日洒水降尘频次不少于4次，城区重点道路每日洒水降尘频次不少于5次。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Times New Roman" w:hAnsi="Times New Roman" w:eastAsia="楷体_GB2312" w:cs="Times New Roman"/>
          <w:strike w:val="0"/>
          <w:dstrike w:val="0"/>
          <w:snapToGrid/>
          <w:kern w:val="2"/>
          <w:sz w:val="32"/>
          <w:szCs w:val="32"/>
          <w:highlight w:val="none"/>
          <w:lang w:eastAsia="zh-CN"/>
        </w:rPr>
      </w:pPr>
      <w:r>
        <w:rPr>
          <w:rFonts w:hint="eastAsia" w:ascii="Times New Roman" w:hAnsi="Times New Roman" w:eastAsia="楷体_GB2312" w:cs="Times New Roman"/>
          <w:strike w:val="0"/>
          <w:dstrike w:val="0"/>
          <w:snapToGrid/>
          <w:kern w:val="2"/>
          <w:sz w:val="32"/>
          <w:szCs w:val="32"/>
          <w:highlight w:val="none"/>
          <w:lang w:eastAsia="zh-CN"/>
        </w:rPr>
        <w:t>5.4.</w:t>
      </w:r>
      <w:r>
        <w:rPr>
          <w:rFonts w:hint="eastAsia" w:ascii="Times New Roman" w:hAnsi="Times New Roman" w:eastAsia="楷体_GB2312" w:cs="Times New Roman"/>
          <w:strike w:val="0"/>
          <w:dstrike w:val="0"/>
          <w:snapToGrid/>
          <w:kern w:val="2"/>
          <w:sz w:val="32"/>
          <w:szCs w:val="32"/>
          <w:highlight w:val="none"/>
          <w:lang w:val="en-US" w:eastAsia="zh-CN"/>
        </w:rPr>
        <w:t>4监督管理</w:t>
      </w:r>
      <w:r>
        <w:rPr>
          <w:rFonts w:hint="eastAsia" w:ascii="Times New Roman" w:hAnsi="Times New Roman" w:eastAsia="楷体_GB2312" w:cs="Times New Roman"/>
          <w:strike w:val="0"/>
          <w:dstrike w:val="0"/>
          <w:snapToGrid/>
          <w:kern w:val="2"/>
          <w:sz w:val="32"/>
          <w:szCs w:val="32"/>
          <w:highlight w:val="none"/>
          <w:lang w:eastAsia="zh-CN"/>
        </w:rPr>
        <w:t>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在II级响应措施的基础上，增加如下措施：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1</w:t>
      </w:r>
      <w:r>
        <w:rPr>
          <w:rFonts w:hint="eastAsia" w:ascii="Times New Roman" w:hAnsi="Times New Roman" w:eastAsia="仿宋_GB2312" w:cs="Times New Roman"/>
          <w:strike w:val="0"/>
          <w:dstrike w:val="0"/>
          <w:snapToGrid/>
          <w:color w:val="auto"/>
          <w:kern w:val="2"/>
          <w:sz w:val="32"/>
          <w:szCs w:val="32"/>
          <w:highlight w:val="none"/>
          <w:lang w:eastAsia="zh-CN"/>
        </w:rPr>
        <w:t>）区</w:t>
      </w:r>
      <w:r>
        <w:rPr>
          <w:rFonts w:hint="eastAsia" w:ascii="Times New Roman" w:hAnsi="Times New Roman" w:eastAsia="仿宋_GB2312" w:cs="Times New Roman"/>
          <w:strike w:val="0"/>
          <w:dstrike w:val="0"/>
          <w:snapToGrid/>
          <w:color w:val="auto"/>
          <w:kern w:val="2"/>
          <w:sz w:val="32"/>
          <w:szCs w:val="32"/>
          <w:highlight w:val="none"/>
          <w:lang w:val="en-US" w:eastAsia="zh-CN"/>
        </w:rPr>
        <w:t>指挥中心</w:t>
      </w:r>
      <w:r>
        <w:rPr>
          <w:rFonts w:hint="eastAsia" w:ascii="Times New Roman" w:hAnsi="Times New Roman" w:eastAsia="仿宋_GB2312" w:cs="Times New Roman"/>
          <w:strike w:val="0"/>
          <w:dstrike w:val="0"/>
          <w:snapToGrid/>
          <w:color w:val="auto"/>
          <w:kern w:val="2"/>
          <w:sz w:val="32"/>
          <w:szCs w:val="32"/>
          <w:highlight w:val="none"/>
          <w:lang w:eastAsia="zh-CN"/>
        </w:rPr>
        <w:t>督促指导镇（街道）重污染天气应急响应措施。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2</w:t>
      </w:r>
      <w:r>
        <w:rPr>
          <w:rFonts w:hint="eastAsia" w:ascii="Times New Roman" w:hAnsi="Times New Roman" w:eastAsia="仿宋_GB2312" w:cs="Times New Roman"/>
          <w:strike w:val="0"/>
          <w:dstrike w:val="0"/>
          <w:snapToGrid/>
          <w:color w:val="auto"/>
          <w:kern w:val="2"/>
          <w:sz w:val="32"/>
          <w:szCs w:val="32"/>
          <w:highlight w:val="none"/>
          <w:lang w:eastAsia="zh-CN"/>
        </w:rPr>
        <w:t>）区指挥中心派出现场工作组和技术力量，赴街道（镇）督促指导应急响应工作，必要时，与相邻区协调沟通，采取相关应急联动措施。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val="en-US" w:eastAsia="zh-CN"/>
        </w:rPr>
        <w:t>3</w:t>
      </w:r>
      <w:r>
        <w:rPr>
          <w:rFonts w:hint="eastAsia" w:ascii="Times New Roman" w:hAnsi="Times New Roman" w:eastAsia="仿宋_GB2312" w:cs="Times New Roman"/>
          <w:strike w:val="0"/>
          <w:dstrike w:val="0"/>
          <w:snapToGrid/>
          <w:color w:val="auto"/>
          <w:kern w:val="2"/>
          <w:sz w:val="32"/>
          <w:szCs w:val="32"/>
          <w:highlight w:val="none"/>
          <w:lang w:eastAsia="zh-CN"/>
        </w:rPr>
        <w:t>）区指挥中心根据实际情况组织评估重污染天气应急减排措施的效果，及时补充完善应对措施。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00" w:name="bookmark53"/>
      <w:bookmarkEnd w:id="200"/>
      <w:bookmarkStart w:id="201" w:name="bookmark54"/>
      <w:bookmarkEnd w:id="201"/>
      <w:bookmarkStart w:id="202" w:name="_Toc9608"/>
      <w:bookmarkStart w:id="203" w:name="_Toc27006"/>
      <w:bookmarkStart w:id="204" w:name="_Toc8209"/>
      <w:bookmarkStart w:id="205" w:name="_Toc9133"/>
      <w:bookmarkStart w:id="206" w:name="_Toc15955"/>
      <w:r>
        <w:rPr>
          <w:rFonts w:hint="eastAsia" w:ascii="Times New Roman" w:hAnsi="Times New Roman" w:eastAsia="楷体_GB2312" w:cs="Times New Roman"/>
          <w:strike w:val="0"/>
          <w:dstrike w:val="0"/>
          <w:snapToGrid/>
          <w:kern w:val="2"/>
          <w:sz w:val="32"/>
          <w:szCs w:val="32"/>
          <w:highlight w:val="none"/>
          <w:lang w:eastAsia="zh-CN"/>
        </w:rPr>
        <w:t>5.5响应级别调整或终止</w:t>
      </w:r>
      <w:bookmarkEnd w:id="202"/>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应急响应期间，根据预警级别调整，及时提升或降低应急响应的级别，提高应急响应的针对性。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当预警解除信息发布后，应急响应自动终止。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黑体" w:hAnsi="黑体" w:eastAsia="黑体" w:cs="黑体"/>
          <w:strike w:val="0"/>
          <w:dstrike w:val="0"/>
          <w:snapToGrid/>
          <w:kern w:val="2"/>
          <w:sz w:val="32"/>
          <w:szCs w:val="32"/>
          <w:highlight w:val="none"/>
          <w:lang w:eastAsia="zh-CN"/>
        </w:rPr>
      </w:pPr>
      <w:bookmarkStart w:id="207" w:name="_Toc22363"/>
      <w:bookmarkStart w:id="208" w:name="_Toc18159"/>
      <w:bookmarkStart w:id="209" w:name="_Toc15305"/>
      <w:bookmarkStart w:id="210" w:name="_Toc29677"/>
      <w:bookmarkStart w:id="211" w:name="_Toc3228"/>
      <w:r>
        <w:rPr>
          <w:rFonts w:hint="eastAsia" w:ascii="Times New Roman" w:hAnsi="Times New Roman" w:eastAsia="仿宋_GB2312" w:cs="Times New Roman"/>
          <w:strike w:val="0"/>
          <w:dstrike w:val="0"/>
          <w:snapToGrid/>
          <w:color w:val="auto"/>
          <w:kern w:val="2"/>
          <w:sz w:val="32"/>
          <w:szCs w:val="32"/>
          <w:highlight w:val="none"/>
          <w:lang w:eastAsia="zh-CN"/>
        </w:rPr>
        <w:t>6</w:t>
      </w:r>
      <w:r>
        <w:rPr>
          <w:rFonts w:hint="eastAsia" w:ascii="黑体" w:hAnsi="黑体" w:eastAsia="黑体" w:cs="黑体"/>
          <w:strike w:val="0"/>
          <w:dstrike w:val="0"/>
          <w:snapToGrid/>
          <w:kern w:val="2"/>
          <w:sz w:val="32"/>
          <w:szCs w:val="32"/>
          <w:highlight w:val="none"/>
          <w:lang w:eastAsia="zh-CN"/>
        </w:rPr>
        <w:t>区域应急联动</w:t>
      </w:r>
      <w:bookmarkEnd w:id="207"/>
      <w:bookmarkEnd w:id="208"/>
      <w:bookmarkEnd w:id="209"/>
      <w:bookmarkEnd w:id="210"/>
      <w:bookmarkEnd w:id="21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加强与市重污染天气应急指挥中心、周边县（市、区）的协作，共同做好重污染天气应对工作。区指挥中心办公室密切与周边地区的沟通协调，加强信息共享，提高区域重污染天气预报预警的准确度，积极参与区域联合预警会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收到市重污染天气应急指挥中心的区域联动预警提示信息后，按照区域联动预警提示信息，及时启动重污染天气预警和应急响应，按要求升级或解除预警，加强区域联防联控，共同降低重污染天气的影响，并将重污染天气应对信息报市重污染天气应急指挥中心办公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黑体" w:hAnsi="黑体" w:eastAsia="黑体" w:cs="黑体"/>
          <w:strike w:val="0"/>
          <w:dstrike w:val="0"/>
          <w:snapToGrid/>
          <w:kern w:val="2"/>
          <w:sz w:val="32"/>
          <w:szCs w:val="32"/>
          <w:highlight w:val="none"/>
          <w:lang w:eastAsia="zh-CN"/>
        </w:rPr>
      </w:pPr>
      <w:bookmarkStart w:id="212" w:name="_Toc6702"/>
      <w:bookmarkStart w:id="213" w:name="_Toc5202"/>
      <w:bookmarkStart w:id="214" w:name="_Toc25631"/>
      <w:bookmarkStart w:id="215" w:name="_Toc13769"/>
      <w:bookmarkStart w:id="216" w:name="_Toc17393"/>
      <w:r>
        <w:rPr>
          <w:rFonts w:hint="eastAsia" w:ascii="Times New Roman" w:hAnsi="Times New Roman" w:eastAsia="仿宋_GB2312" w:cs="Times New Roman"/>
          <w:strike w:val="0"/>
          <w:dstrike w:val="0"/>
          <w:snapToGrid/>
          <w:color w:val="auto"/>
          <w:kern w:val="2"/>
          <w:sz w:val="32"/>
          <w:szCs w:val="32"/>
          <w:highlight w:val="none"/>
          <w:lang w:eastAsia="zh-CN"/>
        </w:rPr>
        <w:t>7</w:t>
      </w:r>
      <w:r>
        <w:rPr>
          <w:rFonts w:hint="eastAsia" w:ascii="黑体" w:hAnsi="黑体" w:eastAsia="黑体" w:cs="黑体"/>
          <w:strike w:val="0"/>
          <w:dstrike w:val="0"/>
          <w:snapToGrid/>
          <w:kern w:val="2"/>
          <w:sz w:val="32"/>
          <w:szCs w:val="32"/>
          <w:highlight w:val="none"/>
          <w:lang w:eastAsia="zh-CN"/>
        </w:rPr>
        <w:t>总结评估</w:t>
      </w:r>
      <w:bookmarkEnd w:id="212"/>
      <w:bookmarkEnd w:id="213"/>
      <w:bookmarkEnd w:id="214"/>
      <w:bookmarkEnd w:id="215"/>
      <w:bookmarkEnd w:id="21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应急响应终止后需对重污染天气应急响应情况进行总结、评估。预警解除后5个工作日内，区指挥中心各成员单位要将重污染天气应对情况以书面形式报送区指挥中心办公室，总结评估报告应包括重污染天气应急响应启动情况、采取的措施、取得的成效、发现的问题、污染物应急减排比例等，并针对存在的突出问题提出改进措施等。监测达到黄色预警启动条件而未启动预警的也应于5个工作日内报送书面报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区域联动预警或区级预警解除后，区指挥中心办公室视情组织相关部门和专家组对重污染天气应对工作进行总结评估，评估报告上报区指挥中心。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黑体" w:hAnsi="黑体" w:eastAsia="黑体" w:cs="黑体"/>
          <w:strike w:val="0"/>
          <w:dstrike w:val="0"/>
          <w:snapToGrid/>
          <w:kern w:val="2"/>
          <w:sz w:val="32"/>
          <w:szCs w:val="32"/>
          <w:highlight w:val="none"/>
          <w:lang w:eastAsia="zh-CN"/>
        </w:rPr>
      </w:pPr>
      <w:bookmarkStart w:id="217" w:name="_Toc25166"/>
      <w:bookmarkStart w:id="218" w:name="_Toc3688"/>
      <w:bookmarkStart w:id="219" w:name="_Toc3605"/>
      <w:bookmarkStart w:id="220" w:name="_Toc29142"/>
      <w:bookmarkStart w:id="221" w:name="_Toc976"/>
      <w:r>
        <w:rPr>
          <w:rFonts w:hint="eastAsia" w:ascii="Times New Roman" w:hAnsi="Times New Roman" w:eastAsia="仿宋_GB2312" w:cs="Times New Roman"/>
          <w:strike w:val="0"/>
          <w:dstrike w:val="0"/>
          <w:snapToGrid/>
          <w:color w:val="auto"/>
          <w:kern w:val="2"/>
          <w:sz w:val="32"/>
          <w:szCs w:val="32"/>
          <w:highlight w:val="none"/>
          <w:lang w:eastAsia="zh-CN"/>
        </w:rPr>
        <w:t>8</w:t>
      </w:r>
      <w:r>
        <w:rPr>
          <w:rFonts w:hint="eastAsia" w:ascii="黑体" w:hAnsi="黑体" w:eastAsia="黑体" w:cs="黑体"/>
          <w:strike w:val="0"/>
          <w:dstrike w:val="0"/>
          <w:snapToGrid/>
          <w:kern w:val="2"/>
          <w:sz w:val="32"/>
          <w:szCs w:val="32"/>
          <w:highlight w:val="none"/>
          <w:lang w:eastAsia="zh-CN"/>
        </w:rPr>
        <w:t>应急保障</w:t>
      </w:r>
      <w:bookmarkEnd w:id="217"/>
      <w:bookmarkEnd w:id="218"/>
      <w:bookmarkEnd w:id="219"/>
      <w:bookmarkEnd w:id="220"/>
      <w:bookmarkEnd w:id="22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22" w:name="bookmark61"/>
      <w:bookmarkEnd w:id="222"/>
      <w:bookmarkStart w:id="223" w:name="bookmark60"/>
      <w:bookmarkEnd w:id="223"/>
      <w:bookmarkStart w:id="224" w:name="bookmark62"/>
      <w:bookmarkEnd w:id="224"/>
      <w:bookmarkStart w:id="225" w:name="_Toc7292"/>
      <w:bookmarkStart w:id="226" w:name="_Toc7339"/>
      <w:bookmarkStart w:id="227" w:name="_Toc10414"/>
      <w:bookmarkStart w:id="228" w:name="_Toc29127"/>
      <w:bookmarkStart w:id="229" w:name="_Toc14360"/>
      <w:r>
        <w:rPr>
          <w:rFonts w:hint="eastAsia" w:ascii="Times New Roman" w:hAnsi="Times New Roman" w:eastAsia="楷体_GB2312" w:cs="Times New Roman"/>
          <w:strike w:val="0"/>
          <w:dstrike w:val="0"/>
          <w:snapToGrid/>
          <w:kern w:val="2"/>
          <w:sz w:val="32"/>
          <w:szCs w:val="32"/>
          <w:highlight w:val="none"/>
          <w:lang w:eastAsia="zh-CN"/>
        </w:rPr>
        <w:t>8.1人力资源保障</w:t>
      </w:r>
      <w:bookmarkEnd w:id="225"/>
      <w:bookmarkEnd w:id="226"/>
      <w:bookmarkEnd w:id="227"/>
      <w:bookmarkEnd w:id="228"/>
      <w:bookmarkEnd w:id="229"/>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加强重污染天气应急队伍建设，区指挥中心各成员单位应明确专门人员负责重污染天气应急工作，建立完善应急值守制度，保证应急值守系统顺畅，提高应对重污染天气的组织、协调、实施和监管能力，确保在重污染天气预警期间，能迅速参与并完成各项应急响应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30" w:name="bookmark63"/>
      <w:bookmarkEnd w:id="230"/>
      <w:bookmarkStart w:id="231" w:name="bookmark64"/>
      <w:bookmarkEnd w:id="231"/>
      <w:bookmarkStart w:id="232" w:name="_Toc5399"/>
      <w:bookmarkStart w:id="233" w:name="_Toc19563"/>
      <w:bookmarkStart w:id="234" w:name="_Toc20869"/>
      <w:bookmarkStart w:id="235" w:name="_Toc4405"/>
      <w:bookmarkStart w:id="236" w:name="_Toc31924"/>
      <w:r>
        <w:rPr>
          <w:rFonts w:hint="eastAsia" w:ascii="Times New Roman" w:hAnsi="Times New Roman" w:eastAsia="楷体_GB2312" w:cs="Times New Roman"/>
          <w:strike w:val="0"/>
          <w:dstrike w:val="0"/>
          <w:snapToGrid/>
          <w:kern w:val="2"/>
          <w:sz w:val="32"/>
          <w:szCs w:val="32"/>
          <w:highlight w:val="none"/>
          <w:lang w:eastAsia="zh-CN"/>
        </w:rPr>
        <w:t>8.2资金保障</w:t>
      </w:r>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财政部门要统筹安排专项资金，落实重污染天气预警和应急指挥系统建设、运行和应急响应工作经费，为做好重污染天气应对工作提供财力保障。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37" w:name="bookmark65"/>
      <w:bookmarkEnd w:id="237"/>
      <w:bookmarkStart w:id="238" w:name="bookmark66"/>
      <w:bookmarkEnd w:id="238"/>
      <w:bookmarkStart w:id="239" w:name="_Toc525"/>
      <w:bookmarkStart w:id="240" w:name="_Toc11727"/>
      <w:bookmarkStart w:id="241" w:name="_Toc32509"/>
      <w:bookmarkStart w:id="242" w:name="_Toc9682"/>
      <w:bookmarkStart w:id="243" w:name="_Toc24180"/>
      <w:r>
        <w:rPr>
          <w:rFonts w:hint="eastAsia" w:ascii="Times New Roman" w:hAnsi="Times New Roman" w:eastAsia="楷体_GB2312" w:cs="Times New Roman"/>
          <w:strike w:val="0"/>
          <w:dstrike w:val="0"/>
          <w:snapToGrid/>
          <w:kern w:val="2"/>
          <w:sz w:val="32"/>
          <w:szCs w:val="32"/>
          <w:highlight w:val="none"/>
          <w:lang w:eastAsia="zh-CN"/>
        </w:rPr>
        <w:t>8.3科技保障</w:t>
      </w:r>
      <w:bookmarkEnd w:id="239"/>
      <w:bookmarkEnd w:id="240"/>
      <w:bookmarkEnd w:id="241"/>
      <w:bookmarkEnd w:id="242"/>
      <w:bookmarkEnd w:id="243"/>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区指挥中心组织协调大气污染源自动监测系统、空气质量自动监测系统建设，配合市指挥</w:t>
      </w:r>
      <w:r>
        <w:rPr>
          <w:rFonts w:hint="eastAsia" w:ascii="Times New Roman" w:hAnsi="Times New Roman" w:eastAsia="仿宋_GB2312" w:cs="Times New Roman"/>
          <w:strike w:val="0"/>
          <w:dstrike w:val="0"/>
          <w:snapToGrid/>
          <w:color w:val="auto"/>
          <w:kern w:val="2"/>
          <w:sz w:val="32"/>
          <w:szCs w:val="32"/>
          <w:highlight w:val="none"/>
          <w:lang w:val="en-US" w:eastAsia="zh-CN"/>
        </w:rPr>
        <w:t>中心</w:t>
      </w:r>
      <w:r>
        <w:rPr>
          <w:rFonts w:hint="eastAsia" w:ascii="Times New Roman" w:hAnsi="Times New Roman" w:eastAsia="仿宋_GB2312" w:cs="Times New Roman"/>
          <w:strike w:val="0"/>
          <w:dstrike w:val="0"/>
          <w:snapToGrid/>
          <w:color w:val="auto"/>
          <w:kern w:val="2"/>
          <w:sz w:val="32"/>
          <w:szCs w:val="32"/>
          <w:highlight w:val="none"/>
          <w:lang w:eastAsia="zh-CN"/>
        </w:rPr>
        <w:t>、监测机构建立重污染天气监测预警体系，充分利用监测设施设备做好重污染天气过程的趋势分析，完善会商研判机制，提高监测预报的准确度。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44" w:name="bookmark68"/>
      <w:bookmarkEnd w:id="244"/>
      <w:bookmarkStart w:id="245" w:name="bookmark67"/>
      <w:bookmarkEnd w:id="245"/>
      <w:bookmarkStart w:id="246" w:name="_Toc2148"/>
      <w:bookmarkStart w:id="247" w:name="_Toc32150"/>
      <w:bookmarkStart w:id="248" w:name="_Toc5991"/>
      <w:bookmarkStart w:id="249" w:name="_Toc28793"/>
      <w:bookmarkStart w:id="250" w:name="_Toc20540"/>
      <w:r>
        <w:rPr>
          <w:rFonts w:hint="eastAsia" w:ascii="Times New Roman" w:hAnsi="Times New Roman" w:eastAsia="楷体_GB2312" w:cs="Times New Roman"/>
          <w:strike w:val="0"/>
          <w:dstrike w:val="0"/>
          <w:snapToGrid/>
          <w:kern w:val="2"/>
          <w:sz w:val="32"/>
          <w:szCs w:val="32"/>
          <w:highlight w:val="none"/>
          <w:lang w:eastAsia="zh-CN"/>
        </w:rPr>
        <w:t>8.4通信与交通保障</w:t>
      </w:r>
      <w:bookmarkEnd w:id="246"/>
      <w:bookmarkEnd w:id="247"/>
      <w:bookmarkEnd w:id="248"/>
      <w:bookmarkEnd w:id="249"/>
      <w:bookmarkEnd w:id="25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通信管理部门负责建立通信保障体系，督促基础电信运营企业向公众发送重污染天气预警信息，确保重污染天气应急期间的通信联络畅通。交通运输部门要健全道路、水运紧急运输保障体系，保障应急响应所需人员、物资、装备、器材等的运输。公安部门要加强应急交通管理，保障运送伤病员、应急救援人员、物资、装备、器材的车辆优先通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51" w:name="_Toc179409587"/>
      <w:r>
        <w:rPr>
          <w:rFonts w:hint="eastAsia" w:ascii="Times New Roman" w:hAnsi="Times New Roman" w:eastAsia="楷体_GB2312" w:cs="Times New Roman"/>
          <w:strike w:val="0"/>
          <w:dstrike w:val="0"/>
          <w:snapToGrid/>
          <w:kern w:val="2"/>
          <w:sz w:val="32"/>
          <w:szCs w:val="32"/>
          <w:highlight w:val="none"/>
          <w:lang w:eastAsia="zh-CN"/>
        </w:rPr>
        <w:t>8.5责任与奖惩</w:t>
      </w:r>
      <w:bookmarkEnd w:id="25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区指挥中心办公室负责对有关成员单位专项实施方案和重污染天气应急预案制（修）订、应急体系建设、应急措施的组织落实情况等进行监督。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对在重污染天气应急处置工作中反应迅速、措施妥当、贡献突出的先进集体和个人给予表扬。对因工作不力、履职缺位等导致未能有效应对重污染天气，导致影响我区重污染天气相关目标完成的部门及个人，进行约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对于未按要求执行排污单位重污染天气应急措施的企业，依法实施处罚。对重污染天气应急响应期间偷排偷放、屡查屡犯的企业，依法责令其停止生产，追究法律责任。绩效分级为非最低等级的工业企业，在重污染天气应急响应期间存在违法违规行为的，进行降级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ascii="黑体" w:hAnsi="黑体" w:eastAsia="黑体" w:cs="黑体"/>
          <w:strike w:val="0"/>
          <w:dstrike w:val="0"/>
          <w:snapToGrid/>
          <w:kern w:val="2"/>
          <w:sz w:val="32"/>
          <w:szCs w:val="32"/>
          <w:highlight w:val="none"/>
          <w:lang w:eastAsia="zh-CN"/>
        </w:rPr>
      </w:pPr>
      <w:bookmarkStart w:id="252" w:name="_Toc23816"/>
      <w:bookmarkStart w:id="253" w:name="_Toc13636"/>
      <w:bookmarkStart w:id="254" w:name="_Toc24984"/>
      <w:bookmarkStart w:id="255" w:name="_Toc28696"/>
      <w:bookmarkStart w:id="256" w:name="_Toc3869"/>
      <w:r>
        <w:rPr>
          <w:rFonts w:hint="eastAsia" w:ascii="Times New Roman" w:hAnsi="Times New Roman" w:eastAsia="仿宋_GB2312" w:cs="Times New Roman"/>
          <w:strike w:val="0"/>
          <w:dstrike w:val="0"/>
          <w:snapToGrid/>
          <w:color w:val="auto"/>
          <w:kern w:val="2"/>
          <w:sz w:val="32"/>
          <w:szCs w:val="32"/>
          <w:highlight w:val="none"/>
          <w:lang w:eastAsia="zh-CN"/>
        </w:rPr>
        <w:t>9</w:t>
      </w:r>
      <w:r>
        <w:rPr>
          <w:rFonts w:hint="eastAsia" w:ascii="黑体" w:hAnsi="黑体" w:eastAsia="黑体" w:cs="黑体"/>
          <w:strike w:val="0"/>
          <w:dstrike w:val="0"/>
          <w:snapToGrid/>
          <w:kern w:val="2"/>
          <w:sz w:val="32"/>
          <w:szCs w:val="32"/>
          <w:highlight w:val="none"/>
          <w:lang w:eastAsia="zh-CN"/>
        </w:rPr>
        <w:t>预案管理</w:t>
      </w:r>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57" w:name="bookmark72"/>
      <w:bookmarkEnd w:id="257"/>
      <w:bookmarkStart w:id="258" w:name="bookmark71"/>
      <w:bookmarkEnd w:id="258"/>
      <w:bookmarkStart w:id="259" w:name="bookmark70"/>
      <w:bookmarkEnd w:id="259"/>
      <w:bookmarkStart w:id="260" w:name="_Toc27640"/>
      <w:bookmarkStart w:id="261" w:name="_Toc10828"/>
      <w:bookmarkStart w:id="262" w:name="_Toc22300"/>
      <w:bookmarkStart w:id="263" w:name="_Toc25539"/>
      <w:bookmarkStart w:id="264" w:name="_Toc4589"/>
      <w:r>
        <w:rPr>
          <w:rFonts w:hint="eastAsia" w:ascii="Times New Roman" w:hAnsi="Times New Roman" w:eastAsia="楷体_GB2312" w:cs="Times New Roman"/>
          <w:strike w:val="0"/>
          <w:dstrike w:val="0"/>
          <w:snapToGrid/>
          <w:kern w:val="2"/>
          <w:sz w:val="32"/>
          <w:szCs w:val="32"/>
          <w:highlight w:val="none"/>
          <w:lang w:eastAsia="zh-CN"/>
        </w:rPr>
        <w:t>9.1预案宣传</w:t>
      </w:r>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各相关部门应充分利用互联网、电视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区指挥中心要加强重污染天气应对培训，提高重污染天气应对工作的针对性和有效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65" w:name="bookmark74"/>
      <w:bookmarkEnd w:id="265"/>
      <w:bookmarkStart w:id="266" w:name="bookmark73"/>
      <w:bookmarkEnd w:id="266"/>
      <w:bookmarkStart w:id="267" w:name="_Toc23502"/>
      <w:bookmarkStart w:id="268" w:name="_Toc31901"/>
      <w:bookmarkStart w:id="269" w:name="_Toc24772"/>
      <w:bookmarkStart w:id="270" w:name="_Toc21214"/>
      <w:bookmarkStart w:id="271" w:name="_Toc26630"/>
      <w:r>
        <w:rPr>
          <w:rFonts w:hint="eastAsia" w:ascii="Times New Roman" w:hAnsi="Times New Roman" w:eastAsia="楷体_GB2312" w:cs="Times New Roman"/>
          <w:strike w:val="0"/>
          <w:dstrike w:val="0"/>
          <w:snapToGrid/>
          <w:kern w:val="2"/>
          <w:sz w:val="32"/>
          <w:szCs w:val="32"/>
          <w:highlight w:val="none"/>
          <w:lang w:eastAsia="zh-CN"/>
        </w:rPr>
        <w:t>9.2预案培训</w:t>
      </w:r>
      <w:bookmarkEnd w:id="267"/>
      <w:bookmarkEnd w:id="268"/>
      <w:bookmarkEnd w:id="269"/>
      <w:bookmarkEnd w:id="270"/>
      <w:bookmarkEnd w:id="27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各有关部门要建立健全重污染天气应急预案培训制度，根据应急预案职责分工，制定培训计划。区指挥中心办公室和各成员单位应围绕各自职责的落实和监管方式开展培训，确保应急时监督执法到位；相关企事业单位应围绕各自所需落实的应急措施开展技术培训，确保各项应急措施安全、有效、全面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72" w:name="bookmark75"/>
      <w:bookmarkEnd w:id="272"/>
      <w:bookmarkStart w:id="273" w:name="bookmark76"/>
      <w:bookmarkEnd w:id="273"/>
      <w:bookmarkStart w:id="274" w:name="_Toc14036"/>
      <w:bookmarkStart w:id="275" w:name="_Toc31727"/>
      <w:bookmarkStart w:id="276" w:name="_Toc2424"/>
      <w:bookmarkStart w:id="277" w:name="_Toc13359"/>
      <w:bookmarkStart w:id="278" w:name="_Toc9238"/>
      <w:r>
        <w:rPr>
          <w:rFonts w:hint="eastAsia" w:ascii="Times New Roman" w:hAnsi="Times New Roman" w:eastAsia="楷体_GB2312" w:cs="Times New Roman"/>
          <w:strike w:val="0"/>
          <w:dstrike w:val="0"/>
          <w:snapToGrid/>
          <w:kern w:val="2"/>
          <w:sz w:val="32"/>
          <w:szCs w:val="32"/>
          <w:highlight w:val="none"/>
          <w:lang w:eastAsia="zh-CN"/>
        </w:rPr>
        <w:t>9.3预案管理</w:t>
      </w:r>
      <w:bookmarkEnd w:id="274"/>
      <w:bookmarkEnd w:id="275"/>
      <w:bookmarkEnd w:id="276"/>
      <w:bookmarkEnd w:id="277"/>
      <w:bookmarkEnd w:id="27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区指挥中心办公室负责本预案的编制、解释和日常管理，根据国家、省、市重污染天气应急工作布置和本预案实施情况，适时组织修订，报区人民政府印发，并报市生态环境局备案。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79" w:name="bookmark77"/>
      <w:bookmarkEnd w:id="279"/>
      <w:bookmarkStart w:id="280" w:name="bookmark78"/>
      <w:bookmarkEnd w:id="280"/>
      <w:bookmarkStart w:id="281" w:name="_Toc9863"/>
      <w:bookmarkStart w:id="282" w:name="_Toc11848"/>
      <w:bookmarkStart w:id="283" w:name="_Toc17106"/>
      <w:bookmarkStart w:id="284" w:name="_Toc3625"/>
      <w:bookmarkStart w:id="285" w:name="_Toc28791"/>
      <w:r>
        <w:rPr>
          <w:rFonts w:hint="eastAsia" w:ascii="Times New Roman" w:hAnsi="Times New Roman" w:eastAsia="楷体_GB2312" w:cs="Times New Roman"/>
          <w:strike w:val="0"/>
          <w:dstrike w:val="0"/>
          <w:snapToGrid/>
          <w:kern w:val="2"/>
          <w:sz w:val="32"/>
          <w:szCs w:val="32"/>
          <w:highlight w:val="none"/>
          <w:lang w:eastAsia="zh-CN"/>
        </w:rPr>
        <w:t>9.4预案实施</w:t>
      </w:r>
      <w:bookmarkEnd w:id="281"/>
      <w:bookmarkEnd w:id="282"/>
      <w:bookmarkEnd w:id="283"/>
      <w:bookmarkEnd w:id="284"/>
      <w:bookmarkEnd w:id="28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bookmarkStart w:id="286" w:name="_Toc13782"/>
      <w:bookmarkStart w:id="287" w:name="_Toc10131"/>
      <w:r>
        <w:rPr>
          <w:rFonts w:hint="eastAsia" w:ascii="Times New Roman" w:hAnsi="Times New Roman" w:eastAsia="仿宋_GB2312" w:cs="Times New Roman"/>
          <w:strike w:val="0"/>
          <w:dstrike w:val="0"/>
          <w:snapToGrid/>
          <w:color w:val="auto"/>
          <w:kern w:val="2"/>
          <w:sz w:val="32"/>
          <w:szCs w:val="32"/>
          <w:highlight w:val="none"/>
          <w:lang w:eastAsia="zh-CN"/>
        </w:rPr>
        <w:t>区指挥中心办公室负责加强对区指挥中心各成员单位、相关企事业单位重污染天气应对工作的监督</w:t>
      </w:r>
      <w:r>
        <w:rPr>
          <w:rFonts w:hint="eastAsia" w:ascii="Times New Roman" w:hAnsi="Times New Roman" w:eastAsia="仿宋_GB2312" w:cs="Times New Roman"/>
          <w:strike w:val="0"/>
          <w:dstrike w:val="0"/>
          <w:snapToGrid/>
          <w:color w:val="auto"/>
          <w:kern w:val="2"/>
          <w:sz w:val="32"/>
          <w:szCs w:val="32"/>
          <w:highlight w:val="none"/>
          <w:lang w:val="en-US" w:eastAsia="zh-CN"/>
        </w:rPr>
        <w:t>检查</w:t>
      </w:r>
      <w:r>
        <w:rPr>
          <w:rFonts w:hint="eastAsia" w:ascii="Times New Roman" w:hAnsi="Times New Roman" w:eastAsia="仿宋_GB2312" w:cs="Times New Roman"/>
          <w:strike w:val="0"/>
          <w:dstrike w:val="0"/>
          <w:snapToGrid/>
          <w:color w:val="auto"/>
          <w:kern w:val="2"/>
          <w:sz w:val="32"/>
          <w:szCs w:val="32"/>
          <w:highlight w:val="none"/>
          <w:lang w:eastAsia="zh-CN"/>
        </w:rPr>
        <w:t>，加大对重污染天气地区应急响应措施的督查力度，将重污染天气应对工作纳入各成员单位的污染防治攻坚战成效考核。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楷体_GB2312" w:cs="Times New Roman"/>
          <w:strike w:val="0"/>
          <w:dstrike w:val="0"/>
          <w:snapToGrid/>
          <w:kern w:val="2"/>
          <w:sz w:val="32"/>
          <w:szCs w:val="32"/>
          <w:highlight w:val="none"/>
          <w:lang w:eastAsia="zh-CN"/>
        </w:rPr>
      </w:pPr>
      <w:bookmarkStart w:id="288" w:name="_Toc29955"/>
      <w:bookmarkStart w:id="289" w:name="_Toc31476"/>
      <w:bookmarkStart w:id="290" w:name="_Toc27080"/>
      <w:bookmarkStart w:id="291" w:name="_Toc20438"/>
      <w:bookmarkStart w:id="292" w:name="_Toc26121"/>
      <w:r>
        <w:rPr>
          <w:rFonts w:hint="eastAsia" w:ascii="Times New Roman" w:hAnsi="Times New Roman" w:eastAsia="楷体_GB2312" w:cs="Times New Roman"/>
          <w:strike w:val="0"/>
          <w:dstrike w:val="0"/>
          <w:snapToGrid/>
          <w:kern w:val="2"/>
          <w:sz w:val="32"/>
          <w:szCs w:val="32"/>
          <w:highlight w:val="none"/>
          <w:lang w:eastAsia="zh-CN"/>
        </w:rPr>
        <w:t>9.5预案实施日期</w:t>
      </w:r>
      <w:bookmarkEnd w:id="286"/>
      <w:bookmarkEnd w:id="287"/>
      <w:bookmarkEnd w:id="288"/>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Times New Roman" w:hAnsi="Times New Roman" w:eastAsia="仿宋_GB2312" w:cs="Times New Roman"/>
          <w:strike w:val="0"/>
          <w:dstrike w:val="0"/>
          <w:snapToGrid/>
          <w:color w:val="auto"/>
          <w:kern w:val="2"/>
          <w:sz w:val="32"/>
          <w:szCs w:val="32"/>
          <w:highlight w:val="none"/>
          <w:lang w:eastAsia="zh-CN"/>
        </w:rPr>
      </w:pPr>
      <w:bookmarkStart w:id="293" w:name="_Toc27898"/>
      <w:bookmarkStart w:id="294" w:name="_Toc10112"/>
      <w:bookmarkStart w:id="295" w:name="_Toc8183"/>
      <w:bookmarkStart w:id="296" w:name="_Toc1062910249"/>
      <w:bookmarkStart w:id="297" w:name="_Toc27164"/>
      <w:bookmarkStart w:id="298" w:name="_Toc1538192515"/>
      <w:r>
        <w:rPr>
          <w:rFonts w:hint="eastAsia" w:ascii="仿宋_GB2312" w:hAnsi="仿宋_GB2312" w:eastAsia="仿宋_GB2312" w:cs="仿宋_GB2312"/>
          <w:strike w:val="0"/>
          <w:dstrike w:val="0"/>
          <w:snapToGrid/>
          <w:kern w:val="2"/>
          <w:sz w:val="32"/>
          <w:szCs w:val="32"/>
          <w:highlight w:val="none"/>
          <w:lang w:eastAsia="zh-CN"/>
        </w:rPr>
        <w:t>附件</w:t>
      </w:r>
      <w:bookmarkEnd w:id="293"/>
      <w:bookmarkEnd w:id="294"/>
      <w:bookmarkEnd w:id="295"/>
      <w:r>
        <w:rPr>
          <w:rFonts w:hint="eastAsia" w:ascii="仿宋_GB2312" w:hAnsi="仿宋_GB2312" w:eastAsia="仿宋_GB2312" w:cs="仿宋_GB2312"/>
          <w:strike w:val="0"/>
          <w:dstrike w:val="0"/>
          <w:snapToGrid/>
          <w:kern w:val="2"/>
          <w:sz w:val="32"/>
          <w:szCs w:val="32"/>
          <w:highlight w:val="none"/>
          <w:lang w:eastAsia="zh-CN"/>
        </w:rPr>
        <w:t>：</w:t>
      </w:r>
      <w:r>
        <w:rPr>
          <w:rFonts w:hint="eastAsia" w:ascii="Times New Roman" w:hAnsi="Times New Roman" w:eastAsia="仿宋_GB2312" w:cs="Times New Roman"/>
          <w:strike w:val="0"/>
          <w:dstrike w:val="0"/>
          <w:snapToGrid/>
          <w:color w:val="auto"/>
          <w:kern w:val="2"/>
          <w:sz w:val="32"/>
          <w:szCs w:val="32"/>
          <w:highlight w:val="none"/>
          <w:lang w:eastAsia="zh-CN"/>
        </w:rPr>
        <w:t>1．株洲市天元区重污染天气应急组织架构图</w:t>
      </w:r>
      <w:bookmarkEnd w:id="296"/>
      <w:bookmarkEnd w:id="297"/>
      <w:bookmarkEnd w:id="298"/>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Times New Roman" w:hAnsi="Times New Roman" w:eastAsia="仿宋_GB2312" w:cs="Times New Roman"/>
          <w:strike w:val="0"/>
          <w:dstrike w:val="0"/>
          <w:snapToGrid/>
          <w:color w:val="auto"/>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2．株洲市天元区重污染天气应对流程图</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Times New Roman" w:hAnsi="Times New Roman" w:eastAsia="仿宋_GB2312" w:cs="Times New Roman"/>
          <w:strike w:val="0"/>
          <w:dstrike w:val="0"/>
          <w:snapToGrid/>
          <w:color w:val="auto"/>
          <w:spacing w:val="-11"/>
          <w:kern w:val="2"/>
          <w:sz w:val="32"/>
          <w:szCs w:val="32"/>
          <w:highlight w:val="none"/>
          <w:lang w:eastAsia="zh-CN"/>
        </w:rPr>
      </w:pPr>
      <w:r>
        <w:rPr>
          <w:rFonts w:hint="eastAsia" w:ascii="Times New Roman" w:hAnsi="Times New Roman" w:eastAsia="仿宋_GB2312" w:cs="Times New Roman"/>
          <w:strike w:val="0"/>
          <w:dstrike w:val="0"/>
          <w:snapToGrid/>
          <w:color w:val="auto"/>
          <w:kern w:val="2"/>
          <w:sz w:val="32"/>
          <w:szCs w:val="32"/>
          <w:highlight w:val="none"/>
          <w:lang w:eastAsia="zh-CN"/>
        </w:rPr>
        <w:t>3．株</w:t>
      </w:r>
      <w:r>
        <w:rPr>
          <w:rFonts w:hint="eastAsia" w:ascii="Times New Roman" w:hAnsi="Times New Roman" w:eastAsia="仿宋_GB2312" w:cs="Times New Roman"/>
          <w:strike w:val="0"/>
          <w:dstrike w:val="0"/>
          <w:snapToGrid/>
          <w:color w:val="auto"/>
          <w:spacing w:val="-11"/>
          <w:kern w:val="2"/>
          <w:sz w:val="32"/>
          <w:szCs w:val="32"/>
          <w:highlight w:val="none"/>
          <w:lang w:eastAsia="zh-CN"/>
        </w:rPr>
        <w:t>洲市天元</w:t>
      </w:r>
      <w:r>
        <w:rPr>
          <w:rFonts w:hint="eastAsia" w:ascii="Times New Roman" w:hAnsi="Times New Roman" w:eastAsia="仿宋_GB2312" w:cs="Times New Roman"/>
          <w:strike w:val="0"/>
          <w:dstrike w:val="0"/>
          <w:snapToGrid/>
          <w:color w:val="auto"/>
          <w:spacing w:val="-11"/>
          <w:kern w:val="2"/>
          <w:sz w:val="32"/>
          <w:szCs w:val="32"/>
          <w:highlight w:val="none"/>
          <w:lang w:val="en-US" w:eastAsia="zh-CN"/>
        </w:rPr>
        <w:t>区</w:t>
      </w:r>
      <w:r>
        <w:rPr>
          <w:rFonts w:hint="eastAsia" w:ascii="Times New Roman" w:hAnsi="Times New Roman" w:eastAsia="仿宋_GB2312" w:cs="Times New Roman"/>
          <w:strike w:val="0"/>
          <w:dstrike w:val="0"/>
          <w:snapToGrid/>
          <w:color w:val="auto"/>
          <w:spacing w:val="-11"/>
          <w:kern w:val="2"/>
          <w:sz w:val="32"/>
          <w:szCs w:val="32"/>
          <w:highlight w:val="none"/>
          <w:lang w:eastAsia="zh-CN"/>
        </w:rPr>
        <w:t>重污染天气应急指挥中心成员单位职责</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Times New Roman" w:hAnsi="Times New Roman" w:eastAsia="仿宋_GB2312" w:cs="Times New Roman"/>
          <w:strike w:val="0"/>
          <w:dstrike w:val="0"/>
          <w:snapToGrid/>
          <w:color w:val="auto"/>
          <w:spacing w:val="-11"/>
          <w:kern w:val="2"/>
          <w:sz w:val="32"/>
          <w:szCs w:val="32"/>
          <w:highlight w:val="none"/>
          <w:lang w:eastAsia="zh-CN"/>
        </w:rPr>
      </w:pPr>
      <w:bookmarkStart w:id="299" w:name="_Toc7601"/>
      <w:bookmarkStart w:id="300" w:name="_Toc23629"/>
      <w:bookmarkStart w:id="301" w:name="_Toc32015"/>
      <w:bookmarkStart w:id="302" w:name="_Toc1170628489"/>
      <w:bookmarkStart w:id="303" w:name="_Toc11589"/>
      <w:bookmarkStart w:id="304" w:name="_Toc1221041623"/>
      <w:r>
        <w:rPr>
          <w:rFonts w:hint="eastAsia" w:ascii="Times New Roman" w:hAnsi="Times New Roman" w:eastAsia="仿宋_GB2312" w:cs="Times New Roman"/>
          <w:strike w:val="0"/>
          <w:dstrike w:val="0"/>
          <w:snapToGrid/>
          <w:color w:val="auto"/>
          <w:kern w:val="2"/>
          <w:sz w:val="32"/>
          <w:szCs w:val="32"/>
          <w:highlight w:val="none"/>
          <w:lang w:val="en-US" w:eastAsia="zh-CN"/>
        </w:rPr>
        <w:t>4．株</w:t>
      </w:r>
      <w:r>
        <w:rPr>
          <w:rFonts w:hint="eastAsia" w:ascii="Times New Roman" w:hAnsi="Times New Roman" w:eastAsia="仿宋_GB2312" w:cs="Times New Roman"/>
          <w:strike w:val="0"/>
          <w:dstrike w:val="0"/>
          <w:snapToGrid/>
          <w:color w:val="auto"/>
          <w:spacing w:val="-11"/>
          <w:kern w:val="2"/>
          <w:sz w:val="32"/>
          <w:szCs w:val="32"/>
          <w:highlight w:val="none"/>
          <w:lang w:val="en-US" w:eastAsia="zh-CN"/>
        </w:rPr>
        <w:t>洲市</w:t>
      </w:r>
      <w:r>
        <w:rPr>
          <w:rFonts w:hint="eastAsia" w:ascii="Times New Roman" w:hAnsi="Times New Roman" w:eastAsia="仿宋_GB2312" w:cs="Times New Roman"/>
          <w:strike w:val="0"/>
          <w:dstrike w:val="0"/>
          <w:snapToGrid/>
          <w:color w:val="auto"/>
          <w:spacing w:val="-11"/>
          <w:kern w:val="2"/>
          <w:sz w:val="32"/>
          <w:szCs w:val="32"/>
          <w:highlight w:val="none"/>
          <w:lang w:eastAsia="zh-CN"/>
        </w:rPr>
        <w:t>天元区</w:t>
      </w:r>
      <w:r>
        <w:rPr>
          <w:rFonts w:hint="eastAsia" w:ascii="Times New Roman" w:hAnsi="Times New Roman" w:eastAsia="仿宋_GB2312" w:cs="Times New Roman"/>
          <w:strike w:val="0"/>
          <w:dstrike w:val="0"/>
          <w:snapToGrid/>
          <w:color w:val="auto"/>
          <w:spacing w:val="-11"/>
          <w:kern w:val="2"/>
          <w:sz w:val="32"/>
          <w:szCs w:val="32"/>
          <w:highlight w:val="none"/>
          <w:lang w:val="en-US" w:eastAsia="zh-CN"/>
        </w:rPr>
        <w:t>重污染天气应急指挥中心成员单位</w:t>
      </w:r>
      <w:r>
        <w:rPr>
          <w:rFonts w:hint="eastAsia" w:ascii="Times New Roman" w:hAnsi="Times New Roman" w:eastAsia="仿宋_GB2312" w:cs="Times New Roman"/>
          <w:strike w:val="0"/>
          <w:dstrike w:val="0"/>
          <w:snapToGrid/>
          <w:color w:val="auto"/>
          <w:spacing w:val="-11"/>
          <w:kern w:val="2"/>
          <w:sz w:val="32"/>
          <w:szCs w:val="32"/>
          <w:highlight w:val="none"/>
          <w:lang w:eastAsia="zh-CN"/>
        </w:rPr>
        <w:t>电话</w:t>
      </w:r>
    </w:p>
    <w:p>
      <w:pPr>
        <w:pStyle w:val="7"/>
        <w:keepNext w:val="0"/>
        <w:keepLines w:val="0"/>
        <w:pageBreakBefore w:val="0"/>
        <w:wordWrap/>
        <w:overflowPunct/>
        <w:topLinePunct w:val="0"/>
        <w:bidi w:val="0"/>
        <w:spacing w:line="579" w:lineRule="exact"/>
        <w:rPr>
          <w:rFonts w:hint="default"/>
          <w:spacing w:val="-11"/>
          <w:lang w:val="en-US" w:eastAsia="zh-CN"/>
        </w:rPr>
        <w:sectPr>
          <w:footerReference r:id="rId3" w:type="default"/>
          <w:pgSz w:w="11906" w:h="16839"/>
          <w:pgMar w:top="2098" w:right="1531" w:bottom="1984" w:left="1531" w:header="0" w:footer="848" w:gutter="0"/>
          <w:pgNumType w:fmt="decimal"/>
          <w:cols w:space="720" w:num="1"/>
        </w:sectPr>
      </w:pPr>
    </w:p>
    <w:p>
      <w:pPr>
        <w:widowControl w:val="0"/>
        <w:kinsoku/>
        <w:autoSpaceDE/>
        <w:autoSpaceDN/>
        <w:adjustRightInd/>
        <w:snapToGrid/>
        <w:jc w:val="both"/>
        <w:textAlignment w:val="auto"/>
        <w:outlineLvl w:val="0"/>
        <w:rPr>
          <w:rFonts w:hint="eastAsia" w:ascii="黑体" w:hAnsi="黑体" w:eastAsia="黑体" w:cs="黑体"/>
          <w:strike w:val="0"/>
          <w:dstrike w:val="0"/>
          <w:snapToGrid/>
          <w:kern w:val="2"/>
          <w:sz w:val="32"/>
          <w:szCs w:val="32"/>
          <w:highlight w:val="none"/>
          <w:lang w:eastAsia="zh-CN"/>
        </w:rPr>
      </w:pPr>
      <w:r>
        <w:rPr>
          <w:rFonts w:hint="eastAsia" w:ascii="黑体" w:hAnsi="黑体" w:eastAsia="黑体" w:cs="黑体"/>
          <w:strike w:val="0"/>
          <w:dstrike w:val="0"/>
          <w:snapToGrid/>
          <w:kern w:val="2"/>
          <w:sz w:val="32"/>
          <w:szCs w:val="32"/>
          <w:highlight w:val="none"/>
          <w:lang w:eastAsia="zh-CN"/>
        </w:rPr>
        <w:t>附件</w:t>
      </w:r>
      <w:r>
        <w:rPr>
          <w:rFonts w:hint="eastAsia" w:ascii="Times New Roman" w:hAnsi="Times New Roman" w:eastAsia="仿宋_GB2312" w:cs="Times New Roman"/>
          <w:strike w:val="0"/>
          <w:dstrike w:val="0"/>
          <w:snapToGrid/>
          <w:color w:val="auto"/>
          <w:kern w:val="2"/>
          <w:sz w:val="32"/>
          <w:szCs w:val="32"/>
          <w:highlight w:val="none"/>
          <w:lang w:eastAsia="zh-CN"/>
        </w:rPr>
        <w:t>1</w:t>
      </w:r>
      <w:bookmarkEnd w:id="299"/>
      <w:bookmarkEnd w:id="300"/>
      <w:bookmarkEnd w:id="301"/>
      <w:bookmarkEnd w:id="302"/>
      <w:bookmarkEnd w:id="303"/>
      <w:bookmarkEnd w:id="304"/>
      <w:bookmarkStart w:id="305" w:name="_Toc30730"/>
      <w:bookmarkStart w:id="306" w:name="_Toc1380"/>
      <w:bookmarkStart w:id="307" w:name="_Toc5372"/>
    </w:p>
    <w:p>
      <w:pPr>
        <w:widowControl w:val="0"/>
        <w:kinsoku/>
        <w:autoSpaceDE/>
        <w:autoSpaceDN/>
        <w:adjustRightInd/>
        <w:snapToGrid/>
        <w:ind w:firstLine="1320" w:firstLineChars="300"/>
        <w:jc w:val="both"/>
        <w:textAlignment w:val="auto"/>
        <w:outlineLvl w:val="9"/>
        <w:rPr>
          <w:rFonts w:hint="eastAsia" w:ascii="方正小标宋简体" w:hAnsi="方正小标宋简体" w:eastAsia="方正小标宋简体" w:cs="方正小标宋简体"/>
          <w:strike w:val="0"/>
          <w:dstrike w:val="0"/>
          <w:snapToGrid/>
          <w:kern w:val="2"/>
          <w:sz w:val="44"/>
          <w:szCs w:val="44"/>
          <w:highlight w:val="none"/>
          <w:lang w:eastAsia="zh-CN"/>
        </w:rPr>
      </w:pPr>
    </w:p>
    <w:p>
      <w:pPr>
        <w:widowControl w:val="0"/>
        <w:kinsoku/>
        <w:autoSpaceDE/>
        <w:autoSpaceDN/>
        <w:adjustRightInd/>
        <w:snapToGrid/>
        <w:jc w:val="center"/>
        <w:textAlignment w:val="auto"/>
        <w:outlineLvl w:val="1"/>
        <w:rPr>
          <w:rFonts w:hint="eastAsia" w:ascii="方正小标宋简体" w:hAnsi="方正小标宋简体" w:eastAsia="方正小标宋简体" w:cs="方正小标宋简体"/>
          <w:strike w:val="0"/>
          <w:dstrike w:val="0"/>
          <w:snapToGrid/>
          <w:kern w:val="2"/>
          <w:sz w:val="44"/>
          <w:szCs w:val="44"/>
          <w:highlight w:val="none"/>
          <w:lang w:eastAsia="zh-CN"/>
        </w:rPr>
      </w:pPr>
      <w:bookmarkStart w:id="308" w:name="_Toc1917068437"/>
      <w:r>
        <w:rPr>
          <w:rFonts w:hint="eastAsia" w:ascii="方正小标宋简体" w:hAnsi="方正小标宋简体" w:eastAsia="方正小标宋简体" w:cs="方正小标宋简体"/>
          <w:strike w:val="0"/>
          <w:dstrike w:val="0"/>
          <w:snapToGrid/>
          <w:kern w:val="2"/>
          <w:sz w:val="44"/>
          <w:szCs w:val="44"/>
          <w:highlight w:val="none"/>
          <w:lang w:eastAsia="zh-CN"/>
        </w:rPr>
        <w:t>株洲市天元区重污染天气应急组织架构图</w:t>
      </w:r>
      <w:bookmarkEnd w:id="305"/>
      <w:bookmarkEnd w:id="306"/>
      <w:bookmarkEnd w:id="307"/>
      <w:bookmarkEnd w:id="308"/>
    </w:p>
    <w:p>
      <w:pPr>
        <w:pStyle w:val="3"/>
        <w:spacing w:line="357" w:lineRule="auto"/>
        <w:rPr>
          <w:rFonts w:eastAsiaTheme="minorEastAsia"/>
          <w:strike w:val="0"/>
          <w:dstrike w:val="0"/>
          <w:highlight w:val="none"/>
          <w:lang w:eastAsia="zh-CN"/>
        </w:rPr>
      </w:pPr>
    </w:p>
    <w:p>
      <w:pPr>
        <w:pStyle w:val="3"/>
        <w:spacing w:line="357" w:lineRule="auto"/>
        <w:rPr>
          <w:rFonts w:eastAsiaTheme="minorEastAsia"/>
          <w:strike w:val="0"/>
          <w:dstrike w:val="0"/>
          <w:highlight w:val="none"/>
          <w:lang w:eastAsia="zh-CN"/>
        </w:rPr>
      </w:pPr>
    </w:p>
    <w:p>
      <w:r>
        <w:rPr>
          <w:sz w:val="21"/>
        </w:rPr>
        <mc:AlternateContent>
          <mc:Choice Requires="wpg">
            <w:drawing>
              <wp:anchor distT="0" distB="0" distL="114300" distR="114300" simplePos="0" relativeHeight="251665408" behindDoc="0" locked="0" layoutInCell="1" allowOverlap="1">
                <wp:simplePos x="0" y="0"/>
                <wp:positionH relativeFrom="column">
                  <wp:posOffset>165735</wp:posOffset>
                </wp:positionH>
                <wp:positionV relativeFrom="paragraph">
                  <wp:posOffset>12700</wp:posOffset>
                </wp:positionV>
                <wp:extent cx="5481320" cy="3775710"/>
                <wp:effectExtent l="4445" t="5080" r="19685" b="10160"/>
                <wp:wrapNone/>
                <wp:docPr id="23" name="组合 23"/>
                <wp:cNvGraphicFramePr/>
                <a:graphic xmlns:a="http://schemas.openxmlformats.org/drawingml/2006/main">
                  <a:graphicData uri="http://schemas.microsoft.com/office/word/2010/wordprocessingGroup">
                    <wpg:wgp>
                      <wpg:cNvGrpSpPr/>
                      <wpg:grpSpPr>
                        <a:xfrm rot="0">
                          <a:off x="1403350" y="927100"/>
                          <a:ext cx="5481320" cy="3775710"/>
                          <a:chOff x="-158115" y="0"/>
                          <a:chExt cx="5481320" cy="3775710"/>
                        </a:xfrm>
                      </wpg:grpSpPr>
                      <wpg:grpSp>
                        <wpg:cNvPr id="22" name="组合 22"/>
                        <wpg:cNvGrpSpPr/>
                        <wpg:grpSpPr>
                          <a:xfrm>
                            <a:off x="-158115" y="0"/>
                            <a:ext cx="5481320" cy="3775710"/>
                            <a:chOff x="-107315" y="0"/>
                            <a:chExt cx="5481320" cy="3775710"/>
                          </a:xfrm>
                        </wpg:grpSpPr>
                        <wps:wsp>
                          <wps:cNvPr id="5" name="文本框 2"/>
                          <wps:cNvSpPr txBox="1">
                            <a:spLocks noChangeArrowheads="1"/>
                          </wps:cNvSpPr>
                          <wps:spPr bwMode="auto">
                            <a:xfrm>
                              <a:off x="1809750" y="0"/>
                              <a:ext cx="1647190" cy="288079"/>
                            </a:xfrm>
                            <a:prstGeom prst="rect">
                              <a:avLst/>
                            </a:prstGeom>
                            <a:solidFill>
                              <a:srgbClr val="FFFFFF"/>
                            </a:solidFill>
                            <a:ln w="9525">
                              <a:solidFill>
                                <a:srgbClr val="000000"/>
                              </a:solidFill>
                              <a:miter lim="800000"/>
                            </a:ln>
                          </wps:spPr>
                          <wps:txbx>
                            <w:txbxContent>
                              <w:p>
                                <w:pPr>
                                  <w:jc w:val="center"/>
                                  <w:rPr>
                                    <w:rFonts w:hint="eastAsia" w:eastAsiaTheme="minorEastAsia"/>
                                    <w:lang w:val="en-US" w:eastAsia="zh-CN"/>
                                  </w:rPr>
                                </w:pPr>
                                <w:r>
                                  <w:t>区</w:t>
                                </w:r>
                                <w:r>
                                  <w:rPr>
                                    <w:rFonts w:hint="eastAsia"/>
                                  </w:rPr>
                                  <w:t>指挥</w:t>
                                </w:r>
                                <w:r>
                                  <w:rPr>
                                    <w:rFonts w:hint="eastAsia"/>
                                    <w:lang w:val="en-US" w:eastAsia="zh-CN"/>
                                  </w:rPr>
                                  <w:t>中心</w:t>
                                </w:r>
                              </w:p>
                            </w:txbxContent>
                          </wps:txbx>
                          <wps:bodyPr rot="0" vert="horz" wrap="square" lIns="91440" tIns="45720" rIns="91440" bIns="45720" anchor="t" anchorCtr="0">
                            <a:noAutofit/>
                          </wps:bodyPr>
                        </wps:wsp>
                        <wps:wsp>
                          <wps:cNvPr id="7" name="文本框 2"/>
                          <wps:cNvSpPr txBox="1">
                            <a:spLocks noChangeArrowheads="1"/>
                          </wps:cNvSpPr>
                          <wps:spPr bwMode="auto">
                            <a:xfrm>
                              <a:off x="-107315" y="2120900"/>
                              <a:ext cx="5481320" cy="165481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bidi w:val="0"/>
                                  <w:adjustRightInd/>
                                  <w:snapToGrid/>
                                  <w:spacing w:line="420" w:lineRule="exact"/>
                                  <w:textAlignment w:val="auto"/>
                                  <w:rPr>
                                    <w:rFonts w:hint="eastAsia"/>
                                    <w:lang w:val="en-US" w:eastAsia="zh-CN"/>
                                  </w:rPr>
                                </w:pPr>
                                <w:r>
                                  <w:rPr>
                                    <w:rFonts w:hint="eastAsia"/>
                                    <w:lang w:val="en-US" w:eastAsia="zh-CN"/>
                                  </w:rPr>
                                  <w:t>镇人民政府（街道办事处）</w:t>
                                </w:r>
                              </w:p>
                              <w:p>
                                <w:pPr>
                                  <w:keepNext w:val="0"/>
                                  <w:keepLines w:val="0"/>
                                  <w:pageBreakBefore w:val="0"/>
                                  <w:widowControl w:val="0"/>
                                  <w:kinsoku/>
                                  <w:wordWrap/>
                                  <w:overflowPunct/>
                                  <w:topLinePunct w:val="0"/>
                                  <w:bidi w:val="0"/>
                                  <w:adjustRightInd/>
                                  <w:snapToGrid/>
                                  <w:spacing w:line="420" w:lineRule="exact"/>
                                  <w:textAlignment w:val="auto"/>
                                  <w:rPr>
                                    <w:rFonts w:hint="default"/>
                                    <w:lang w:val="en-US" w:eastAsia="zh-CN"/>
                                  </w:rPr>
                                </w:pPr>
                                <w:r>
                                  <w:rPr>
                                    <w:rFonts w:hint="eastAsia"/>
                                    <w:lang w:val="en-US" w:eastAsia="zh-CN"/>
                                  </w:rPr>
                                  <w:t>区文旅广局</w:t>
                                </w:r>
                              </w:p>
                              <w:p>
                                <w:pPr>
                                  <w:keepNext w:val="0"/>
                                  <w:keepLines w:val="0"/>
                                  <w:pageBreakBefore w:val="0"/>
                                  <w:widowControl w:val="0"/>
                                  <w:kinsoku/>
                                  <w:wordWrap/>
                                  <w:overflowPunct/>
                                  <w:topLinePunct w:val="0"/>
                                  <w:bidi w:val="0"/>
                                  <w:adjustRightInd/>
                                  <w:snapToGrid/>
                                  <w:spacing w:line="420" w:lineRule="exact"/>
                                  <w:textAlignment w:val="auto"/>
                                  <w:rPr>
                                    <w:rFonts w:hint="default"/>
                                    <w:lang w:val="en-US" w:eastAsia="zh-CN"/>
                                  </w:rPr>
                                </w:pPr>
                                <w:r>
                                  <w:rPr>
                                    <w:rFonts w:hint="eastAsia"/>
                                    <w:lang w:val="en-US" w:eastAsia="zh-CN"/>
                                  </w:rPr>
                                  <w:t>区市场监管局</w:t>
                                </w:r>
                              </w:p>
                              <w:p>
                                <w:pPr>
                                  <w:keepNext w:val="0"/>
                                  <w:keepLines w:val="0"/>
                                  <w:pageBreakBefore w:val="0"/>
                                  <w:widowControl w:val="0"/>
                                  <w:kinsoku/>
                                  <w:wordWrap/>
                                  <w:overflowPunct/>
                                  <w:topLinePunct w:val="0"/>
                                  <w:bidi w:val="0"/>
                                  <w:adjustRightInd/>
                                  <w:snapToGrid/>
                                  <w:spacing w:line="420" w:lineRule="exact"/>
                                  <w:textAlignment w:val="auto"/>
                                  <w:rPr>
                                    <w:rFonts w:hint="eastAsia"/>
                                  </w:rPr>
                                </w:pPr>
                                <w:r>
                                  <w:rPr>
                                    <w:rFonts w:hint="eastAsia"/>
                                  </w:rPr>
                                  <w:t>区交通运输局</w:t>
                                </w:r>
                              </w:p>
                              <w:p>
                                <w:pPr>
                                  <w:keepNext w:val="0"/>
                                  <w:keepLines w:val="0"/>
                                  <w:pageBreakBefore w:val="0"/>
                                  <w:widowControl w:val="0"/>
                                  <w:kinsoku/>
                                  <w:wordWrap/>
                                  <w:overflowPunct/>
                                  <w:topLinePunct w:val="0"/>
                                  <w:bidi w:val="0"/>
                                  <w:adjustRightInd/>
                                  <w:snapToGrid/>
                                  <w:spacing w:line="420" w:lineRule="exact"/>
                                  <w:textAlignment w:val="auto"/>
                                  <w:rPr>
                                    <w:rFonts w:hint="eastAsia"/>
                                  </w:rPr>
                                </w:pPr>
                                <w:r>
                                  <w:rPr>
                                    <w:rFonts w:hint="eastAsia"/>
                                  </w:rPr>
                                  <w:t>区交警大队</w:t>
                                </w:r>
                              </w:p>
                              <w:p>
                                <w:pPr>
                                  <w:keepNext w:val="0"/>
                                  <w:keepLines w:val="0"/>
                                  <w:pageBreakBefore w:val="0"/>
                                  <w:widowControl w:val="0"/>
                                  <w:kinsoku/>
                                  <w:wordWrap/>
                                  <w:overflowPunct/>
                                  <w:topLinePunct w:val="0"/>
                                  <w:bidi w:val="0"/>
                                  <w:adjustRightInd/>
                                  <w:snapToGrid/>
                                  <w:spacing w:line="420" w:lineRule="exact"/>
                                  <w:textAlignment w:val="auto"/>
                                  <w:rPr>
                                    <w:rFonts w:hint="default" w:eastAsiaTheme="minorEastAsia"/>
                                    <w:lang w:val="en-US" w:eastAsia="zh-CN"/>
                                  </w:rPr>
                                </w:pPr>
                                <w:r>
                                  <w:rPr>
                                    <w:rFonts w:hint="eastAsia"/>
                                    <w:lang w:val="en-US" w:eastAsia="zh-CN"/>
                                  </w:rPr>
                                  <w:t>市公安局天元分局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区卫健局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区应急管理局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区农业</w:t>
                                </w:r>
                                <w:r>
                                  <w:rPr>
                                    <w:rFonts w:hint="eastAsia"/>
                                    <w:lang w:val="en-US" w:eastAsia="zh-CN"/>
                                  </w:rPr>
                                  <w:t>农村</w:t>
                                </w:r>
                                <w:r>
                                  <w:rPr>
                                    <w:rFonts w:hint="eastAsia"/>
                                  </w:rPr>
                                  <w:t>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区水利局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区城管局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区住建局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市生态环境局天元分局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区自然资源局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区财政局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区科工信局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区教育局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区发改局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区委网信办</w:t>
                                </w:r>
                              </w:p>
                              <w:p>
                                <w:pPr>
                                  <w:keepNext w:val="0"/>
                                  <w:keepLines w:val="0"/>
                                  <w:pageBreakBefore w:val="0"/>
                                  <w:widowControl w:val="0"/>
                                  <w:kinsoku/>
                                  <w:wordWrap/>
                                  <w:overflowPunct/>
                                  <w:topLinePunct w:val="0"/>
                                  <w:bidi w:val="0"/>
                                  <w:adjustRightInd/>
                                  <w:snapToGrid/>
                                  <w:spacing w:line="420" w:lineRule="exact"/>
                                  <w:textAlignment w:val="auto"/>
                                </w:pPr>
                                <w:r>
                                  <w:t>区</w:t>
                                </w:r>
                                <w:r>
                                  <w:rPr>
                                    <w:rFonts w:hint="eastAsia"/>
                                  </w:rPr>
                                  <w:t>委宣传部</w:t>
                                </w:r>
                              </w:p>
                            </w:txbxContent>
                          </wps:txbx>
                          <wps:bodyPr rot="0" vert="eaVert" wrap="square" lIns="91440" tIns="45720" rIns="91440" bIns="45720" anchor="t" anchorCtr="0">
                            <a:noAutofit/>
                          </wps:bodyPr>
                        </wps:wsp>
                        <wpg:grpSp>
                          <wpg:cNvPr id="21" name="组合 21"/>
                          <wpg:cNvGrpSpPr/>
                          <wpg:grpSpPr>
                            <a:xfrm>
                              <a:off x="1809750" y="622300"/>
                              <a:ext cx="1647190" cy="1026795"/>
                              <a:chOff x="0" y="27305"/>
                              <a:chExt cx="1647190" cy="1026795"/>
                            </a:xfrm>
                          </wpg:grpSpPr>
                          <wps:wsp>
                            <wps:cNvPr id="8" name="文本框 2"/>
                            <wps:cNvSpPr txBox="1">
                              <a:spLocks noChangeArrowheads="1"/>
                            </wps:cNvSpPr>
                            <wps:spPr bwMode="auto">
                              <a:xfrm>
                                <a:off x="0" y="27305"/>
                                <a:ext cx="1647190" cy="288079"/>
                              </a:xfrm>
                              <a:prstGeom prst="rect">
                                <a:avLst/>
                              </a:prstGeom>
                              <a:solidFill>
                                <a:srgbClr val="FFFFFF"/>
                              </a:solidFill>
                              <a:ln w="9525">
                                <a:solidFill>
                                  <a:srgbClr val="000000"/>
                                </a:solidFill>
                                <a:miter lim="800000"/>
                              </a:ln>
                            </wps:spPr>
                            <wps:txbx>
                              <w:txbxContent>
                                <w:p>
                                  <w:pPr>
                                    <w:jc w:val="center"/>
                                  </w:pPr>
                                  <w:r>
                                    <w:rPr>
                                      <w:rFonts w:hint="eastAsia"/>
                                    </w:rPr>
                                    <w:t>区指挥</w:t>
                                  </w:r>
                                  <w:r>
                                    <w:rPr>
                                      <w:rFonts w:hint="eastAsia"/>
                                      <w:lang w:val="en-US" w:eastAsia="zh-CN"/>
                                    </w:rPr>
                                    <w:t>中心</w:t>
                                  </w:r>
                                  <w:r>
                                    <w:rPr>
                                      <w:rFonts w:hint="eastAsia"/>
                                    </w:rPr>
                                    <w:t>办公室</w:t>
                                  </w:r>
                                </w:p>
                              </w:txbxContent>
                            </wps:txbx>
                            <wps:bodyPr rot="0" vert="horz" wrap="square" lIns="91440" tIns="45720" rIns="91440" bIns="45720" anchor="t" anchorCtr="0">
                              <a:noAutofit/>
                            </wps:bodyPr>
                          </wps:wsp>
                          <wpg:grpSp>
                            <wpg:cNvPr id="20" name="组合 20"/>
                            <wpg:cNvGrpSpPr/>
                            <wpg:grpSpPr>
                              <a:xfrm>
                                <a:off x="0" y="315384"/>
                                <a:ext cx="1647190" cy="738716"/>
                                <a:chOff x="-19050" y="23284"/>
                                <a:chExt cx="1647190" cy="738716"/>
                              </a:xfrm>
                            </wpg:grpSpPr>
                            <wps:wsp>
                              <wps:cNvPr id="9" name="直接箭头连接符 9"/>
                              <wps:cNvCnPr>
                                <a:stCxn id="2" idx="2"/>
                                <a:endCxn id="217" idx="0"/>
                              </wps:cNvCnPr>
                              <wps:spPr>
                                <a:xfrm>
                                  <a:off x="804545" y="23284"/>
                                  <a:ext cx="0" cy="408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 name="文本框 2"/>
                              <wps:cNvSpPr txBox="1">
                                <a:spLocks noChangeArrowheads="1"/>
                              </wps:cNvSpPr>
                              <wps:spPr bwMode="auto">
                                <a:xfrm>
                                  <a:off x="-19050" y="431800"/>
                                  <a:ext cx="1647190" cy="330200"/>
                                </a:xfrm>
                                <a:prstGeom prst="rect">
                                  <a:avLst/>
                                </a:prstGeom>
                                <a:solidFill>
                                  <a:srgbClr val="FFFFFF"/>
                                </a:solidFill>
                                <a:ln w="9525">
                                  <a:solidFill>
                                    <a:srgbClr val="000000"/>
                                  </a:solidFill>
                                  <a:miter lim="800000"/>
                                </a:ln>
                              </wps:spPr>
                              <wps:txbx>
                                <w:txbxContent>
                                  <w:p>
                                    <w:pPr>
                                      <w:jc w:val="center"/>
                                    </w:pPr>
                                    <w:r>
                                      <w:rPr>
                                        <w:rFonts w:hint="eastAsia"/>
                                      </w:rPr>
                                      <w:t>区指挥</w:t>
                                    </w:r>
                                    <w:r>
                                      <w:rPr>
                                        <w:rFonts w:hint="eastAsia"/>
                                        <w:lang w:val="en-US" w:eastAsia="zh-CN"/>
                                      </w:rPr>
                                      <w:t>中心</w:t>
                                    </w:r>
                                    <w:r>
                                      <w:rPr>
                                        <w:rFonts w:hint="eastAsia"/>
                                      </w:rPr>
                                      <w:t>成员单位</w:t>
                                    </w:r>
                                  </w:p>
                                </w:txbxContent>
                              </wps:txbx>
                              <wps:bodyPr rot="0" vert="horz" wrap="square" lIns="91440" tIns="45720" rIns="91440" bIns="45720" anchor="t" anchorCtr="0">
                                <a:noAutofit/>
                              </wps:bodyPr>
                            </wps:wsp>
                          </wpg:grpSp>
                        </wpg:grpSp>
                      </wpg:grpSp>
                      <wps:wsp>
                        <wps:cNvPr id="10" name="直接箭头连接符 13"/>
                        <wps:cNvCnPr>
                          <a:stCxn id="217" idx="2"/>
                          <a:endCxn id="3" idx="0"/>
                        </wps:cNvCnPr>
                        <wps:spPr>
                          <a:xfrm>
                            <a:off x="2582545" y="1649095"/>
                            <a:ext cx="0" cy="4718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3.05pt;margin-top:1pt;height:297.3pt;width:431.6pt;z-index:251665408;mso-width-relative:page;mso-height-relative:page;" coordorigin="-158115,0" coordsize="5481320,3775710" o:gfxdata="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">
                <o:lock v:ext="edit" aspectratio="f"/>
                <v:group id="_x0000_s1026" o:spid="_x0000_s1026" o:spt="203" style="position:absolute;left:-158115;top:0;height:3775710;width:5481320;" coordorigin="-107315,0" coordsize="5481320,3775710" o:gfxdata="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">
                  <o:lock v:ext="edit" aspectratio="f"/>
                  <v:shape id="文本框 2" o:spid="_x0000_s1026" o:spt="202" type="#_x0000_t202" style="position:absolute;left:1809750;top:0;height:288079;width:1647190;" fillcolor="#FFFFFF" filled="t" stroked="t" coordsize="21600,21600" o:gfxdata="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">
                    <v:fill on="t" focussize="0,0"/>
                    <v:stroke color="#000000" miterlimit="8" joinstyle="miter"/>
                    <v:imagedata o:title=""/>
                    <o:lock v:ext="edit" aspectratio="f"/>
                    <v:textbox>
                      <w:txbxContent>
                        <w:p>
                          <w:pPr>
                            <w:jc w:val="center"/>
                            <w:rPr>
                              <w:rFonts w:hint="eastAsia" w:eastAsiaTheme="minorEastAsia"/>
                              <w:lang w:val="en-US" w:eastAsia="zh-CN"/>
                            </w:rPr>
                          </w:pPr>
                          <w:r>
                            <w:t>区</w:t>
                          </w:r>
                          <w:r>
                            <w:rPr>
                              <w:rFonts w:hint="eastAsia"/>
                            </w:rPr>
                            <w:t>指挥</w:t>
                          </w:r>
                          <w:r>
                            <w:rPr>
                              <w:rFonts w:hint="eastAsia"/>
                              <w:lang w:val="en-US" w:eastAsia="zh-CN"/>
                            </w:rPr>
                            <w:t>中心</w:t>
                          </w:r>
                        </w:p>
                      </w:txbxContent>
                    </v:textbox>
                  </v:shape>
                  <v:shape id="文本框 2" o:spid="_x0000_s1026" o:spt="202" type="#_x0000_t202" style="position:absolute;left:-107315;top:2120900;height:1654810;width:5481320;" fillcolor="#FFFFFF" filled="t" stroked="t" coordsize="21600,21600" o:gfxdata="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">
                    <v:fill on="t" focussize="0,0"/>
                    <v:stroke color="#000000" miterlimit="8" joinstyle="miter"/>
                    <v:imagedata o:title=""/>
                    <o:lock v:ext="edit" aspectratio="f"/>
                    <v:textbox style="layout-flow:vertical-ideographic;">
                      <w:txbxContent>
                        <w:p>
                          <w:pPr>
                            <w:keepNext w:val="0"/>
                            <w:keepLines w:val="0"/>
                            <w:pageBreakBefore w:val="0"/>
                            <w:widowControl w:val="0"/>
                            <w:kinsoku/>
                            <w:wordWrap/>
                            <w:overflowPunct/>
                            <w:topLinePunct w:val="0"/>
                            <w:bidi w:val="0"/>
                            <w:adjustRightInd/>
                            <w:snapToGrid/>
                            <w:spacing w:line="420" w:lineRule="exact"/>
                            <w:textAlignment w:val="auto"/>
                            <w:rPr>
                              <w:rFonts w:hint="eastAsia"/>
                              <w:lang w:val="en-US" w:eastAsia="zh-CN"/>
                            </w:rPr>
                          </w:pPr>
                          <w:r>
                            <w:rPr>
                              <w:rFonts w:hint="eastAsia"/>
                              <w:lang w:val="en-US" w:eastAsia="zh-CN"/>
                            </w:rPr>
                            <w:t>镇人民政府（街道办事处）</w:t>
                          </w:r>
                        </w:p>
                        <w:p>
                          <w:pPr>
                            <w:keepNext w:val="0"/>
                            <w:keepLines w:val="0"/>
                            <w:pageBreakBefore w:val="0"/>
                            <w:widowControl w:val="0"/>
                            <w:kinsoku/>
                            <w:wordWrap/>
                            <w:overflowPunct/>
                            <w:topLinePunct w:val="0"/>
                            <w:bidi w:val="0"/>
                            <w:adjustRightInd/>
                            <w:snapToGrid/>
                            <w:spacing w:line="420" w:lineRule="exact"/>
                            <w:textAlignment w:val="auto"/>
                            <w:rPr>
                              <w:rFonts w:hint="default"/>
                              <w:lang w:val="en-US" w:eastAsia="zh-CN"/>
                            </w:rPr>
                          </w:pPr>
                          <w:r>
                            <w:rPr>
                              <w:rFonts w:hint="eastAsia"/>
                              <w:lang w:val="en-US" w:eastAsia="zh-CN"/>
                            </w:rPr>
                            <w:t>区文旅广局</w:t>
                          </w:r>
                        </w:p>
                        <w:p>
                          <w:pPr>
                            <w:keepNext w:val="0"/>
                            <w:keepLines w:val="0"/>
                            <w:pageBreakBefore w:val="0"/>
                            <w:widowControl w:val="0"/>
                            <w:kinsoku/>
                            <w:wordWrap/>
                            <w:overflowPunct/>
                            <w:topLinePunct w:val="0"/>
                            <w:bidi w:val="0"/>
                            <w:adjustRightInd/>
                            <w:snapToGrid/>
                            <w:spacing w:line="420" w:lineRule="exact"/>
                            <w:textAlignment w:val="auto"/>
                            <w:rPr>
                              <w:rFonts w:hint="default"/>
                              <w:lang w:val="en-US" w:eastAsia="zh-CN"/>
                            </w:rPr>
                          </w:pPr>
                          <w:r>
                            <w:rPr>
                              <w:rFonts w:hint="eastAsia"/>
                              <w:lang w:val="en-US" w:eastAsia="zh-CN"/>
                            </w:rPr>
                            <w:t>区市场监管局</w:t>
                          </w:r>
                        </w:p>
                        <w:p>
                          <w:pPr>
                            <w:keepNext w:val="0"/>
                            <w:keepLines w:val="0"/>
                            <w:pageBreakBefore w:val="0"/>
                            <w:widowControl w:val="0"/>
                            <w:kinsoku/>
                            <w:wordWrap/>
                            <w:overflowPunct/>
                            <w:topLinePunct w:val="0"/>
                            <w:bidi w:val="0"/>
                            <w:adjustRightInd/>
                            <w:snapToGrid/>
                            <w:spacing w:line="420" w:lineRule="exact"/>
                            <w:textAlignment w:val="auto"/>
                            <w:rPr>
                              <w:rFonts w:hint="eastAsia"/>
                            </w:rPr>
                          </w:pPr>
                          <w:r>
                            <w:rPr>
                              <w:rFonts w:hint="eastAsia"/>
                            </w:rPr>
                            <w:t>区交通运输局</w:t>
                          </w:r>
                        </w:p>
                        <w:p>
                          <w:pPr>
                            <w:keepNext w:val="0"/>
                            <w:keepLines w:val="0"/>
                            <w:pageBreakBefore w:val="0"/>
                            <w:widowControl w:val="0"/>
                            <w:kinsoku/>
                            <w:wordWrap/>
                            <w:overflowPunct/>
                            <w:topLinePunct w:val="0"/>
                            <w:bidi w:val="0"/>
                            <w:adjustRightInd/>
                            <w:snapToGrid/>
                            <w:spacing w:line="420" w:lineRule="exact"/>
                            <w:textAlignment w:val="auto"/>
                            <w:rPr>
                              <w:rFonts w:hint="eastAsia"/>
                            </w:rPr>
                          </w:pPr>
                          <w:r>
                            <w:rPr>
                              <w:rFonts w:hint="eastAsia"/>
                            </w:rPr>
                            <w:t>区交警大队</w:t>
                          </w:r>
                        </w:p>
                        <w:p>
                          <w:pPr>
                            <w:keepNext w:val="0"/>
                            <w:keepLines w:val="0"/>
                            <w:pageBreakBefore w:val="0"/>
                            <w:widowControl w:val="0"/>
                            <w:kinsoku/>
                            <w:wordWrap/>
                            <w:overflowPunct/>
                            <w:topLinePunct w:val="0"/>
                            <w:bidi w:val="0"/>
                            <w:adjustRightInd/>
                            <w:snapToGrid/>
                            <w:spacing w:line="420" w:lineRule="exact"/>
                            <w:textAlignment w:val="auto"/>
                            <w:rPr>
                              <w:rFonts w:hint="default" w:eastAsiaTheme="minorEastAsia"/>
                              <w:lang w:val="en-US" w:eastAsia="zh-CN"/>
                            </w:rPr>
                          </w:pPr>
                          <w:r>
                            <w:rPr>
                              <w:rFonts w:hint="eastAsia"/>
                              <w:lang w:val="en-US" w:eastAsia="zh-CN"/>
                            </w:rPr>
                            <w:t>市公安局天元分局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区卫健局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区应急管理局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区农业</w:t>
                          </w:r>
                          <w:r>
                            <w:rPr>
                              <w:rFonts w:hint="eastAsia"/>
                              <w:lang w:val="en-US" w:eastAsia="zh-CN"/>
                            </w:rPr>
                            <w:t>农村</w:t>
                          </w:r>
                          <w:r>
                            <w:rPr>
                              <w:rFonts w:hint="eastAsia"/>
                            </w:rPr>
                            <w:t>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区水利局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区城管局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区住建局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市生态环境局天元分局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区自然资源局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区财政局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区科工信局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区教育局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区发改局</w:t>
                          </w:r>
                        </w:p>
                        <w:p>
                          <w:pPr>
                            <w:keepNext w:val="0"/>
                            <w:keepLines w:val="0"/>
                            <w:pageBreakBefore w:val="0"/>
                            <w:widowControl w:val="0"/>
                            <w:kinsoku/>
                            <w:wordWrap/>
                            <w:overflowPunct/>
                            <w:topLinePunct w:val="0"/>
                            <w:bidi w:val="0"/>
                            <w:adjustRightInd/>
                            <w:snapToGrid/>
                            <w:spacing w:line="420" w:lineRule="exact"/>
                            <w:textAlignment w:val="auto"/>
                          </w:pPr>
                          <w:r>
                            <w:rPr>
                              <w:rFonts w:hint="eastAsia"/>
                            </w:rPr>
                            <w:t>区委网信办</w:t>
                          </w:r>
                        </w:p>
                        <w:p>
                          <w:pPr>
                            <w:keepNext w:val="0"/>
                            <w:keepLines w:val="0"/>
                            <w:pageBreakBefore w:val="0"/>
                            <w:widowControl w:val="0"/>
                            <w:kinsoku/>
                            <w:wordWrap/>
                            <w:overflowPunct/>
                            <w:topLinePunct w:val="0"/>
                            <w:bidi w:val="0"/>
                            <w:adjustRightInd/>
                            <w:snapToGrid/>
                            <w:spacing w:line="420" w:lineRule="exact"/>
                            <w:textAlignment w:val="auto"/>
                          </w:pPr>
                          <w:r>
                            <w:t>区</w:t>
                          </w:r>
                          <w:r>
                            <w:rPr>
                              <w:rFonts w:hint="eastAsia"/>
                            </w:rPr>
                            <w:t>委宣传部</w:t>
                          </w:r>
                        </w:p>
                      </w:txbxContent>
                    </v:textbox>
                  </v:shape>
                  <v:group id="_x0000_s1026" o:spid="_x0000_s1026" o:spt="203" style="position:absolute;left:1809750;top:622300;height:1026795;width:1647190;" coordorigin="0,27305" coordsize="1647190,1026795" o:gfxdata="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">
                    <o:lock v:ext="edit" aspectratio="f"/>
                    <v:shape id="文本框 2" o:spid="_x0000_s1026" o:spt="202" type="#_x0000_t202" style="position:absolute;left:0;top:27305;height:288079;width:1647190;" fillcolor="#FFFFFF" filled="t" stroked="t" coordsize="21600,21600" o:gfxdata="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">
                      <v:fill on="t" focussize="0,0"/>
                      <v:stroke color="#000000" miterlimit="8" joinstyle="miter"/>
                      <v:imagedata o:title=""/>
                      <o:lock v:ext="edit" aspectratio="f"/>
                      <v:textbox>
                        <w:txbxContent>
                          <w:p>
                            <w:pPr>
                              <w:jc w:val="center"/>
                            </w:pPr>
                            <w:r>
                              <w:rPr>
                                <w:rFonts w:hint="eastAsia"/>
                              </w:rPr>
                              <w:t>区指挥</w:t>
                            </w:r>
                            <w:r>
                              <w:rPr>
                                <w:rFonts w:hint="eastAsia"/>
                                <w:lang w:val="en-US" w:eastAsia="zh-CN"/>
                              </w:rPr>
                              <w:t>中心</w:t>
                            </w:r>
                            <w:r>
                              <w:rPr>
                                <w:rFonts w:hint="eastAsia"/>
                              </w:rPr>
                              <w:t>办公室</w:t>
                            </w:r>
                          </w:p>
                        </w:txbxContent>
                      </v:textbox>
                    </v:shape>
                    <v:group id="_x0000_s1026" o:spid="_x0000_s1026" o:spt="203" style="position:absolute;left:0;top:315384;height:738716;width:1647190;" coordorigin="-19050,23284" coordsize="1647190,738716" o:gfxdata="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">
                      <o:lock v:ext="edit" aspectratio="f"/>
                      <v:shape id="_x0000_s1026" o:spid="_x0000_s1026" o:spt="32" type="#_x0000_t32" style="position:absolute;left:804545;top:23284;height:408516;width:0;" filled="f" stroked="t" coordsize="21600,21600" o:gfxdata="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">
                        <v:fill on="f" focussize="0,0"/>
                        <v:stroke weight="0.5pt" color="#5B9BD5 [3204]" miterlimit="8" joinstyle="miter" endarrow="block"/>
                        <v:imagedata o:title=""/>
                        <o:lock v:ext="edit" aspectratio="f"/>
                      </v:shape>
                      <v:shape id="文本框 2" o:spid="_x0000_s1026" o:spt="202" type="#_x0000_t202" style="position:absolute;left:-19050;top:431800;height:330200;width:1647190;" fillcolor="#FFFFFF" filled="t" stroked="t" coordsize="21600,21600" o:gfxdata="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">
                        <v:fill on="t" focussize="0,0"/>
                        <v:stroke color="#000000" miterlimit="8" joinstyle="miter"/>
                        <v:imagedata o:title=""/>
                        <o:lock v:ext="edit" aspectratio="f"/>
                        <v:textbox>
                          <w:txbxContent>
                            <w:p>
                              <w:pPr>
                                <w:jc w:val="center"/>
                              </w:pPr>
                              <w:r>
                                <w:rPr>
                                  <w:rFonts w:hint="eastAsia"/>
                                </w:rPr>
                                <w:t>区指挥</w:t>
                              </w:r>
                              <w:r>
                                <w:rPr>
                                  <w:rFonts w:hint="eastAsia"/>
                                  <w:lang w:val="en-US" w:eastAsia="zh-CN"/>
                                </w:rPr>
                                <w:t>中心</w:t>
                              </w:r>
                              <w:r>
                                <w:rPr>
                                  <w:rFonts w:hint="eastAsia"/>
                                </w:rPr>
                                <w:t>成员单位</w:t>
                              </w:r>
                            </w:p>
                          </w:txbxContent>
                        </v:textbox>
                      </v:shape>
                    </v:group>
                  </v:group>
                </v:group>
                <v:shape id="直接箭头连接符 13" o:spid="_x0000_s1026" o:spt="32" type="#_x0000_t32" style="position:absolute;left:2582545;top:1649095;height:471805;width:0;" filled="f" stroked="t" coordsize="21600,21600" o:gfxdata="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">
                  <v:fill on="f" focussize="0,0"/>
                  <v:stroke weight="0.5pt" color="#5B9BD5 [3204]" miterlimit="8" joinstyle="miter" endarrow="block"/>
                  <v:imagedata o:title=""/>
                  <o:lock v:ext="edit" aspectratio="f"/>
                </v:shape>
              </v:group>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2908300</wp:posOffset>
                </wp:positionH>
                <wp:positionV relativeFrom="paragraph">
                  <wp:posOffset>100330</wp:posOffset>
                </wp:positionV>
                <wp:extent cx="0" cy="339090"/>
                <wp:effectExtent l="38100" t="0" r="38100" b="3810"/>
                <wp:wrapNone/>
                <wp:docPr id="11" name="直接箭头连接符 11"/>
                <wp:cNvGraphicFramePr/>
                <a:graphic xmlns:a="http://schemas.openxmlformats.org/drawingml/2006/main">
                  <a:graphicData uri="http://schemas.microsoft.com/office/word/2010/wordprocessingShape">
                    <wps:wsp>
                      <wps:cNvCnPr/>
                      <wps:spPr>
                        <a:xfrm>
                          <a:off x="0" y="0"/>
                          <a:ext cx="0" cy="3389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9pt;margin-top:7.9pt;height:26.7pt;width:0pt;z-index:251664384;mso-width-relative:page;mso-height-relative:page;" filled="f" stroked="t" coordsize="21600,21600" o:gfxdata="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">
                <v:fill on="f" focussize="0,0"/>
                <v:stroke weight="0.5pt" color="#5B9BD5 [3204]" miterlimit="8" joinstyle="miter" endarrow="block"/>
                <v:imagedata o:title=""/>
                <o:lock v:ext="edit" aspectratio="f"/>
              </v:shape>
            </w:pict>
          </mc:Fallback>
        </mc:AlternateContent>
      </w:r>
    </w:p>
    <w:p/>
    <w:p/>
    <w:p/>
    <w:p/>
    <w:p/>
    <w:p/>
    <w:p/>
    <w:p/>
    <w:p/>
    <w:p/>
    <w:p/>
    <w:p/>
    <w:p/>
    <w:p/>
    <w:p/>
    <w:p/>
    <w:p/>
    <w:p/>
    <w:p/>
    <w:p/>
    <w:p/>
    <w:p/>
    <w:p/>
    <w:p>
      <w:pPr>
        <w:pStyle w:val="3"/>
        <w:spacing w:line="357" w:lineRule="auto"/>
        <w:jc w:val="center"/>
        <w:rPr>
          <w:rFonts w:eastAsiaTheme="minorEastAsia"/>
          <w:strike w:val="0"/>
          <w:dstrike w:val="0"/>
          <w:highlight w:val="none"/>
          <w:lang w:eastAsia="zh-CN"/>
        </w:rPr>
      </w:pPr>
    </w:p>
    <w:p>
      <w:pPr>
        <w:pStyle w:val="3"/>
        <w:spacing w:line="358" w:lineRule="auto"/>
        <w:rPr>
          <w:strike w:val="0"/>
          <w:dstrike w:val="0"/>
          <w:highlight w:val="none"/>
          <w:lang w:eastAsia="zh-CN"/>
        </w:rPr>
      </w:pPr>
    </w:p>
    <w:p>
      <w:pPr>
        <w:spacing w:before="154" w:line="363" w:lineRule="auto"/>
        <w:ind w:firstLine="426"/>
        <w:jc w:val="both"/>
        <w:rPr>
          <w:rFonts w:ascii="仿宋" w:hAnsi="仿宋" w:eastAsia="仿宋" w:cs="仿宋"/>
          <w:strike w:val="0"/>
          <w:dstrike w:val="0"/>
          <w:sz w:val="31"/>
          <w:szCs w:val="31"/>
          <w:highlight w:val="none"/>
          <w:lang w:eastAsia="zh-CN"/>
        </w:rPr>
      </w:pPr>
      <w:bookmarkStart w:id="309" w:name="bookmark105"/>
      <w:bookmarkEnd w:id="309"/>
    </w:p>
    <w:p>
      <w:pPr>
        <w:spacing w:before="154" w:line="363" w:lineRule="auto"/>
        <w:ind w:firstLine="426"/>
        <w:jc w:val="both"/>
        <w:rPr>
          <w:rFonts w:ascii="仿宋" w:hAnsi="仿宋" w:eastAsia="仿宋" w:cs="仿宋"/>
          <w:strike w:val="0"/>
          <w:dstrike w:val="0"/>
          <w:sz w:val="31"/>
          <w:szCs w:val="31"/>
          <w:highlight w:val="none"/>
          <w:lang w:eastAsia="zh-CN"/>
        </w:rPr>
        <w:sectPr>
          <w:pgSz w:w="11906" w:h="16839"/>
          <w:pgMar w:top="1431" w:right="1385" w:bottom="1127" w:left="1607" w:header="0" w:footer="848" w:gutter="0"/>
          <w:pgNumType w:fmt="decimal"/>
          <w:cols w:space="720" w:num="1"/>
        </w:sectPr>
      </w:pPr>
    </w:p>
    <w:p>
      <w:pPr>
        <w:widowControl w:val="0"/>
        <w:kinsoku/>
        <w:autoSpaceDE/>
        <w:autoSpaceDN/>
        <w:adjustRightInd/>
        <w:snapToGrid/>
        <w:jc w:val="both"/>
        <w:textAlignment w:val="auto"/>
        <w:outlineLvl w:val="0"/>
        <w:rPr>
          <w:rFonts w:hint="eastAsia" w:ascii="方正小标宋简体" w:hAnsi="方正小标宋简体" w:eastAsia="方正小标宋简体" w:cs="方正小标宋简体"/>
          <w:strike w:val="0"/>
          <w:dstrike w:val="0"/>
          <w:snapToGrid/>
          <w:kern w:val="2"/>
          <w:sz w:val="32"/>
          <w:szCs w:val="32"/>
          <w:highlight w:val="none"/>
          <w:lang w:eastAsia="zh-CN"/>
        </w:rPr>
      </w:pPr>
      <w:bookmarkStart w:id="310" w:name="_Toc968723263"/>
      <w:bookmarkStart w:id="311" w:name="_Toc21939"/>
      <w:bookmarkStart w:id="312" w:name="_Toc18594"/>
      <w:bookmarkStart w:id="313" w:name="_Toc672"/>
      <w:bookmarkStart w:id="314" w:name="_Toc17118"/>
      <w:bookmarkStart w:id="315" w:name="_Toc826566821"/>
      <w:r>
        <w:rPr>
          <w:rFonts w:hint="eastAsia" w:ascii="黑体" w:hAnsi="黑体" w:eastAsia="黑体" w:cs="黑体"/>
          <w:strike w:val="0"/>
          <w:dstrike w:val="0"/>
          <w:snapToGrid/>
          <w:kern w:val="2"/>
          <w:sz w:val="32"/>
          <w:szCs w:val="32"/>
          <w:highlight w:val="none"/>
          <w:lang w:eastAsia="zh-CN"/>
        </w:rPr>
        <w:t>附件</w:t>
      </w:r>
      <w:r>
        <w:rPr>
          <w:rFonts w:hint="eastAsia" w:ascii="Times New Roman" w:hAnsi="Times New Roman" w:eastAsia="仿宋_GB2312" w:cs="Times New Roman"/>
          <w:strike w:val="0"/>
          <w:dstrike w:val="0"/>
          <w:snapToGrid/>
          <w:color w:val="auto"/>
          <w:kern w:val="2"/>
          <w:sz w:val="32"/>
          <w:szCs w:val="32"/>
          <w:highlight w:val="none"/>
          <w:lang w:eastAsia="zh-CN"/>
        </w:rPr>
        <w:t>2</w:t>
      </w:r>
      <w:bookmarkEnd w:id="310"/>
      <w:bookmarkEnd w:id="311"/>
      <w:bookmarkEnd w:id="312"/>
      <w:bookmarkEnd w:id="313"/>
      <w:bookmarkEnd w:id="314"/>
      <w:bookmarkEnd w:id="315"/>
      <w:bookmarkStart w:id="316" w:name="_Toc12227"/>
      <w:bookmarkStart w:id="317" w:name="_Toc23002"/>
      <w:bookmarkStart w:id="318" w:name="_Toc26963"/>
    </w:p>
    <w:p>
      <w:pPr>
        <w:widowControl w:val="0"/>
        <w:kinsoku/>
        <w:autoSpaceDE/>
        <w:autoSpaceDN/>
        <w:adjustRightInd/>
        <w:snapToGrid/>
        <w:ind w:firstLine="1320" w:firstLineChars="300"/>
        <w:jc w:val="both"/>
        <w:textAlignment w:val="auto"/>
        <w:outlineLvl w:val="1"/>
        <w:rPr>
          <w:rFonts w:hint="eastAsia" w:ascii="方正小标宋简体" w:hAnsi="方正小标宋简体" w:eastAsia="方正小标宋简体" w:cs="方正小标宋简体"/>
          <w:strike w:val="0"/>
          <w:dstrike w:val="0"/>
          <w:snapToGrid/>
          <w:kern w:val="2"/>
          <w:sz w:val="44"/>
          <w:szCs w:val="44"/>
          <w:highlight w:val="none"/>
          <w:lang w:eastAsia="zh-CN"/>
        </w:rPr>
      </w:pPr>
      <w:bookmarkStart w:id="319" w:name="_Toc652370493"/>
      <w:r>
        <w:rPr>
          <w:rFonts w:hint="eastAsia" w:ascii="方正小标宋简体" w:hAnsi="方正小标宋简体" w:eastAsia="方正小标宋简体" w:cs="方正小标宋简体"/>
          <w:strike w:val="0"/>
          <w:dstrike w:val="0"/>
          <w:snapToGrid/>
          <w:kern w:val="2"/>
          <w:sz w:val="44"/>
          <w:szCs w:val="44"/>
          <w:highlight w:val="none"/>
          <w:lang w:eastAsia="zh-CN"/>
        </w:rPr>
        <w:t>株洲市天元区重污染天气应对流程图</w:t>
      </w:r>
      <w:bookmarkEnd w:id="316"/>
      <w:bookmarkEnd w:id="317"/>
      <w:bookmarkEnd w:id="318"/>
      <w:bookmarkEnd w:id="319"/>
    </w:p>
    <w:p>
      <w:pPr>
        <w:widowControl w:val="0"/>
        <w:kinsoku/>
        <w:autoSpaceDE/>
        <w:autoSpaceDN/>
        <w:adjustRightInd/>
        <w:snapToGrid/>
        <w:ind w:firstLine="1320" w:firstLineChars="300"/>
        <w:jc w:val="both"/>
        <w:textAlignment w:val="auto"/>
        <w:outlineLvl w:val="9"/>
        <w:rPr>
          <w:rFonts w:hint="eastAsia" w:ascii="方正小标宋简体" w:hAnsi="方正小标宋简体" w:eastAsia="方正小标宋简体" w:cs="方正小标宋简体"/>
          <w:strike w:val="0"/>
          <w:dstrike w:val="0"/>
          <w:snapToGrid/>
          <w:kern w:val="2"/>
          <w:sz w:val="44"/>
          <w:szCs w:val="44"/>
          <w:highlight w:val="none"/>
          <w:lang w:eastAsia="zh-CN"/>
        </w:rPr>
      </w:pPr>
    </w:p>
    <w:p>
      <w:pPr>
        <w:pStyle w:val="3"/>
        <w:spacing w:line="357" w:lineRule="auto"/>
        <w:jc w:val="both"/>
        <w:rPr>
          <w:strike w:val="0"/>
          <w:dstrike w:val="0"/>
          <w:highlight w:val="none"/>
          <w:lang w:eastAsia="zh-CN"/>
        </w:rPr>
      </w:pPr>
    </w:p>
    <w:p>
      <w:pPr>
        <w:pStyle w:val="3"/>
        <w:spacing w:line="357" w:lineRule="auto"/>
        <w:jc w:val="center"/>
        <w:rPr>
          <w:strike w:val="0"/>
          <w:dstrike w:val="0"/>
          <w:highlight w:val="none"/>
        </w:rPr>
        <w:sectPr>
          <w:footerReference r:id="rId4" w:type="default"/>
          <w:pgSz w:w="11906" w:h="16839"/>
          <w:pgMar w:top="1431" w:right="1370" w:bottom="1124" w:left="1607" w:header="0" w:footer="848" w:gutter="0"/>
          <w:pgNumType w:fmt="decimal"/>
          <w:cols w:space="720" w:num="1"/>
        </w:sectPr>
      </w:pPr>
      <w:r>
        <w:rPr>
          <w:strike w:val="0"/>
          <w:dstrike w:val="0"/>
          <w:highlight w:val="none"/>
        </w:rPr>
        <w:drawing>
          <wp:inline distT="0" distB="0" distL="114300" distR="114300">
            <wp:extent cx="5669280" cy="7178040"/>
            <wp:effectExtent l="0" t="0" r="7620"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5669280" cy="7178040"/>
                    </a:xfrm>
                    <a:prstGeom prst="rect">
                      <a:avLst/>
                    </a:prstGeom>
                    <a:noFill/>
                    <a:ln>
                      <a:noFill/>
                    </a:ln>
                  </pic:spPr>
                </pic:pic>
              </a:graphicData>
            </a:graphic>
          </wp:inline>
        </w:drawing>
      </w:r>
    </w:p>
    <w:p>
      <w:pPr>
        <w:widowControl w:val="0"/>
        <w:kinsoku/>
        <w:autoSpaceDE/>
        <w:autoSpaceDN/>
        <w:adjustRightInd/>
        <w:snapToGrid/>
        <w:jc w:val="both"/>
        <w:textAlignment w:val="auto"/>
        <w:outlineLvl w:val="0"/>
        <w:rPr>
          <w:rFonts w:hint="eastAsia" w:ascii="黑体" w:hAnsi="黑体" w:eastAsia="黑体" w:cs="黑体"/>
          <w:strike w:val="0"/>
          <w:dstrike w:val="0"/>
          <w:snapToGrid/>
          <w:kern w:val="2"/>
          <w:sz w:val="32"/>
          <w:szCs w:val="32"/>
          <w:highlight w:val="none"/>
          <w:lang w:eastAsia="zh-CN"/>
        </w:rPr>
      </w:pPr>
      <w:bookmarkStart w:id="320" w:name="_Toc11550"/>
      <w:bookmarkStart w:id="321" w:name="_Toc8261"/>
      <w:bookmarkStart w:id="322" w:name="_Toc23820"/>
      <w:bookmarkStart w:id="323" w:name="_Toc31152"/>
      <w:bookmarkStart w:id="324" w:name="_Toc1332174516"/>
      <w:bookmarkStart w:id="325" w:name="_Toc540823867"/>
      <w:r>
        <w:rPr>
          <w:rFonts w:hint="eastAsia" w:ascii="黑体" w:hAnsi="黑体" w:eastAsia="黑体" w:cs="黑体"/>
          <w:strike w:val="0"/>
          <w:dstrike w:val="0"/>
          <w:snapToGrid/>
          <w:kern w:val="2"/>
          <w:sz w:val="32"/>
          <w:szCs w:val="32"/>
          <w:highlight w:val="none"/>
          <w:lang w:eastAsia="zh-CN"/>
        </w:rPr>
        <w:t>附件</w:t>
      </w:r>
      <w:r>
        <w:rPr>
          <w:rFonts w:hint="eastAsia" w:ascii="Times New Roman" w:hAnsi="Times New Roman" w:eastAsia="仿宋_GB2312" w:cs="Times New Roman"/>
          <w:strike w:val="0"/>
          <w:dstrike w:val="0"/>
          <w:snapToGrid/>
          <w:color w:val="auto"/>
          <w:kern w:val="2"/>
          <w:sz w:val="32"/>
          <w:szCs w:val="32"/>
          <w:highlight w:val="none"/>
          <w:lang w:eastAsia="zh-CN"/>
        </w:rPr>
        <w:t>3</w:t>
      </w:r>
      <w:bookmarkEnd w:id="320"/>
      <w:bookmarkEnd w:id="321"/>
      <w:bookmarkEnd w:id="322"/>
      <w:bookmarkEnd w:id="323"/>
      <w:bookmarkEnd w:id="324"/>
      <w:bookmarkEnd w:id="325"/>
      <w:r>
        <w:rPr>
          <w:rFonts w:hint="eastAsia" w:ascii="黑体" w:hAnsi="黑体" w:eastAsia="黑体" w:cs="黑体"/>
          <w:strike w:val="0"/>
          <w:dstrike w:val="0"/>
          <w:snapToGrid/>
          <w:kern w:val="2"/>
          <w:sz w:val="32"/>
          <w:szCs w:val="32"/>
          <w:highlight w:val="none"/>
          <w:lang w:eastAsia="zh-CN"/>
        </w:rPr>
        <w:t xml:space="preserve"> </w:t>
      </w:r>
      <w:bookmarkStart w:id="326" w:name="_Toc32531"/>
      <w:bookmarkStart w:id="327" w:name="_Toc3442"/>
      <w:bookmarkStart w:id="328" w:name="_Toc22462"/>
    </w:p>
    <w:p>
      <w:pPr>
        <w:pStyle w:val="7"/>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trike w:val="0"/>
          <w:dstrike w:val="0"/>
          <w:snapToGrid/>
          <w:kern w:val="2"/>
          <w:sz w:val="28"/>
          <w:szCs w:val="28"/>
          <w:highlight w:val="none"/>
          <w:lang w:eastAsia="zh-CN"/>
        </w:rPr>
      </w:pPr>
      <w:bookmarkStart w:id="329" w:name="_Toc1600270015"/>
      <w:r>
        <w:rPr>
          <w:rFonts w:hint="eastAsia" w:ascii="方正小标宋简体" w:hAnsi="方正小标宋简体" w:eastAsia="方正小标宋简体" w:cs="方正小标宋简体"/>
          <w:strike w:val="0"/>
          <w:dstrike w:val="0"/>
          <w:snapToGrid/>
          <w:kern w:val="2"/>
          <w:sz w:val="44"/>
          <w:szCs w:val="44"/>
          <w:highlight w:val="none"/>
          <w:lang w:eastAsia="zh-CN"/>
        </w:rPr>
        <w:t>株洲市天元区重污染天气应急指挥中心成员单位</w:t>
      </w:r>
      <w:bookmarkEnd w:id="329"/>
      <w:bookmarkStart w:id="330" w:name="_Toc181061715"/>
      <w:r>
        <w:rPr>
          <w:rFonts w:hint="eastAsia" w:ascii="方正小标宋简体" w:hAnsi="方正小标宋简体" w:eastAsia="方正小标宋简体" w:cs="方正小标宋简体"/>
          <w:strike w:val="0"/>
          <w:dstrike w:val="0"/>
          <w:snapToGrid/>
          <w:kern w:val="2"/>
          <w:sz w:val="44"/>
          <w:szCs w:val="44"/>
          <w:highlight w:val="none"/>
          <w:lang w:eastAsia="zh-CN"/>
        </w:rPr>
        <w:t>职责</w:t>
      </w:r>
      <w:bookmarkEnd w:id="326"/>
      <w:bookmarkEnd w:id="327"/>
      <w:bookmarkEnd w:id="328"/>
      <w:bookmarkEnd w:id="330"/>
    </w:p>
    <w:p>
      <w:pPr>
        <w:rPr>
          <w:lang w:eastAsia="zh-CN"/>
        </w:rPr>
      </w:pPr>
    </w:p>
    <w:tbl>
      <w:tblPr>
        <w:tblStyle w:val="12"/>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1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blHeader/>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strike w:val="0"/>
                <w:dstrike w:val="0"/>
                <w:snapToGrid/>
                <w:kern w:val="2"/>
                <w:sz w:val="32"/>
                <w:szCs w:val="32"/>
                <w:highlight w:val="none"/>
                <w:lang w:eastAsia="zh-CN"/>
              </w:rPr>
            </w:pPr>
            <w:r>
              <w:rPr>
                <w:rFonts w:hint="eastAsia" w:ascii="黑体" w:hAnsi="黑体" w:eastAsia="黑体" w:cs="黑体"/>
                <w:b w:val="0"/>
                <w:bCs w:val="0"/>
                <w:strike w:val="0"/>
                <w:dstrike w:val="0"/>
                <w:snapToGrid/>
                <w:kern w:val="2"/>
                <w:sz w:val="32"/>
                <w:szCs w:val="32"/>
                <w:highlight w:val="none"/>
                <w:lang w:eastAsia="zh-CN"/>
              </w:rPr>
              <w:t>单位</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strike w:val="0"/>
                <w:dstrike w:val="0"/>
                <w:snapToGrid/>
                <w:kern w:val="2"/>
                <w:sz w:val="32"/>
                <w:szCs w:val="32"/>
                <w:highlight w:val="none"/>
                <w:lang w:eastAsia="zh-CN"/>
              </w:rPr>
            </w:pPr>
            <w:r>
              <w:rPr>
                <w:rFonts w:hint="eastAsia" w:ascii="黑体" w:hAnsi="黑体" w:eastAsia="黑体" w:cs="黑体"/>
                <w:b w:val="0"/>
                <w:bCs w:val="0"/>
                <w:strike w:val="0"/>
                <w:dstrike w:val="0"/>
                <w:snapToGrid/>
                <w:kern w:val="2"/>
                <w:sz w:val="32"/>
                <w:szCs w:val="32"/>
                <w:highlight w:val="none"/>
                <w:lang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区委宣传部</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协调配合指导做好本预案和全区重污染天气应对工作的宣传报道；协调配合重污染天气预警信息发布；配合开展重污染天气应对宣传教育活动，协助做好社会动员，普及科学常识。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区委网信办</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负责指导重污染天气涉区网络舆情的监测预警处置和引导评论等工作。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区发改局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负责组织供电企业对重污染天气应急响应期间相关企业依法执行限电、停电措施；协调应急状态下的能源保障工作，督促有关单位做好外部电力采购等能源保障工作。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区教育局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负责指导督促学校和教育机构在重污染天气应急响应期间执行减少或停止户外教学活动、采取弹性教学或停课等应急措施；指导学校和教育机构开展重污染天气健康防护知识宣传教育和应急演练。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区科工信局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重污染天气应急响应期间企业依法落实限产减排应急保障措施，配合环保部门对重污染天气应急响应期间企业的限产、停产情况进行监督检查，会同株洲市生态环境局天元分局制定并更新工业企业应急减排项目清单。协调督促通信运营企业发布重污染天气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区财政局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负责保障重污染天气应对工作所需资金，并对资金的使用进行绩效评价。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区自然资源局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负责指导督促重污染天气应急响应期间储备土地平整、施工及作业车辆（非道路移动施工机械、重型运输车辆等，下同）项目落实扬尘污染控制措施。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市生态环境局天元分局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承担区指挥中心办公室职责，负责重污染天气应对工作统筹协调；牵头制（修）订全区重污染天气应急预案；牵头制定并定期更新大气污染源清单，会同有关部门制定并定期更新应急减排项目清单，监督相关企业编制落实“一厂一策”实施方案，落实污染物减排措施，并对重污染天气应急响应期间相关措施落实情况开展监督检查；配合做好新闻发布工作；负责重污染天气专家组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区住建局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重污染天气应急响应期间房屋建筑、市政基础设施工程场地施工及作业车辆落实扬尘污染控制措施；会同市生态环境局天元分局制定并定期更新房屋建筑和市政基础设施施工应急减排项目清单，配合市住建局对纳入保障类项目的保障民生、保障城区正常运转的房屋建筑、市政基础设施施工项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区城管局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重污染天气应急响应期间落实渣土砂石、建筑材料运输扬尘控制措施、城区道路扬尘控制措施；指导督促重污染天气应急响应期间园林、绿化场地施工及作业车辆落实扬尘污染控制措施，禁止违规露天烧烤、露天焚烧垃圾等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区水利局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重污染天气应急响应期间水利工程场地施工及作业车辆落实扬尘污染控制措施；会同市生态环境局天元分局制定并定期更新水利工程施工应急减排项目清单，对纳入保障类项目的保障民生、保障城区正常运转的水利建设项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区农业农村局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负责依法制定重污染天气应急响应期间禁止露天焚烧农作物秸秆的措施。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区应急管理局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负责根据应急减排项目清单，指导相关企业做好临时停产、限产（降低生产负荷）时的安全生产工作；配合做好重污染天气的应急演练、应急响应、调查评估、信息发布、应急保障和救助救援等工作。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区卫健局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负责指导督促医疗卫生机构做好重污染天气应急救护工作;组织开展重污染天气公众健康和疾病预防相关信息宣传。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238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市公安局</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天元分局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负责指导督促做好重污染天气社会治安工作，负责烟花爆竹禁放工作，落实违规燃放爆竹管控措施。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2385" w:type="dxa"/>
            <w:shd w:val="clear" w:color="auto" w:fill="auto"/>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color w:val="000000"/>
                <w:kern w:val="2"/>
                <w:sz w:val="32"/>
                <w:szCs w:val="32"/>
                <w:highlight w:val="none"/>
                <w:lang w:val="en-US" w:eastAsia="zh-CN" w:bidi="ar-SA"/>
              </w:rPr>
            </w:pPr>
            <w:r>
              <w:rPr>
                <w:rFonts w:hint="eastAsia" w:ascii="仿宋_GB2312" w:hAnsi="仿宋_GB2312" w:eastAsia="仿宋_GB2312" w:cs="仿宋_GB2312"/>
                <w:strike w:val="0"/>
                <w:dstrike w:val="0"/>
                <w:snapToGrid/>
                <w:kern w:val="2"/>
                <w:sz w:val="32"/>
                <w:szCs w:val="32"/>
                <w:highlight w:val="none"/>
                <w:lang w:eastAsia="zh-CN"/>
              </w:rPr>
              <w:t>区交警大队</w:t>
            </w:r>
          </w:p>
        </w:tc>
        <w:tc>
          <w:tcPr>
            <w:tcW w:w="114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color w:val="000000"/>
                <w:kern w:val="2"/>
                <w:sz w:val="32"/>
                <w:szCs w:val="32"/>
                <w:highlight w:val="none"/>
                <w:lang w:val="en-US" w:eastAsia="zh-CN" w:bidi="ar-SA"/>
              </w:rPr>
            </w:pPr>
            <w:r>
              <w:rPr>
                <w:rFonts w:hint="eastAsia" w:ascii="仿宋_GB2312" w:hAnsi="仿宋_GB2312" w:eastAsia="仿宋_GB2312" w:cs="仿宋_GB2312"/>
                <w:strike w:val="0"/>
                <w:dstrike w:val="0"/>
                <w:snapToGrid/>
                <w:kern w:val="2"/>
                <w:sz w:val="32"/>
                <w:szCs w:val="32"/>
                <w:highlight w:val="none"/>
                <w:lang w:eastAsia="zh-CN"/>
              </w:rPr>
              <w:t>负责依法制定和组织实施重污染天气应急响应期间中型、重型货车，拖拉机临时限行、禁行应急保障措施；会同市生态环境局天元分局开展机动车大气污染的监督检查；配合有关部门开展渣土车、砂石车等运输车辆违反规定上路行驶的检查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5" w:type="dxa"/>
            <w:vAlign w:val="center"/>
          </w:tcPr>
          <w:p>
            <w:pPr>
              <w:widowControl w:val="0"/>
              <w:kinsoku/>
              <w:autoSpaceDE/>
              <w:autoSpaceDN/>
              <w:adjustRightInd/>
              <w:snapToGrid/>
              <w:spacing w:line="360" w:lineRule="auto"/>
              <w:jc w:val="center"/>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区交通运输局</w:t>
            </w:r>
          </w:p>
        </w:tc>
        <w:tc>
          <w:tcPr>
            <w:tcW w:w="11471" w:type="dxa"/>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eastAsia="zh-CN"/>
              </w:rPr>
            </w:pPr>
            <w:r>
              <w:rPr>
                <w:rFonts w:hint="eastAsia" w:ascii="仿宋_GB2312" w:hAnsi="仿宋_GB2312" w:eastAsia="仿宋_GB2312" w:cs="仿宋_GB2312"/>
                <w:strike w:val="0"/>
                <w:dstrike w:val="0"/>
                <w:snapToGrid/>
                <w:kern w:val="2"/>
                <w:sz w:val="32"/>
                <w:szCs w:val="32"/>
                <w:highlight w:val="none"/>
                <w:lang w:eastAsia="zh-CN"/>
              </w:rPr>
              <w:t>制定重污染天气应急响应期间监管职责范围内公路等交通设施扬尘污染控制实施方案和喷涂粉刷、切割、护坡喷浆等施工过程管控措施，并对落实情况进行监督检查；负责重污染天气应急响应期间监管职责范围内公路等交通建设施工工地项目的营运车辆管控措施，并对落实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5" w:type="dxa"/>
            <w:shd w:val="clear" w:color="auto" w:fill="auto"/>
            <w:vAlign w:val="center"/>
          </w:tcPr>
          <w:p>
            <w:pPr>
              <w:widowControl w:val="0"/>
              <w:kinsoku/>
              <w:autoSpaceDE/>
              <w:autoSpaceDN/>
              <w:adjustRightInd/>
              <w:snapToGrid/>
              <w:spacing w:line="560" w:lineRule="exact"/>
              <w:jc w:val="center"/>
              <w:textAlignment w:val="auto"/>
              <w:rPr>
                <w:rFonts w:hint="eastAsia" w:ascii="Times New Roman" w:hAnsi="Times New Roman" w:eastAsia="仿宋_GB2312" w:cs="Times New Roman"/>
                <w:strike w:val="0"/>
                <w:dstrike w:val="0"/>
                <w:snapToGrid/>
                <w:color w:val="000000"/>
                <w:kern w:val="2"/>
                <w:sz w:val="32"/>
                <w:szCs w:val="32"/>
                <w:highlight w:val="none"/>
                <w:lang w:val="en-US" w:eastAsia="zh-CN" w:bidi="ar-SA"/>
              </w:rPr>
            </w:pPr>
            <w:r>
              <w:rPr>
                <w:rFonts w:hint="default" w:ascii="仿宋_GB2312" w:hAnsi="仿宋_GB2312" w:eastAsia="仿宋_GB2312" w:cs="仿宋_GB2312"/>
                <w:strike w:val="0"/>
                <w:dstrike w:val="0"/>
                <w:snapToGrid/>
                <w:kern w:val="2"/>
                <w:sz w:val="32"/>
                <w:szCs w:val="32"/>
                <w:highlight w:val="none"/>
                <w:lang w:val="en-US" w:eastAsia="zh-CN"/>
              </w:rPr>
              <w:t>区市场监</w:t>
            </w:r>
            <w:r>
              <w:rPr>
                <w:rFonts w:hint="eastAsia" w:ascii="仿宋_GB2312" w:hAnsi="仿宋_GB2312" w:eastAsia="仿宋_GB2312" w:cs="仿宋_GB2312"/>
                <w:strike w:val="0"/>
                <w:dstrike w:val="0"/>
                <w:snapToGrid/>
                <w:kern w:val="2"/>
                <w:sz w:val="32"/>
                <w:szCs w:val="32"/>
                <w:highlight w:val="none"/>
                <w:lang w:val="en-US" w:eastAsia="zh-CN"/>
              </w:rPr>
              <w:t>管</w:t>
            </w:r>
            <w:r>
              <w:rPr>
                <w:rFonts w:hint="default" w:ascii="仿宋_GB2312" w:hAnsi="仿宋_GB2312" w:eastAsia="仿宋_GB2312" w:cs="仿宋_GB2312"/>
                <w:strike w:val="0"/>
                <w:dstrike w:val="0"/>
                <w:snapToGrid/>
                <w:kern w:val="2"/>
                <w:sz w:val="32"/>
                <w:szCs w:val="32"/>
                <w:highlight w:val="none"/>
                <w:lang w:val="en-US" w:eastAsia="zh-CN"/>
              </w:rPr>
              <w:t>局</w:t>
            </w:r>
          </w:p>
        </w:tc>
        <w:tc>
          <w:tcPr>
            <w:tcW w:w="114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val="en-US" w:eastAsia="zh-CN"/>
              </w:rPr>
            </w:pPr>
            <w:r>
              <w:rPr>
                <w:rFonts w:hint="default" w:ascii="仿宋_GB2312" w:hAnsi="仿宋_GB2312" w:eastAsia="仿宋_GB2312" w:cs="仿宋_GB2312"/>
                <w:strike w:val="0"/>
                <w:dstrike w:val="0"/>
                <w:snapToGrid/>
                <w:kern w:val="2"/>
                <w:sz w:val="32"/>
                <w:szCs w:val="32"/>
                <w:highlight w:val="none"/>
                <w:lang w:eastAsia="zh-CN"/>
              </w:rPr>
              <w:t>负责组织开展燃煤质量监督检查，加强生产领域涉及排放的特种设备、成品燃油、燃气的质量监管；负责组织锅炉节能标准执行情况和锅炉生产、进口、销售环节环境保护标准执行情况的监督检查；严厉打击销售不合格车船用燃料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85" w:type="dxa"/>
            <w:shd w:val="clear" w:color="auto" w:fill="auto"/>
            <w:vAlign w:val="center"/>
          </w:tcPr>
          <w:p>
            <w:pPr>
              <w:widowControl w:val="0"/>
              <w:kinsoku/>
              <w:autoSpaceDE/>
              <w:autoSpaceDN/>
              <w:adjustRightInd/>
              <w:snapToGrid/>
              <w:spacing w:line="560" w:lineRule="exact"/>
              <w:jc w:val="center"/>
              <w:textAlignment w:val="auto"/>
              <w:rPr>
                <w:rFonts w:hint="eastAsia" w:ascii="Times New Roman" w:hAnsi="Times New Roman" w:eastAsia="仿宋_GB2312" w:cs="Times New Roman"/>
                <w:strike w:val="0"/>
                <w:dstrike w:val="0"/>
                <w:snapToGrid/>
                <w:color w:val="000000"/>
                <w:kern w:val="2"/>
                <w:sz w:val="32"/>
                <w:szCs w:val="32"/>
                <w:highlight w:val="none"/>
                <w:lang w:val="en-US" w:eastAsia="zh-CN" w:bidi="ar-SA"/>
              </w:rPr>
            </w:pPr>
            <w:r>
              <w:rPr>
                <w:rFonts w:hint="default" w:ascii="仿宋_GB2312" w:hAnsi="仿宋_GB2312" w:eastAsia="仿宋_GB2312" w:cs="仿宋_GB2312"/>
                <w:strike w:val="0"/>
                <w:dstrike w:val="0"/>
                <w:snapToGrid/>
                <w:kern w:val="2"/>
                <w:sz w:val="32"/>
                <w:szCs w:val="32"/>
                <w:highlight w:val="none"/>
                <w:lang w:val="en-US" w:eastAsia="zh-CN"/>
              </w:rPr>
              <w:t>区文旅</w:t>
            </w:r>
            <w:r>
              <w:rPr>
                <w:rFonts w:hint="eastAsia" w:ascii="仿宋_GB2312" w:hAnsi="仿宋_GB2312" w:eastAsia="仿宋_GB2312" w:cs="仿宋_GB2312"/>
                <w:strike w:val="0"/>
                <w:dstrike w:val="0"/>
                <w:snapToGrid/>
                <w:kern w:val="2"/>
                <w:sz w:val="32"/>
                <w:szCs w:val="32"/>
                <w:highlight w:val="none"/>
                <w:lang w:val="en-US" w:eastAsia="zh-CN"/>
              </w:rPr>
              <w:t>广</w:t>
            </w:r>
            <w:r>
              <w:rPr>
                <w:rFonts w:hint="default" w:ascii="仿宋_GB2312" w:hAnsi="仿宋_GB2312" w:eastAsia="仿宋_GB2312" w:cs="仿宋_GB2312"/>
                <w:strike w:val="0"/>
                <w:dstrike w:val="0"/>
                <w:snapToGrid/>
                <w:kern w:val="2"/>
                <w:sz w:val="32"/>
                <w:szCs w:val="32"/>
                <w:highlight w:val="none"/>
                <w:lang w:val="en-US" w:eastAsia="zh-CN"/>
              </w:rPr>
              <w:t>体局</w:t>
            </w:r>
          </w:p>
        </w:tc>
        <w:tc>
          <w:tcPr>
            <w:tcW w:w="114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trike w:val="0"/>
                <w:dstrike w:val="0"/>
                <w:snapToGrid/>
                <w:kern w:val="2"/>
                <w:sz w:val="32"/>
                <w:szCs w:val="32"/>
                <w:highlight w:val="none"/>
                <w:lang w:eastAsia="zh-CN"/>
              </w:rPr>
            </w:pPr>
            <w:r>
              <w:rPr>
                <w:rFonts w:hint="default" w:ascii="仿宋_GB2312" w:hAnsi="仿宋_GB2312" w:eastAsia="仿宋_GB2312" w:cs="仿宋_GB2312"/>
                <w:strike w:val="0"/>
                <w:dstrike w:val="0"/>
                <w:snapToGrid/>
                <w:kern w:val="2"/>
                <w:sz w:val="32"/>
                <w:szCs w:val="32"/>
                <w:highlight w:val="none"/>
                <w:lang w:val="en-US" w:eastAsia="zh-CN"/>
              </w:rPr>
              <w:t>根据市级部门及区政府要求，通</w:t>
            </w:r>
            <w:r>
              <w:rPr>
                <w:rFonts w:hint="eastAsia" w:ascii="仿宋_GB2312" w:hAnsi="仿宋_GB2312" w:eastAsia="仿宋_GB2312" w:cs="仿宋_GB2312"/>
                <w:strike w:val="0"/>
                <w:dstrike w:val="0"/>
                <w:snapToGrid/>
                <w:kern w:val="2"/>
                <w:sz w:val="32"/>
                <w:szCs w:val="32"/>
                <w:highlight w:val="none"/>
                <w:lang w:val="en-US" w:eastAsia="zh-CN"/>
              </w:rPr>
              <w:t>知</w:t>
            </w:r>
            <w:r>
              <w:rPr>
                <w:rFonts w:hint="default" w:ascii="仿宋_GB2312" w:hAnsi="仿宋_GB2312" w:eastAsia="仿宋_GB2312" w:cs="仿宋_GB2312"/>
                <w:strike w:val="0"/>
                <w:dstrike w:val="0"/>
                <w:snapToGrid/>
                <w:kern w:val="2"/>
                <w:sz w:val="32"/>
                <w:szCs w:val="32"/>
                <w:highlight w:val="none"/>
                <w:lang w:eastAsia="zh-CN"/>
              </w:rPr>
              <w:t>辖区内旅游场所及时发布重污染天气预警信息。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trike w:val="0"/>
                <w:dstrike w:val="0"/>
                <w:snapToGrid/>
                <w:kern w:val="2"/>
                <w:sz w:val="32"/>
                <w:szCs w:val="32"/>
                <w:highlight w:val="none"/>
                <w:lang w:val="en-US" w:eastAsia="zh-CN"/>
              </w:rPr>
            </w:pPr>
            <w:r>
              <w:rPr>
                <w:rFonts w:hint="default" w:ascii="仿宋_GB2312" w:hAnsi="仿宋_GB2312" w:eastAsia="仿宋_GB2312" w:cs="仿宋_GB2312"/>
                <w:strike w:val="0"/>
                <w:dstrike w:val="0"/>
                <w:snapToGrid/>
                <w:kern w:val="2"/>
                <w:sz w:val="32"/>
                <w:szCs w:val="32"/>
                <w:highlight w:val="none"/>
                <w:lang w:eastAsia="zh-CN"/>
              </w:rPr>
              <w:t>指导等级旅游景区、旅游度假区等旅游场所在重污染天气预警期间采取缩短户外旅游活动开放时间、游客限流和有序疏导等应对措施。</w:t>
            </w:r>
          </w:p>
        </w:tc>
      </w:tr>
    </w:tbl>
    <w:p>
      <w:pPr>
        <w:pStyle w:val="7"/>
        <w:rPr>
          <w:lang w:eastAsia="zh-CN"/>
        </w:rPr>
        <w:sectPr>
          <w:pgSz w:w="16839" w:h="11906" w:orient="landscape"/>
          <w:pgMar w:top="1607" w:right="1431" w:bottom="1370" w:left="1124" w:header="0" w:footer="848" w:gutter="0"/>
          <w:pgNumType w:fmt="decimal"/>
          <w:cols w:space="720" w:num="1"/>
        </w:sectPr>
      </w:pPr>
    </w:p>
    <w:p>
      <w:pPr>
        <w:pStyle w:val="7"/>
        <w:rPr>
          <w:lang w:eastAsia="zh-CN"/>
        </w:rPr>
      </w:pPr>
    </w:p>
    <w:p>
      <w:pPr>
        <w:widowControl w:val="0"/>
        <w:kinsoku/>
        <w:autoSpaceDE/>
        <w:autoSpaceDN/>
        <w:adjustRightInd/>
        <w:snapToGrid/>
        <w:jc w:val="both"/>
        <w:textAlignment w:val="auto"/>
        <w:outlineLvl w:val="0"/>
        <w:rPr>
          <w:rFonts w:hint="eastAsia" w:ascii="黑体" w:hAnsi="黑体" w:eastAsia="黑体" w:cs="黑体"/>
          <w:snapToGrid/>
          <w:kern w:val="2"/>
          <w:sz w:val="30"/>
          <w:szCs w:val="30"/>
          <w:highlight w:val="none"/>
          <w:lang w:eastAsia="zh-CN"/>
        </w:rPr>
      </w:pPr>
      <w:bookmarkStart w:id="331" w:name="_Toc22724"/>
      <w:bookmarkStart w:id="332" w:name="_Toc11178"/>
      <w:bookmarkStart w:id="333" w:name="_Toc274"/>
      <w:bookmarkStart w:id="334" w:name="_Toc21361"/>
      <w:bookmarkStart w:id="335" w:name="_Toc829334645"/>
      <w:bookmarkStart w:id="336" w:name="_Toc1424602860"/>
      <w:bookmarkStart w:id="337" w:name="_Toc11349"/>
      <w:r>
        <w:rPr>
          <w:rFonts w:hint="eastAsia" w:ascii="黑体" w:hAnsi="黑体" w:eastAsia="黑体" w:cs="黑体"/>
          <w:snapToGrid/>
          <w:kern w:val="2"/>
          <w:sz w:val="30"/>
          <w:szCs w:val="30"/>
          <w:highlight w:val="none"/>
          <w:lang w:eastAsia="zh-CN"/>
        </w:rPr>
        <w:t>附件</w:t>
      </w:r>
      <w:r>
        <w:rPr>
          <w:rFonts w:hint="eastAsia" w:ascii="Times New Roman" w:hAnsi="Times New Roman" w:eastAsia="仿宋_GB2312" w:cs="Times New Roman"/>
          <w:snapToGrid/>
          <w:color w:val="auto"/>
          <w:kern w:val="2"/>
          <w:sz w:val="30"/>
          <w:szCs w:val="30"/>
          <w:highlight w:val="none"/>
          <w:lang w:eastAsia="zh-CN"/>
        </w:rPr>
        <w:t>4</w:t>
      </w:r>
      <w:bookmarkEnd w:id="331"/>
      <w:bookmarkEnd w:id="332"/>
      <w:bookmarkEnd w:id="333"/>
      <w:bookmarkEnd w:id="334"/>
      <w:bookmarkEnd w:id="335"/>
      <w:bookmarkEnd w:id="336"/>
      <w:r>
        <w:rPr>
          <w:rFonts w:hint="eastAsia" w:ascii="黑体" w:hAnsi="黑体" w:eastAsia="黑体" w:cs="黑体"/>
          <w:snapToGrid/>
          <w:kern w:val="2"/>
          <w:sz w:val="30"/>
          <w:szCs w:val="30"/>
          <w:highlight w:val="none"/>
          <w:lang w:eastAsia="zh-CN"/>
        </w:rPr>
        <w:t xml:space="preserve"> </w:t>
      </w:r>
      <w:bookmarkStart w:id="338" w:name="_Toc1552"/>
      <w:bookmarkStart w:id="339" w:name="_Toc3853"/>
      <w:bookmarkStart w:id="340" w:name="_Toc15375"/>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napToGrid/>
          <w:kern w:val="2"/>
          <w:sz w:val="44"/>
          <w:szCs w:val="44"/>
          <w:highlight w:val="none"/>
          <w:lang w:val="en-US" w:eastAsia="zh-CN"/>
        </w:rPr>
      </w:pPr>
      <w:bookmarkStart w:id="341" w:name="_Toc1589456331"/>
      <w:r>
        <w:rPr>
          <w:rFonts w:hint="eastAsia" w:ascii="方正小标宋简体" w:hAnsi="方正小标宋简体" w:eastAsia="方正小标宋简体" w:cs="方正小标宋简体"/>
          <w:snapToGrid/>
          <w:kern w:val="2"/>
          <w:sz w:val="44"/>
          <w:szCs w:val="44"/>
          <w:highlight w:val="none"/>
          <w:lang w:eastAsia="zh-CN"/>
        </w:rPr>
        <w:t>株洲市天元区</w:t>
      </w:r>
      <w:r>
        <w:rPr>
          <w:rFonts w:hint="eastAsia" w:ascii="方正小标宋简体" w:hAnsi="方正小标宋简体" w:eastAsia="方正小标宋简体" w:cs="方正小标宋简体"/>
          <w:snapToGrid/>
          <w:kern w:val="2"/>
          <w:sz w:val="44"/>
          <w:szCs w:val="44"/>
          <w:highlight w:val="none"/>
          <w:lang w:val="en-US" w:eastAsia="zh-CN"/>
        </w:rPr>
        <w:t>重污染天气应急指挥中心</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napToGrid/>
          <w:kern w:val="2"/>
          <w:sz w:val="44"/>
          <w:szCs w:val="44"/>
          <w:highlight w:val="none"/>
          <w:lang w:eastAsia="zh-CN"/>
        </w:rPr>
      </w:pPr>
      <w:r>
        <w:rPr>
          <w:rFonts w:hint="eastAsia" w:ascii="方正小标宋简体" w:hAnsi="方正小标宋简体" w:eastAsia="方正小标宋简体" w:cs="方正小标宋简体"/>
          <w:snapToGrid/>
          <w:kern w:val="2"/>
          <w:sz w:val="44"/>
          <w:szCs w:val="44"/>
          <w:highlight w:val="none"/>
          <w:lang w:val="en-US" w:eastAsia="zh-CN"/>
        </w:rPr>
        <w:t>成员单位</w:t>
      </w:r>
      <w:bookmarkEnd w:id="341"/>
      <w:bookmarkStart w:id="342" w:name="_Toc362754798"/>
      <w:r>
        <w:rPr>
          <w:rFonts w:hint="eastAsia" w:ascii="方正小标宋简体" w:hAnsi="方正小标宋简体" w:eastAsia="方正小标宋简体" w:cs="方正小标宋简体"/>
          <w:snapToGrid/>
          <w:kern w:val="2"/>
          <w:sz w:val="44"/>
          <w:szCs w:val="44"/>
          <w:highlight w:val="none"/>
          <w:lang w:eastAsia="zh-CN"/>
        </w:rPr>
        <w:t>电话</w:t>
      </w:r>
      <w:bookmarkEnd w:id="337"/>
      <w:bookmarkEnd w:id="338"/>
      <w:bookmarkEnd w:id="339"/>
      <w:bookmarkEnd w:id="340"/>
      <w:bookmarkEnd w:id="34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4232"/>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序号</w:t>
            </w:r>
          </w:p>
        </w:tc>
        <w:tc>
          <w:tcPr>
            <w:tcW w:w="4232" w:type="dxa"/>
            <w:vAlign w:val="center"/>
          </w:tcPr>
          <w:p>
            <w:pPr>
              <w:autoSpaceDE/>
              <w:autoSpaceDN/>
              <w:spacing w:line="56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单位名称</w:t>
            </w:r>
          </w:p>
        </w:tc>
        <w:tc>
          <w:tcPr>
            <w:tcW w:w="2786" w:type="dxa"/>
            <w:vAlign w:val="center"/>
          </w:tcPr>
          <w:p>
            <w:pPr>
              <w:autoSpaceDE/>
              <w:autoSpaceDN/>
              <w:spacing w:line="56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napToGrid/>
                <w:color w:val="auto"/>
                <w:kern w:val="2"/>
                <w:sz w:val="32"/>
                <w:szCs w:val="32"/>
                <w:highlight w:val="none"/>
                <w:lang w:eastAsia="zh-CN"/>
              </w:rPr>
              <w:t>1</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区委宣传部</w:t>
            </w:r>
          </w:p>
        </w:tc>
        <w:tc>
          <w:tcPr>
            <w:tcW w:w="2786" w:type="dxa"/>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28817723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napToGrid/>
                <w:color w:val="auto"/>
                <w:kern w:val="2"/>
                <w:sz w:val="32"/>
                <w:szCs w:val="32"/>
                <w:highlight w:val="none"/>
                <w:lang w:eastAsia="zh-CN"/>
              </w:rPr>
              <w:t>2</w:t>
            </w:r>
          </w:p>
        </w:tc>
        <w:tc>
          <w:tcPr>
            <w:tcW w:w="4232" w:type="dxa"/>
            <w:shd w:val="clear" w:color="auto" w:fill="auto"/>
          </w:tcPr>
          <w:p>
            <w:pPr>
              <w:autoSpaceDE/>
              <w:autoSpaceDN/>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区委网信办</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28665283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3</w:t>
            </w:r>
          </w:p>
        </w:tc>
        <w:tc>
          <w:tcPr>
            <w:tcW w:w="4232" w:type="dxa"/>
            <w:shd w:val="clear" w:color="auto" w:fill="auto"/>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区发改局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28665241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4</w:t>
            </w:r>
          </w:p>
        </w:tc>
        <w:tc>
          <w:tcPr>
            <w:tcW w:w="4232" w:type="dxa"/>
            <w:shd w:val="clear" w:color="auto" w:fill="auto"/>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区教育局</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28665137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5</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区科工信局</w:t>
            </w:r>
          </w:p>
        </w:tc>
        <w:tc>
          <w:tcPr>
            <w:tcW w:w="27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28665357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6</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en-US" w:bidi="ar-SA"/>
              </w:rPr>
            </w:pPr>
            <w:r>
              <w:rPr>
                <w:rFonts w:hint="eastAsia" w:ascii="仿宋_GB2312" w:hAnsi="仿宋_GB2312" w:eastAsia="仿宋_GB2312" w:cs="仿宋_GB2312"/>
                <w:sz w:val="32"/>
                <w:szCs w:val="32"/>
                <w:highlight w:val="none"/>
              </w:rPr>
              <w:t>区财政局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28665338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7</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区自然资源局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28685191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8</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市生态环境局天元分局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28682654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9</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区住建局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10</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区城管局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28663702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11</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区水利局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28665233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12</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区农业农村局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28665043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13</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区应急</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局</w:t>
            </w:r>
          </w:p>
        </w:tc>
        <w:tc>
          <w:tcPr>
            <w:tcW w:w="27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28665199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14</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rPr>
              <w:t>区卫健局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28665268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15</w:t>
            </w:r>
          </w:p>
        </w:tc>
        <w:tc>
          <w:tcPr>
            <w:tcW w:w="4232" w:type="dxa"/>
            <w:shd w:val="clear" w:color="auto" w:fill="auto"/>
            <w:vAlign w:val="top"/>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eastAsia="zh-CN"/>
              </w:rPr>
              <w:t>市公安局天元分局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28687336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16</w:t>
            </w:r>
          </w:p>
        </w:tc>
        <w:tc>
          <w:tcPr>
            <w:tcW w:w="4232" w:type="dxa"/>
            <w:shd w:val="clear" w:color="auto" w:fill="auto"/>
            <w:vAlign w:val="center"/>
          </w:tcPr>
          <w:p>
            <w:pPr>
              <w:autoSpaceDE/>
              <w:autoSpaceDN/>
              <w:spacing w:line="560" w:lineRule="exact"/>
              <w:jc w:val="center"/>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交警大队</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eastAsia="zh-CN"/>
              </w:rPr>
              <w:t>22395122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17</w:t>
            </w:r>
          </w:p>
        </w:tc>
        <w:tc>
          <w:tcPr>
            <w:tcW w:w="4232" w:type="dxa"/>
            <w:shd w:val="clear" w:color="auto" w:fill="auto"/>
          </w:tcPr>
          <w:p>
            <w:pPr>
              <w:autoSpaceDE/>
              <w:autoSpaceDN/>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区交通运输局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en-US"/>
              </w:rPr>
            </w:pPr>
            <w:r>
              <w:rPr>
                <w:rFonts w:hint="eastAsia" w:ascii="Times New Roman" w:hAnsi="Times New Roman" w:eastAsia="仿宋_GB2312" w:cs="Times New Roman"/>
                <w:snapToGrid/>
                <w:color w:val="auto"/>
                <w:kern w:val="2"/>
                <w:sz w:val="32"/>
                <w:szCs w:val="32"/>
                <w:highlight w:val="none"/>
                <w:lang w:eastAsia="zh-CN"/>
              </w:rPr>
              <w:t>18</w:t>
            </w:r>
          </w:p>
        </w:tc>
        <w:tc>
          <w:tcPr>
            <w:tcW w:w="4232" w:type="dxa"/>
            <w:shd w:val="clear" w:color="auto" w:fill="auto"/>
          </w:tcPr>
          <w:p>
            <w:pPr>
              <w:autoSpaceDE/>
              <w:autoSpaceDN/>
              <w:spacing w:line="560" w:lineRule="exact"/>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区市场监管局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22869707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eastAsia="zh-CN"/>
              </w:rPr>
              <w:t>19</w:t>
            </w:r>
          </w:p>
        </w:tc>
        <w:tc>
          <w:tcPr>
            <w:tcW w:w="4232" w:type="dxa"/>
            <w:shd w:val="clear" w:color="auto" w:fill="auto"/>
          </w:tcPr>
          <w:p>
            <w:pPr>
              <w:autoSpaceDE/>
              <w:autoSpaceDN/>
              <w:spacing w:line="560" w:lineRule="exact"/>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区文旅广体局</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eastAsia="zh-CN"/>
              </w:rPr>
              <w:t>20</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泰山路街道办事处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28862600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eastAsia="zh-CN"/>
              </w:rPr>
              <w:t>20</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嵩山路街道办事处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22278883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eastAsia="zh-CN"/>
              </w:rPr>
              <w:t>21</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栗雨街道办事处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28815151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eastAsia="zh-CN"/>
              </w:rPr>
              <w:t>22</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马家河街道办事处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28783000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eastAsia="zh-CN"/>
              </w:rPr>
              <w:t>23</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群丰镇人民政府</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28669016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shd w:val="clear" w:color="auto" w:fill="auto"/>
            <w:vAlign w:val="center"/>
          </w:tcPr>
          <w:p>
            <w:pPr>
              <w:autoSpaceDE/>
              <w:autoSpaceDN/>
              <w:spacing w:line="560" w:lineRule="exact"/>
              <w:jc w:val="center"/>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24</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雷打石人民政府</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27340006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8" w:type="dxa"/>
            <w:vAlign w:val="center"/>
          </w:tcPr>
          <w:p>
            <w:pPr>
              <w:autoSpaceDE/>
              <w:autoSpaceDN/>
              <w:spacing w:line="560" w:lineRule="exact"/>
              <w:jc w:val="center"/>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25</w:t>
            </w:r>
          </w:p>
        </w:tc>
        <w:tc>
          <w:tcPr>
            <w:tcW w:w="4232" w:type="dxa"/>
            <w:vAlign w:val="center"/>
          </w:tcPr>
          <w:p>
            <w:pPr>
              <w:autoSpaceDE/>
              <w:autoSpaceDN/>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三门镇人民政府</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79" w:lineRule="exact"/>
              <w:ind w:firstLine="646" w:firstLineChars="200"/>
              <w:jc w:val="both"/>
              <w:textAlignment w:val="auto"/>
              <w:rPr>
                <w:rFonts w:hint="eastAsia" w:ascii="Times New Roman" w:hAnsi="Times New Roman" w:eastAsia="仿宋_GB2312" w:cs="Times New Roman"/>
                <w:snapToGrid/>
                <w:color w:val="auto"/>
                <w:kern w:val="2"/>
                <w:sz w:val="32"/>
                <w:szCs w:val="32"/>
                <w:highlight w:val="none"/>
                <w:lang w:eastAsia="zh-CN"/>
              </w:rPr>
            </w:pPr>
            <w:r>
              <w:rPr>
                <w:rFonts w:hint="eastAsia" w:ascii="Times New Roman" w:hAnsi="Times New Roman" w:eastAsia="仿宋_GB2312" w:cs="Times New Roman"/>
                <w:snapToGrid/>
                <w:color w:val="auto"/>
                <w:kern w:val="2"/>
                <w:sz w:val="32"/>
                <w:szCs w:val="32"/>
                <w:highlight w:val="none"/>
                <w:lang w:eastAsia="zh-CN"/>
              </w:rPr>
              <w:t>27343803</w:t>
            </w:r>
          </w:p>
        </w:tc>
      </w:tr>
    </w:tbl>
    <w:p>
      <w:pPr>
        <w:pStyle w:val="7"/>
        <w:rPr>
          <w:lang w:eastAsia="zh-CN"/>
        </w:rPr>
      </w:pPr>
    </w:p>
    <w:p>
      <w:pPr>
        <w:keepNext w:val="0"/>
        <w:keepLines w:val="0"/>
        <w:pageBreakBefore w:val="0"/>
        <w:kinsoku/>
        <w:wordWrap/>
        <w:autoSpaceDE/>
        <w:autoSpaceDN/>
        <w:bidi w:val="0"/>
        <w:adjustRightInd/>
        <w:snapToGrid/>
        <w:spacing w:line="579" w:lineRule="exact"/>
        <w:textAlignment w:val="auto"/>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7"/>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3"/>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7"/>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3"/>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7"/>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3"/>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7"/>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7"/>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pStyle w:val="3"/>
        <w:rPr>
          <w:rFonts w:hint="default" w:ascii="Times New Roman" w:hAnsi="Times New Roman" w:eastAsia="黑体" w:cs="Times New Roman"/>
          <w:b w:val="0"/>
          <w:bCs w:val="0"/>
          <w:i w:val="0"/>
          <w:iCs w:val="0"/>
          <w:caps w:val="0"/>
          <w:color w:val="000000"/>
          <w:spacing w:val="0"/>
          <w:kern w:val="0"/>
          <w:sz w:val="32"/>
          <w:szCs w:val="32"/>
          <w:u w:val="none"/>
          <w:lang w:val="en-US" w:eastAsia="zh-CN" w:bidi="ar"/>
        </w:rPr>
      </w:pPr>
    </w:p>
    <w:p>
      <w:pPr>
        <w:rPr>
          <w:rFonts w:hint="default"/>
          <w:lang w:val="en-US" w:eastAsia="zh-CN"/>
        </w:rPr>
      </w:pP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tabs>
          <w:tab w:val="left" w:pos="7560"/>
        </w:tabs>
        <w:spacing w:line="578" w:lineRule="exact"/>
        <w:ind w:firstLine="415" w:firstLineChars="147"/>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359410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28.3pt;height:0pt;width:441pt;z-index:251662336;mso-width-relative:page;mso-height-relative:page;" filled="f" stroked="t" coordsize="21600,21600" o:gfxdata="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sz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-6985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55pt;height:0pt;width:441pt;z-index:251661312;mso-width-relative:page;mso-height-relative:page;" filled="f" stroked="t" coordsize="21600,21600" o:gfxdata="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株洲市天元区人民政府办公室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日印</w:t>
      </w:r>
      <w:r>
        <w:rPr>
          <w:rFonts w:hint="default" w:ascii="Times New Roman" w:hAnsi="Times New Roman" w:eastAsia="仿宋_GB2312" w:cs="Times New Roman"/>
          <w:sz w:val="28"/>
          <w:szCs w:val="28"/>
        </w:rPr>
        <w:t>发</w:t>
      </w:r>
    </w:p>
    <w:sectPr>
      <w:footerReference r:id="rId5" w:type="default"/>
      <w:pgSz w:w="11906" w:h="16838"/>
      <w:pgMar w:top="2098" w:right="1531" w:bottom="1984" w:left="1531" w:header="851" w:footer="992" w:gutter="0"/>
      <w:pgNumType w:fmt="decimal"/>
      <w:cols w:space="720" w:num="1"/>
      <w:docGrid w:type="linesAndChars" w:linePitch="330"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275"/>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-422275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25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BiHG3B1QAAAAgBAAAP&#10;AAAAAAAAAAEAIAAAADgAAABkcnMvZG93bnJldi54bWxQSwECFAAUAAAACACHTuJALlZmfjICAABj&#10;BAAADgAAAAAAAAABACAAAAA6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4"/>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-422275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23</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25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BiHG3B1QAAAAgBAAAP&#10;AAAAAAAAAAEAIAAAADgAAABkcnMvZG93bnJldi54bWxQSwECFAAUAAAACACHTuJAIwUTnTICAABj&#10;BAAADgAAAAAAAAABACAAAAA6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23</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-120650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ODZmZGY1YzUxNjQyMGY3NDgxMDNjY2QzMTgyMzEifQ=="/>
  </w:docVars>
  <w:rsids>
    <w:rsidRoot w:val="446A2635"/>
    <w:rsid w:val="26C507E8"/>
    <w:rsid w:val="3EBF9F57"/>
    <w:rsid w:val="446A2635"/>
    <w:rsid w:val="4FFBCED4"/>
    <w:rsid w:val="5FEF4467"/>
    <w:rsid w:val="63343D88"/>
    <w:rsid w:val="68AE41EE"/>
    <w:rsid w:val="6FB19CAB"/>
    <w:rsid w:val="70CB6346"/>
    <w:rsid w:val="75FF5D77"/>
    <w:rsid w:val="776B5388"/>
    <w:rsid w:val="7F8751D0"/>
    <w:rsid w:val="7FDFE310"/>
    <w:rsid w:val="8EFD75F1"/>
    <w:rsid w:val="B57F3EA1"/>
    <w:rsid w:val="DAF38CEE"/>
    <w:rsid w:val="DEB342CD"/>
    <w:rsid w:val="DEF75BE0"/>
    <w:rsid w:val="DFDB81F5"/>
    <w:rsid w:val="EFDCB0C3"/>
    <w:rsid w:val="F74F72F3"/>
    <w:rsid w:val="F95CFE72"/>
    <w:rsid w:val="FBF7376D"/>
    <w:rsid w:val="FEDF8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unhideWhenUsed/>
    <w:qFormat/>
    <w:uiPriority w:val="39"/>
  </w:style>
  <w:style w:type="paragraph" w:styleId="7">
    <w:name w:val="footnote text"/>
    <w:basedOn w:val="1"/>
    <w:next w:val="3"/>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1"/>
    <w:next w:val="10"/>
    <w:qFormat/>
    <w:uiPriority w:val="99"/>
    <w:pPr>
      <w:ind w:firstLine="880" w:firstLineChars="200"/>
    </w:pPr>
  </w:style>
  <w:style w:type="paragraph" w:styleId="10">
    <w:name w:val="Body Text First Indent 2"/>
    <w:basedOn w:val="9"/>
    <w:next w:val="9"/>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列出段落1"/>
    <w:basedOn w:val="1"/>
    <w:qFormat/>
    <w:uiPriority w:val="34"/>
    <w:pPr>
      <w:ind w:firstLine="420"/>
    </w:pPr>
  </w:style>
  <w:style w:type="paragraph" w:customStyle="1" w:styleId="16">
    <w:name w:val="Body Text First Indent"/>
    <w:basedOn w:val="3"/>
    <w:qFormat/>
    <w:uiPriority w:val="0"/>
    <w:pPr>
      <w:spacing w:after="0"/>
      <w:ind w:firstLine="420" w:firstLineChars="100"/>
    </w:pPr>
    <w:rPr>
      <w:rFonts w:ascii="Times New Roman" w:hAnsi="Times New Roman" w:eastAsia="仿宋_GB2312"/>
      <w:sz w:val="32"/>
    </w:rPr>
  </w:style>
  <w:style w:type="paragraph" w:customStyle="1" w:styleId="17">
    <w:name w:val="_Style 10"/>
    <w:basedOn w:val="3"/>
    <w:next w:val="16"/>
    <w:qFormat/>
    <w:uiPriority w:val="0"/>
    <w:pPr>
      <w:spacing w:after="0"/>
      <w:ind w:firstLine="420" w:firstLineChars="100"/>
    </w:pPr>
    <w:rPr>
      <w:rFonts w:ascii="Times New Roman" w:hAnsi="Times New Roman" w:eastAsia="仿宋_GB2312"/>
      <w:sz w:val="32"/>
    </w:rPr>
  </w:style>
  <w:style w:type="paragraph" w:customStyle="1" w:styleId="18">
    <w:name w:val="正文首行缩进1"/>
    <w:basedOn w:val="3"/>
    <w:qFormat/>
    <w:uiPriority w:val="0"/>
    <w:pPr>
      <w:spacing w:after="0"/>
      <w:ind w:firstLine="420" w:firstLineChars="100"/>
    </w:pPr>
    <w:rPr>
      <w:rFonts w:ascii="Times New Roman" w:hAnsi="Times New Roman" w:eastAsia="仿宋_GB2312"/>
      <w:sz w:val="32"/>
    </w:rPr>
  </w:style>
  <w:style w:type="paragraph" w:customStyle="1" w:styleId="19">
    <w:name w:val="正文文字"/>
    <w:basedOn w:val="1"/>
    <w:next w:val="1"/>
    <w:qFormat/>
    <w:uiPriority w:val="0"/>
    <w:pPr>
      <w:spacing w:after="120"/>
    </w:pPr>
  </w:style>
  <w:style w:type="paragraph" w:styleId="20">
    <w:name w:val="List Paragraph"/>
    <w:basedOn w:val="1"/>
    <w:qFormat/>
    <w:uiPriority w:val="34"/>
    <w:pPr>
      <w:ind w:firstLine="420" w:firstLineChars="200"/>
    </w:pPr>
  </w:style>
  <w:style w:type="character" w:customStyle="1" w:styleId="21">
    <w:name w:val="font31"/>
    <w:basedOn w:val="13"/>
    <w:qFormat/>
    <w:uiPriority w:val="0"/>
    <w:rPr>
      <w:rFonts w:hint="default" w:ascii="Times New Roman" w:hAnsi="Times New Roman" w:cs="Times New Roman"/>
      <w:color w:val="000000"/>
      <w:sz w:val="24"/>
      <w:szCs w:val="24"/>
      <w:u w:val="none"/>
    </w:rPr>
  </w:style>
  <w:style w:type="character" w:customStyle="1" w:styleId="22">
    <w:name w:val="font91"/>
    <w:basedOn w:val="1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683</Words>
  <Characters>692</Characters>
  <Lines>0</Lines>
  <Paragraphs>0</Paragraphs>
  <TotalTime>23</TotalTime>
  <ScaleCrop>false</ScaleCrop>
  <LinksUpToDate>false</LinksUpToDate>
  <CharactersWithSpaces>1176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2023-01-15T21:56:00Z</dcterms:created>
  <dc:creator>政府办收发文</dc:creator>
  <cp:lastModifiedBy>greatwall</cp:lastModifiedBy>
  <cp:lastPrinted>2025-03-04T17:22:27Z</cp:lastPrinted>
  <dcterms:modified xsi:type="dcterms:W3CDTF">2025-03-04T17:29:43Z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25E77F5F5D5641C98F1105367640E2A9</vt:lpwstr>
  </property>
</Properties>
</file>