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9" w:lineRule="exact"/>
        <w:textAlignment w:val="auto"/>
        <w:rPr>
          <w:rFonts w:hint="default" w:ascii="Times New Roman" w:hAnsi="Times New Roman" w:eastAsia="仿宋_GB2312" w:cs="Times New Roman"/>
          <w:color w:val="auto"/>
          <w:spacing w:val="0"/>
          <w:w w:val="100"/>
          <w:sz w:val="106"/>
          <w:szCs w:val="106"/>
          <w:lang w:val="en-US" w:eastAsia="zh-CN"/>
        </w:rPr>
      </w:pPr>
      <w:r>
        <w:rPr>
          <w:rFonts w:hint="default" w:ascii="Times New Roman" w:hAnsi="Times New Roman" w:eastAsia="仿宋_GB2312" w:cs="Times New Roman"/>
          <w:color w:val="auto"/>
          <w:sz w:val="32"/>
          <w:szCs w:val="32"/>
        </w:rPr>
        <w:t>ZZTYDR</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0000</w:t>
      </w:r>
      <w:r>
        <w:rPr>
          <w:rFonts w:hint="default" w:ascii="Times New Roman" w:hAnsi="Times New Roman" w:eastAsia="仿宋_GB2312" w:cs="Times New Roman"/>
          <w:color w:val="auto"/>
          <w:sz w:val="32"/>
          <w:szCs w:val="32"/>
          <w:lang w:val="en-US" w:eastAsia="zh-CN"/>
        </w:rPr>
        <w:t>3</w:t>
      </w:r>
    </w:p>
    <w:p>
      <w:pPr>
        <w:keepNext w:val="0"/>
        <w:keepLines w:val="0"/>
        <w:pageBreakBefore w:val="0"/>
        <w:widowControl w:val="0"/>
        <w:kinsoku/>
        <w:wordWrap/>
        <w:overflowPunct w:val="0"/>
        <w:topLinePunct w:val="0"/>
        <w:autoSpaceDE/>
        <w:autoSpaceDN/>
        <w:bidi w:val="0"/>
        <w:spacing w:line="579" w:lineRule="exact"/>
        <w:jc w:val="both"/>
        <w:textAlignment w:val="auto"/>
        <w:rPr>
          <w:rFonts w:hint="default" w:ascii="Times New Roman" w:hAnsi="Times New Roman" w:eastAsia="方正小标宋_GBK" w:cs="Times New Roman"/>
          <w:spacing w:val="0"/>
          <w:w w:val="100"/>
          <w:sz w:val="106"/>
          <w:szCs w:val="106"/>
        </w:rPr>
      </w:pPr>
    </w:p>
    <w:p>
      <w:pPr>
        <w:keepNext w:val="0"/>
        <w:keepLines w:val="0"/>
        <w:pageBreakBefore w:val="0"/>
        <w:widowControl w:val="0"/>
        <w:kinsoku/>
        <w:wordWrap/>
        <w:overflowPunct w:val="0"/>
        <w:topLinePunct w:val="0"/>
        <w:autoSpaceDE/>
        <w:autoSpaceDN/>
        <w:bidi w:val="0"/>
        <w:adjustRightInd/>
        <w:snapToGrid/>
        <w:spacing w:line="579" w:lineRule="exact"/>
        <w:jc w:val="both"/>
        <w:textAlignment w:val="auto"/>
        <w:rPr>
          <w:rFonts w:hint="default" w:ascii="Times New Roman" w:hAnsi="Times New Roman" w:eastAsia="方正小标宋_GBK" w:cs="Times New Roman"/>
          <w:spacing w:val="0"/>
          <w:w w:val="100"/>
          <w:sz w:val="106"/>
          <w:szCs w:val="106"/>
        </w:rPr>
      </w:pPr>
    </w:p>
    <w:p>
      <w:pPr>
        <w:keepNext w:val="0"/>
        <w:keepLines w:val="0"/>
        <w:pageBreakBefore w:val="0"/>
        <w:widowControl w:val="0"/>
        <w:kinsoku/>
        <w:wordWrap/>
        <w:overflowPunct w:val="0"/>
        <w:topLinePunct w:val="0"/>
        <w:autoSpaceDE/>
        <w:autoSpaceDN/>
        <w:bidi w:val="0"/>
        <w:adjustRightInd/>
        <w:snapToGrid/>
        <w:spacing w:line="579" w:lineRule="exact"/>
        <w:jc w:val="both"/>
        <w:textAlignment w:val="auto"/>
        <w:rPr>
          <w:rFonts w:hint="default" w:ascii="Times New Roman" w:hAnsi="Times New Roman" w:eastAsia="方正小标宋_GBK" w:cs="Times New Roman"/>
          <w:spacing w:val="0"/>
          <w:w w:val="100"/>
          <w:sz w:val="106"/>
          <w:szCs w:val="106"/>
        </w:rPr>
      </w:pPr>
    </w:p>
    <w:p>
      <w:pPr>
        <w:pStyle w:val="2"/>
        <w:rPr>
          <w:rFonts w:hint="default" w:ascii="Times New Roman" w:hAnsi="Times New Roman" w:cs="Times New Roman"/>
        </w:rPr>
      </w:pPr>
    </w:p>
    <w:p>
      <w:pPr>
        <w:pStyle w:val="2"/>
        <w:pageBreakBefore w:val="0"/>
        <w:widowControl w:val="0"/>
        <w:kinsoku/>
        <w:wordWrap/>
        <w:topLinePunct w:val="0"/>
        <w:autoSpaceDE/>
        <w:autoSpaceDN/>
        <w:bidi w:val="0"/>
        <w:adjustRightInd/>
        <w:snapToGrid/>
        <w:spacing w:before="0" w:after="0" w:line="579" w:lineRule="exact"/>
        <w:textAlignment w:val="auto"/>
        <w:rPr>
          <w:rFonts w:hint="default" w:ascii="Times New Roman" w:hAnsi="Times New Roman" w:cs="Times New Roman"/>
        </w:rPr>
      </w:pPr>
    </w:p>
    <w:p>
      <w:pPr>
        <w:rPr>
          <w:rFonts w:hint="default" w:ascii="Times New Roman" w:hAnsi="Times New Roman" w:cs="Times New Roman"/>
        </w:rPr>
      </w:pPr>
    </w:p>
    <w:p>
      <w:pPr>
        <w:pStyle w:val="2"/>
        <w:keepNext/>
        <w:keepLines/>
        <w:pageBreakBefore w:val="0"/>
        <w:widowControl w:val="0"/>
        <w:kinsoku/>
        <w:wordWrap/>
        <w:overflowPunct/>
        <w:topLinePunct w:val="0"/>
        <w:autoSpaceDE/>
        <w:autoSpaceDN/>
        <w:bidi w:val="0"/>
        <w:adjustRightInd/>
        <w:snapToGrid/>
        <w:spacing w:before="0" w:after="0" w:line="240" w:lineRule="exact"/>
        <w:textAlignment w:val="auto"/>
        <w:rPr>
          <w:rFonts w:hint="default"/>
        </w:rPr>
      </w:pPr>
    </w:p>
    <w:p>
      <w:pPr>
        <w:keepNext w:val="0"/>
        <w:keepLines w:val="0"/>
        <w:pageBreakBefore w:val="0"/>
        <w:widowControl w:val="0"/>
        <w:kinsoku/>
        <w:wordWrap/>
        <w:overflowPunct w:val="0"/>
        <w:topLinePunct w:val="0"/>
        <w:autoSpaceDE/>
        <w:autoSpaceDN/>
        <w:bidi w:val="0"/>
        <w:spacing w:line="579" w:lineRule="exact"/>
        <w:jc w:val="center"/>
        <w:textAlignment w:val="auto"/>
        <w:rPr>
          <w:rFonts w:hint="default" w:ascii="Times New Roman" w:hAnsi="Times New Roman" w:eastAsia="仿宋_GB2312" w:cs="Times New Roman"/>
          <w:spacing w:val="0"/>
          <w:w w:val="100"/>
          <w:sz w:val="32"/>
          <w:szCs w:val="32"/>
        </w:rPr>
      </w:pPr>
      <w:r>
        <w:rPr>
          <w:rFonts w:hint="default" w:ascii="Times New Roman" w:hAnsi="Times New Roman" w:eastAsia="仿宋_GB2312" w:cs="Times New Roman"/>
          <w:spacing w:val="0"/>
          <w:w w:val="100"/>
          <w:sz w:val="32"/>
          <w:szCs w:val="32"/>
        </w:rPr>
        <w:t>株高天政发〔2</w:t>
      </w:r>
      <w:r>
        <w:rPr>
          <w:rFonts w:hint="default" w:ascii="Times New Roman" w:hAnsi="Times New Roman" w:eastAsia="仿宋_GB2312" w:cs="Times New Roman"/>
          <w:color w:val="auto"/>
          <w:spacing w:val="0"/>
          <w:w w:val="100"/>
          <w:sz w:val="32"/>
          <w:szCs w:val="32"/>
        </w:rPr>
        <w:t>02</w:t>
      </w:r>
      <w:r>
        <w:rPr>
          <w:rFonts w:hint="eastAsia" w:ascii="Times New Roman" w:hAnsi="Times New Roman" w:eastAsia="仿宋_GB2312" w:cs="Times New Roman"/>
          <w:color w:val="auto"/>
          <w:spacing w:val="0"/>
          <w:w w:val="100"/>
          <w:sz w:val="32"/>
          <w:szCs w:val="32"/>
          <w:lang w:val="en-US" w:eastAsia="zh-CN"/>
        </w:rPr>
        <w:t>4</w:t>
      </w:r>
      <w:r>
        <w:rPr>
          <w:rFonts w:hint="default" w:ascii="Times New Roman" w:hAnsi="Times New Roman" w:eastAsia="仿宋_GB2312" w:cs="Times New Roman"/>
          <w:color w:val="auto"/>
          <w:spacing w:val="0"/>
          <w:w w:val="100"/>
          <w:sz w:val="32"/>
          <w:szCs w:val="32"/>
        </w:rPr>
        <w:t>〕</w:t>
      </w:r>
      <w:r>
        <w:rPr>
          <w:rFonts w:hint="default" w:ascii="Times New Roman" w:hAnsi="Times New Roman" w:eastAsia="仿宋_GB2312" w:cs="Times New Roman"/>
          <w:color w:val="auto"/>
          <w:spacing w:val="0"/>
          <w:w w:val="100"/>
          <w:sz w:val="32"/>
          <w:szCs w:val="32"/>
          <w:lang w:val="en-US" w:eastAsia="zh-CN"/>
        </w:rPr>
        <w:t>4</w:t>
      </w:r>
      <w:r>
        <w:rPr>
          <w:rFonts w:hint="default" w:ascii="Times New Roman" w:hAnsi="Times New Roman" w:eastAsia="仿宋_GB2312" w:cs="Times New Roman"/>
          <w:color w:val="auto"/>
          <w:spacing w:val="0"/>
          <w:w w:val="100"/>
          <w:sz w:val="32"/>
          <w:szCs w:val="32"/>
        </w:rPr>
        <w:t>号</w:t>
      </w:r>
    </w:p>
    <w:p>
      <w:pPr>
        <w:pStyle w:val="2"/>
        <w:pageBreakBefore w:val="0"/>
        <w:widowControl w:val="0"/>
        <w:kinsoku/>
        <w:wordWrap/>
        <w:topLinePunct w:val="0"/>
        <w:autoSpaceDE/>
        <w:autoSpaceDN/>
        <w:bidi w:val="0"/>
        <w:adjustRightInd/>
        <w:snapToGrid/>
        <w:spacing w:before="0" w:after="0" w:line="640" w:lineRule="exact"/>
        <w:ind w:left="0"/>
        <w:textAlignment w:val="auto"/>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640" w:lineRule="exact"/>
        <w:ind w:left="0"/>
        <w:jc w:val="both"/>
        <w:textAlignment w:val="auto"/>
        <w:rPr>
          <w:rFonts w:hint="default" w:ascii="Times New Roman" w:hAnsi="Times New Roman" w:eastAsia="方正小标宋简体" w:cs="Times New Roman"/>
          <w:spacing w:val="0"/>
          <w:w w:val="100"/>
          <w:sz w:val="42"/>
          <w:szCs w:val="42"/>
        </w:rPr>
      </w:pPr>
    </w:p>
    <w:p>
      <w:pPr>
        <w:keepNext w:val="0"/>
        <w:keepLines w:val="0"/>
        <w:pageBreakBefore w:val="0"/>
        <w:widowControl w:val="0"/>
        <w:kinsoku/>
        <w:wordWrap/>
        <w:overflowPunct/>
        <w:topLinePunct w:val="0"/>
        <w:autoSpaceDE/>
        <w:autoSpaceDN/>
        <w:bidi w:val="0"/>
        <w:adjustRightInd/>
        <w:snapToGrid/>
        <w:spacing w:line="640" w:lineRule="exact"/>
        <w:ind w:left="0"/>
        <w:jc w:val="center"/>
        <w:textAlignment w:val="auto"/>
        <w:rPr>
          <w:rFonts w:hint="default" w:ascii="Times New Roman" w:hAnsi="Times New Roman" w:eastAsia="方正小标宋简体" w:cs="Times New Roman"/>
          <w:color w:val="auto"/>
          <w:kern w:val="0"/>
          <w:sz w:val="44"/>
          <w:szCs w:val="44"/>
          <w:lang w:val="en-US" w:eastAsia="zh-CN" w:bidi="ar-SA"/>
        </w:rPr>
      </w:pPr>
      <w:r>
        <w:rPr>
          <w:rFonts w:hint="default" w:ascii="Times New Roman" w:hAnsi="Times New Roman" w:eastAsia="方正小标宋简体" w:cs="Times New Roman"/>
          <w:color w:val="auto"/>
          <w:spacing w:val="62"/>
          <w:kern w:val="0"/>
          <w:sz w:val="44"/>
          <w:szCs w:val="44"/>
          <w:fitText w:val="4400" w:id="805287166"/>
          <w:lang w:val="en-US" w:eastAsia="zh-CN" w:bidi="ar-SA"/>
        </w:rPr>
        <w:t>株洲高新区管委</w:t>
      </w:r>
      <w:r>
        <w:rPr>
          <w:rFonts w:hint="default" w:ascii="Times New Roman" w:hAnsi="Times New Roman" w:eastAsia="方正小标宋简体" w:cs="Times New Roman"/>
          <w:color w:val="auto"/>
          <w:spacing w:val="6"/>
          <w:kern w:val="0"/>
          <w:sz w:val="44"/>
          <w:szCs w:val="44"/>
          <w:fitText w:val="4400" w:id="805287166"/>
          <w:lang w:val="en-US" w:eastAsia="zh-CN" w:bidi="ar-SA"/>
        </w:rPr>
        <w:t>会</w:t>
      </w:r>
    </w:p>
    <w:p>
      <w:pPr>
        <w:keepNext w:val="0"/>
        <w:keepLines w:val="0"/>
        <w:pageBreakBefore w:val="0"/>
        <w:widowControl w:val="0"/>
        <w:kinsoku/>
        <w:wordWrap/>
        <w:overflowPunct/>
        <w:topLinePunct w:val="0"/>
        <w:autoSpaceDE/>
        <w:autoSpaceDN/>
        <w:bidi w:val="0"/>
        <w:adjustRightInd/>
        <w:snapToGrid/>
        <w:spacing w:line="640" w:lineRule="exact"/>
        <w:ind w:left="0"/>
        <w:jc w:val="center"/>
        <w:textAlignment w:val="auto"/>
        <w:rPr>
          <w:rFonts w:hint="default" w:ascii="Times New Roman" w:hAnsi="Times New Roman" w:eastAsia="方正小标宋简体" w:cs="Times New Roman"/>
          <w:color w:val="auto"/>
          <w:kern w:val="0"/>
          <w:sz w:val="44"/>
          <w:szCs w:val="44"/>
          <w:lang w:val="en-US" w:eastAsia="zh-CN" w:bidi="ar-SA"/>
        </w:rPr>
      </w:pPr>
      <w:r>
        <w:rPr>
          <w:rFonts w:hint="default" w:ascii="Times New Roman" w:hAnsi="Times New Roman" w:eastAsia="方正小标宋简体" w:cs="Times New Roman"/>
          <w:color w:val="auto"/>
          <w:kern w:val="0"/>
          <w:sz w:val="44"/>
          <w:szCs w:val="44"/>
          <w:lang w:val="en-US" w:eastAsia="zh-CN" w:bidi="ar-SA"/>
        </w:rPr>
        <w:t>株洲市天元区人民政府</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关于印发《株洲高新区（天元区）基金管理</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办法》《株洲高新区（天元区）产业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引导基金管理细则》的通知</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各有关单位：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《株洲高新区（天元区）基金管理办法》《株洲高新区（天元区）产业引导基金管理细则》已经管委会、区政府研究同意，现印发给你们，请认真遵照执行。</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Times New Roman" w:hAnsi="Times New Roman" w:eastAsia="仿宋_GB2312" w:cs="Times New Roman"/>
          <w:sz w:val="32"/>
          <w:szCs w:val="32"/>
          <w:lang w:val="en-US" w:eastAsia="zh-CN"/>
        </w:rPr>
      </w:pPr>
      <w:bookmarkStart w:id="20" w:name="_GoBack"/>
      <w:bookmarkEnd w:id="20"/>
    </w:p>
    <w:p>
      <w:pPr>
        <w:keepNext w:val="0"/>
        <w:keepLines w:val="0"/>
        <w:pageBreakBefore w:val="0"/>
        <w:widowControl w:val="0"/>
        <w:kinsoku/>
        <w:wordWrap/>
        <w:overflowPunct/>
        <w:topLinePunct w:val="0"/>
        <w:autoSpaceDE/>
        <w:autoSpaceDN/>
        <w:bidi w:val="0"/>
        <w:adjustRightInd/>
        <w:snapToGrid/>
        <w:spacing w:line="640" w:lineRule="exact"/>
        <w:ind w:firstLine="320" w:firstLineChars="1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株洲高新区管委会            株洲市天元区人民政府</w:t>
      </w:r>
    </w:p>
    <w:p>
      <w:pPr>
        <w:keepNext w:val="0"/>
        <w:keepLines w:val="0"/>
        <w:pageBreakBefore w:val="0"/>
        <w:widowControl w:val="0"/>
        <w:kinsoku/>
        <w:wordWrap/>
        <w:overflowPunct/>
        <w:topLinePunct w:val="0"/>
        <w:autoSpaceDE/>
        <w:autoSpaceDN/>
        <w:bidi w:val="0"/>
        <w:adjustRightInd/>
        <w:snapToGrid/>
        <w:spacing w:line="640" w:lineRule="exact"/>
        <w:ind w:firstLine="320" w:firstLineChars="1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2024年12月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株洲高新区（天元区）基金管理办法</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试行）</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2"/>
          <w:szCs w:val="4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sz w:val="32"/>
          <w:szCs w:val="32"/>
          <w:u w:val="none"/>
        </w:rPr>
      </w:pPr>
      <w:r>
        <w:rPr>
          <w:rFonts w:hint="default" w:ascii="Times New Roman" w:hAnsi="Times New Roman" w:eastAsia="黑体" w:cs="Times New Roman"/>
          <w:sz w:val="32"/>
          <w:szCs w:val="32"/>
          <w:u w:val="none"/>
        </w:rPr>
        <w:t>总</w:t>
      </w:r>
      <w:r>
        <w:rPr>
          <w:rFonts w:hint="default" w:ascii="Times New Roman" w:hAnsi="Times New Roman" w:eastAsia="黑体" w:cs="Times New Roman"/>
          <w:sz w:val="32"/>
          <w:szCs w:val="32"/>
          <w:u w:val="none"/>
          <w:lang w:val="en-US" w:eastAsia="zh-CN"/>
        </w:rPr>
        <w:t xml:space="preserve">  </w:t>
      </w:r>
      <w:r>
        <w:rPr>
          <w:rFonts w:hint="default" w:ascii="Times New Roman" w:hAnsi="Times New Roman" w:eastAsia="黑体" w:cs="Times New Roman"/>
          <w:sz w:val="32"/>
          <w:szCs w:val="32"/>
          <w:u w:val="none"/>
        </w:rPr>
        <w:t>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黑体" w:cs="Times New Roman"/>
          <w:b w:val="0"/>
          <w:bCs w:val="0"/>
          <w:sz w:val="32"/>
          <w:szCs w:val="32"/>
          <w:u w:val="none"/>
        </w:rPr>
        <w:t>第一条</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为充分发挥</w:t>
      </w:r>
      <w:r>
        <w:rPr>
          <w:rFonts w:hint="default" w:ascii="Times New Roman" w:hAnsi="Times New Roman" w:eastAsia="仿宋_GB2312" w:cs="Times New Roman"/>
          <w:sz w:val="32"/>
          <w:szCs w:val="32"/>
          <w:u w:val="none"/>
          <w:lang w:val="en-US" w:eastAsia="zh-CN"/>
        </w:rPr>
        <w:t>株洲高新区（天元区）</w:t>
      </w:r>
      <w:r>
        <w:rPr>
          <w:rFonts w:hint="default" w:ascii="Times New Roman" w:hAnsi="Times New Roman" w:eastAsia="仿宋_GB2312" w:cs="Times New Roman"/>
          <w:sz w:val="32"/>
          <w:szCs w:val="32"/>
          <w:u w:val="none"/>
        </w:rPr>
        <w:t>基金引导金融和社会资本支持我</w:t>
      </w:r>
      <w:r>
        <w:rPr>
          <w:rFonts w:hint="default" w:ascii="Times New Roman" w:hAnsi="Times New Roman" w:eastAsia="仿宋_GB2312" w:cs="Times New Roman"/>
          <w:sz w:val="32"/>
          <w:szCs w:val="32"/>
          <w:u w:val="none"/>
          <w:lang w:val="en-US" w:eastAsia="zh-CN"/>
        </w:rPr>
        <w:t>区</w:t>
      </w:r>
      <w:r>
        <w:rPr>
          <w:rFonts w:hint="default" w:ascii="Times New Roman" w:hAnsi="Times New Roman" w:eastAsia="仿宋_GB2312" w:cs="Times New Roman"/>
          <w:sz w:val="32"/>
          <w:szCs w:val="32"/>
          <w:u w:val="none"/>
        </w:rPr>
        <w:t>产业高质量发展的作用，</w:t>
      </w:r>
      <w:r>
        <w:rPr>
          <w:rFonts w:hint="default" w:ascii="Times New Roman" w:hAnsi="Times New Roman" w:eastAsia="仿宋_GB2312" w:cs="Times New Roman"/>
          <w:sz w:val="32"/>
          <w:szCs w:val="32"/>
          <w:u w:val="none"/>
        </w:rPr>
        <w:fldChar w:fldCharType="begin"/>
      </w:r>
      <w:r>
        <w:rPr>
          <w:rFonts w:hint="default" w:ascii="Times New Roman" w:hAnsi="Times New Roman" w:eastAsia="仿宋_GB2312" w:cs="Times New Roman"/>
          <w:sz w:val="32"/>
          <w:szCs w:val="32"/>
          <w:u w:val="none"/>
        </w:rPr>
        <w:instrText xml:space="preserve"> HYPERLINK "http://www.baidu.com/link?url=4W1NL_nv9PSV2lhXzNKQpW6aOn77a6Q8EF1nmVuKrFrNeBi5jk08G6_Qm-IzSpKGVS9q-4Xlb1ARWWHFYIBMJJW8kljLlSPtaH5ditmHDxxPZTWlf9u5mbQ8zDObtlRf" \t "https://www.baidu.com/_blank" </w:instrText>
      </w:r>
      <w:r>
        <w:rPr>
          <w:rFonts w:hint="default" w:ascii="Times New Roman" w:hAnsi="Times New Roman" w:eastAsia="仿宋_GB2312" w:cs="Times New Roman"/>
          <w:sz w:val="32"/>
          <w:szCs w:val="32"/>
          <w:u w:val="none"/>
        </w:rPr>
        <w:fldChar w:fldCharType="separate"/>
      </w:r>
      <w:r>
        <w:rPr>
          <w:rFonts w:hint="default" w:ascii="Times New Roman" w:hAnsi="Times New Roman" w:eastAsia="仿宋_GB2312" w:cs="Times New Roman"/>
          <w:sz w:val="32"/>
          <w:szCs w:val="32"/>
          <w:u w:val="none"/>
        </w:rPr>
        <w:t>加快形成新质生产力</w:t>
      </w:r>
      <w:r>
        <w:rPr>
          <w:rFonts w:hint="default" w:ascii="Times New Roman" w:hAnsi="Times New Roman" w:eastAsia="仿宋_GB2312" w:cs="Times New Roman"/>
          <w:sz w:val="32"/>
          <w:szCs w:val="32"/>
          <w:u w:val="none"/>
        </w:rPr>
        <w:fldChar w:fldCharType="end"/>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根据党中央、国务院关于完善国有金融资本管理的有关意见精神，按照《财政部关于印发〈政府投资基金暂行管理办法〉的通知》（财预〔2015〕210号）、《财政部关于财政资金注资政府投资基金支持产业发展的指导意见》（财建〔2015〕1062号）、《财政部关于加强政府投资基金管理 提高财政出资效益的通知》（财预〔2020〕7号）、《国家发展改革委关于印发〈政府出资产业投资基金管理暂行办法〉的通知》（发改财金规〔2016〕2800号）</w:t>
      </w:r>
      <w:r>
        <w:rPr>
          <w:rFonts w:hint="default" w:ascii="Times New Roman" w:hAnsi="Times New Roman" w:eastAsia="仿宋_GB2312" w:cs="Times New Roman"/>
          <w:sz w:val="32"/>
          <w:szCs w:val="32"/>
          <w:u w:val="none"/>
          <w:lang w:eastAsia="zh-CN"/>
        </w:rPr>
        <w:t>、《湖南省财政厅关于印发</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湖南省省级政府性投资基金暂行管理办法</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的通知</w:t>
      </w:r>
      <w:r>
        <w:rPr>
          <w:rFonts w:hint="default" w:ascii="Times New Roman" w:hAnsi="Times New Roman" w:eastAsia="仿宋_GB2312" w:cs="Times New Roman"/>
          <w:sz w:val="32"/>
          <w:szCs w:val="32"/>
          <w:u w:val="none"/>
          <w:lang w:val="en-US" w:eastAsia="zh-CN"/>
        </w:rPr>
        <w:t>》（湘财预</w:t>
      </w:r>
      <w:r>
        <w:rPr>
          <w:rFonts w:hint="default" w:ascii="Times New Roman" w:hAnsi="Times New Roman" w:eastAsia="仿宋_GB2312" w:cs="Times New Roman"/>
          <w:sz w:val="32"/>
          <w:szCs w:val="32"/>
          <w:u w:val="none"/>
        </w:rPr>
        <w:t>〔2016〕</w:t>
      </w:r>
      <w:r>
        <w:rPr>
          <w:rFonts w:hint="default" w:ascii="Times New Roman" w:hAnsi="Times New Roman" w:eastAsia="仿宋_GB2312" w:cs="Times New Roman"/>
          <w:sz w:val="32"/>
          <w:szCs w:val="32"/>
          <w:u w:val="none"/>
          <w:lang w:val="en-US" w:eastAsia="zh-CN"/>
        </w:rPr>
        <w:t>30号）等文件规定，以及国家、省、市、区国有资产监督管理部门的政策要求，</w:t>
      </w:r>
      <w:r>
        <w:rPr>
          <w:rFonts w:hint="default" w:ascii="Times New Roman" w:hAnsi="Times New Roman" w:eastAsia="仿宋_GB2312" w:cs="Times New Roman"/>
          <w:sz w:val="32"/>
          <w:szCs w:val="32"/>
          <w:u w:val="none"/>
        </w:rPr>
        <w:t>结合我</w:t>
      </w:r>
      <w:r>
        <w:rPr>
          <w:rFonts w:hint="default" w:ascii="Times New Roman" w:hAnsi="Times New Roman" w:eastAsia="仿宋_GB2312" w:cs="Times New Roman"/>
          <w:sz w:val="32"/>
          <w:szCs w:val="32"/>
          <w:u w:val="none"/>
          <w:lang w:val="en-US" w:eastAsia="zh-CN"/>
        </w:rPr>
        <w:t>区</w:t>
      </w:r>
      <w:r>
        <w:rPr>
          <w:rFonts w:hint="default" w:ascii="Times New Roman" w:hAnsi="Times New Roman" w:eastAsia="仿宋_GB2312" w:cs="Times New Roman"/>
          <w:sz w:val="32"/>
          <w:szCs w:val="32"/>
          <w:u w:val="none"/>
        </w:rPr>
        <w:t>实际，制定本办法</w:t>
      </w:r>
      <w:r>
        <w:rPr>
          <w:rFonts w:hint="default" w:ascii="Times New Roman" w:hAnsi="Times New Roman" w:eastAsia="仿宋_GB2312"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黑体" w:cs="Times New Roman"/>
          <w:b w:val="0"/>
          <w:bCs w:val="0"/>
          <w:sz w:val="32"/>
          <w:szCs w:val="32"/>
          <w:u w:val="none"/>
        </w:rPr>
        <w:t>第二条</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rPr>
        <w:t>本办法所称基金是</w:t>
      </w:r>
      <w:r>
        <w:rPr>
          <w:rFonts w:hint="default" w:ascii="Times New Roman" w:hAnsi="Times New Roman" w:eastAsia="仿宋_GB2312" w:cs="Times New Roman"/>
          <w:sz w:val="32"/>
          <w:szCs w:val="32"/>
          <w:u w:val="none"/>
          <w:lang w:val="en-US" w:eastAsia="zh-CN"/>
        </w:rPr>
        <w:t>指由株洲高新区（天元区）财政和区属国有公司出资设立的各类股权投资基金的统称。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第三条</w:t>
      </w:r>
      <w:r>
        <w:rPr>
          <w:rFonts w:hint="default" w:ascii="Times New Roman" w:hAnsi="Times New Roman" w:eastAsia="仿宋_GB2312" w:cs="Times New Roman"/>
          <w:sz w:val="32"/>
          <w:szCs w:val="32"/>
          <w:u w:val="none"/>
          <w:lang w:val="en-US" w:eastAsia="zh-CN"/>
        </w:rPr>
        <w:t xml:space="preserve"> 基金的组织形式可以采用公司制或有限合伙制，投资形式包括母基金、直投基金和专项基金等。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第四条</w:t>
      </w:r>
      <w:r>
        <w:rPr>
          <w:rFonts w:hint="default" w:ascii="Times New Roman" w:hAnsi="Times New Roman" w:eastAsia="仿宋_GB2312" w:cs="Times New Roman"/>
          <w:sz w:val="32"/>
          <w:szCs w:val="32"/>
          <w:u w:val="none"/>
          <w:lang w:val="en-US" w:eastAsia="zh-CN"/>
        </w:rPr>
        <w:t xml:space="preserve"> 基金的资金主要来源于区财政资金、区属国有公司资本金投入以及其他出资主体。</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第五条</w:t>
      </w:r>
      <w:r>
        <w:rPr>
          <w:rFonts w:hint="default" w:ascii="Times New Roman" w:hAnsi="Times New Roman" w:eastAsia="仿宋_GB2312" w:cs="Times New Roman"/>
          <w:sz w:val="32"/>
          <w:szCs w:val="32"/>
          <w:u w:val="none"/>
          <w:lang w:val="en-US" w:eastAsia="zh-CN"/>
        </w:rPr>
        <w:t xml:space="preserve"> 基金划分为政策性基金和市场化基金两大类型。政策性基金主要由区财政或区属国有公司出资，由区属国有公司具体运作，重在发挥财政资金的杠杆放大效应和投资引导作用，重点支持株洲高新区（天元区）“2+2”产业集群（即新能源汽车产业、新能源装备产业、新材料产业和电子信息产业）</w:t>
      </w:r>
      <w:r>
        <w:rPr>
          <w:rFonts w:hint="default" w:ascii="Times New Roman" w:hAnsi="Times New Roman" w:eastAsia="仿宋_GB2312" w:cs="Times New Roman"/>
          <w:sz w:val="32"/>
          <w:szCs w:val="32"/>
          <w:highlight w:val="none"/>
          <w:u w:val="none"/>
          <w:lang w:val="en-US" w:eastAsia="zh-CN"/>
        </w:rPr>
        <w:t>以及其他战略性新兴产业</w:t>
      </w:r>
      <w:r>
        <w:rPr>
          <w:rFonts w:hint="default" w:ascii="Times New Roman" w:hAnsi="Times New Roman" w:eastAsia="仿宋_GB2312" w:cs="Times New Roman"/>
          <w:sz w:val="32"/>
          <w:szCs w:val="32"/>
          <w:u w:val="none"/>
          <w:lang w:val="en-US" w:eastAsia="zh-CN"/>
        </w:rPr>
        <w:t>，构建新型产业生态。市场化基金可由财政少量出资作为撬动，主要由区属国有公司以自有资金出资或联合外部资本方共同出资设立，以取得投资收益为主要目标，兼顾支持高新区产业发展。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第六条</w:t>
      </w:r>
      <w:r>
        <w:rPr>
          <w:rFonts w:hint="default" w:ascii="Times New Roman" w:hAnsi="Times New Roman" w:eastAsia="仿宋_GB2312" w:cs="Times New Roman"/>
          <w:sz w:val="32"/>
          <w:szCs w:val="32"/>
          <w:u w:val="none"/>
          <w:lang w:val="en-US" w:eastAsia="zh-CN"/>
        </w:rPr>
        <w:t xml:space="preserve"> 政策性基金根据设立目的和投向划分为产业引导基金、投资促进基金、战略发展基金、天使基金（含科技成果转化类基金）、种子基金等类型，并采取“一分类一办法”的模式进行管理。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rPr>
        <w:t>第二章</w:t>
      </w:r>
      <w:r>
        <w:rPr>
          <w:rFonts w:hint="default" w:ascii="Times New Roman" w:hAnsi="Times New Roman" w:eastAsia="黑体" w:cs="Times New Roman"/>
          <w:sz w:val="32"/>
          <w:szCs w:val="32"/>
          <w:u w:val="none"/>
          <w:lang w:val="en-US" w:eastAsia="zh-CN"/>
        </w:rPr>
        <w:t xml:space="preserve"> 管理机构及职责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第七条</w:t>
      </w:r>
      <w:r>
        <w:rPr>
          <w:rFonts w:hint="default" w:ascii="Times New Roman" w:hAnsi="Times New Roman" w:eastAsia="仿宋_GB2312" w:cs="Times New Roman"/>
          <w:color w:val="auto"/>
          <w:sz w:val="32"/>
          <w:szCs w:val="32"/>
          <w:u w:val="none"/>
          <w:lang w:val="en-US" w:eastAsia="zh-CN"/>
        </w:rPr>
        <w:t xml:space="preserve"> 遵循基金投资运行规律，构建金融服务工作联席会议、联席会议办公室、出资人代表和受托管理机构（基金管理人）“四位一体”的株洲高新区（天元区）政策性基金管理体系。联席会议不参与基金日常运营管理，其主要职责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（一）审议基金相关的管理办法和实施细则等管理文件；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（二）审定政策性基金及政策性子基金的设立、重大调整和退出方案；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（三）确定基金的投资方向；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（四）审定基金年度投资计划等重大事项。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b w:val="0"/>
          <w:bCs w:val="0"/>
          <w:sz w:val="32"/>
          <w:szCs w:val="32"/>
          <w:u w:val="none"/>
          <w:lang w:val="en-US" w:eastAsia="zh-CN"/>
        </w:rPr>
        <w:t>第八条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联席会议办公室</w:t>
      </w:r>
      <w:r>
        <w:rPr>
          <w:rFonts w:hint="default" w:ascii="Times New Roman" w:hAnsi="Times New Roman" w:eastAsia="仿宋_GB2312" w:cs="Times New Roman"/>
          <w:color w:val="auto"/>
          <w:sz w:val="32"/>
          <w:szCs w:val="32"/>
          <w:u w:val="none"/>
        </w:rPr>
        <w:t>设在</w:t>
      </w:r>
      <w:r>
        <w:rPr>
          <w:rFonts w:hint="default" w:ascii="Times New Roman" w:hAnsi="Times New Roman" w:eastAsia="仿宋_GB2312" w:cs="Times New Roman"/>
          <w:color w:val="auto"/>
          <w:sz w:val="32"/>
          <w:szCs w:val="32"/>
          <w:u w:val="none"/>
          <w:lang w:val="en-US" w:eastAsia="zh-CN"/>
        </w:rPr>
        <w:t>投资金融局</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其主要职责是：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（一）负责牵头拟订基金相关的管理办法和实施细则等管理文件；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（二）初审政策性基金及政策性子基金的设立、重大调整和退出方案；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（三）牵头组织认定政策性基金的返投结果；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（四）负责组织政策性基金的绩效评估；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（五）负责基金管理人提请高新区管委会或联席会议研究决定相关事项的协调工作；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（六）负责联席会议的承办工作；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（七）负责向财政申报</w:t>
      </w:r>
      <w:r>
        <w:rPr>
          <w:rFonts w:hint="default" w:ascii="Times New Roman" w:hAnsi="Times New Roman" w:eastAsia="仿宋_GB2312" w:cs="Times New Roman"/>
          <w:color w:val="auto"/>
          <w:sz w:val="32"/>
          <w:szCs w:val="32"/>
          <w:u w:val="none"/>
        </w:rPr>
        <w:t>基金年度资金预算</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（八）承担联席会议交办的其他工作。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b w:val="0"/>
          <w:bCs w:val="0"/>
          <w:sz w:val="32"/>
          <w:szCs w:val="32"/>
          <w:u w:val="none"/>
          <w:lang w:val="en-US" w:eastAsia="zh-CN"/>
        </w:rPr>
        <w:t>第九条</w:t>
      </w:r>
      <w:r>
        <w:rPr>
          <w:rFonts w:hint="default" w:ascii="Times New Roman" w:hAnsi="Times New Roman" w:eastAsia="仿宋_GB2312" w:cs="Times New Roman"/>
          <w:color w:val="auto"/>
          <w:sz w:val="32"/>
          <w:szCs w:val="32"/>
          <w:u w:val="none"/>
          <w:lang w:val="en-US" w:eastAsia="zh-CN"/>
        </w:rPr>
        <w:t xml:space="preserve"> 各相关部门根据职能划分履行职责：产业发展局负责制定重点产业发展投资方向指引；发改局负责制定重点行业发展投资方向指引；项目服务局、经济合作局、双创中心、发改局、科工信局、高科集团负责建立重大战略类项目库，支持重点行业类、科创培育类项目库建设</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企业服务局</w:t>
      </w:r>
      <w:r>
        <w:rPr>
          <w:rFonts w:hint="default" w:ascii="Times New Roman" w:hAnsi="Times New Roman" w:eastAsia="仿宋_GB2312" w:cs="Times New Roman"/>
          <w:color w:val="auto"/>
          <w:sz w:val="32"/>
          <w:szCs w:val="32"/>
          <w:u w:val="none"/>
        </w:rPr>
        <w:t>负责基金投资项目的落地服务</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财政局负责政策性基金出资的年度预算安排，并对出资基金履行监管职责，统筹监管国企出资</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各部门可根据基金类型和投资需要，经联席会议</w:t>
      </w:r>
      <w:r>
        <w:rPr>
          <w:rFonts w:hint="default" w:ascii="Times New Roman" w:hAnsi="Times New Roman" w:eastAsia="仿宋_GB2312" w:cs="Times New Roman"/>
          <w:strike w:val="0"/>
          <w:dstrike w:val="0"/>
          <w:color w:val="auto"/>
          <w:sz w:val="32"/>
          <w:szCs w:val="32"/>
          <w:u w:val="none"/>
          <w:lang w:val="en-US" w:eastAsia="zh-CN"/>
        </w:rPr>
        <w:t>同意</w:t>
      </w:r>
      <w:r>
        <w:rPr>
          <w:rFonts w:hint="default" w:ascii="Times New Roman" w:hAnsi="Times New Roman" w:eastAsia="仿宋_GB2312" w:cs="Times New Roman"/>
          <w:color w:val="auto"/>
          <w:sz w:val="32"/>
          <w:szCs w:val="32"/>
          <w:u w:val="none"/>
          <w:lang w:val="en-US" w:eastAsia="zh-CN"/>
        </w:rPr>
        <w:t>后</w:t>
      </w:r>
      <w:r>
        <w:rPr>
          <w:rFonts w:hint="default" w:ascii="Times New Roman" w:hAnsi="Times New Roman" w:eastAsia="仿宋_GB2312" w:cs="Times New Roman"/>
          <w:color w:val="auto"/>
          <w:sz w:val="32"/>
          <w:szCs w:val="32"/>
          <w:u w:val="none"/>
        </w:rPr>
        <w:t>向基金参投</w:t>
      </w:r>
      <w:r>
        <w:rPr>
          <w:rFonts w:hint="default" w:ascii="Times New Roman" w:hAnsi="Times New Roman" w:eastAsia="仿宋_GB2312" w:cs="Times New Roman"/>
          <w:color w:val="auto"/>
          <w:sz w:val="32"/>
          <w:szCs w:val="32"/>
          <w:u w:val="none"/>
          <w:lang w:val="en-US" w:eastAsia="zh-CN"/>
        </w:rPr>
        <w:t>的</w:t>
      </w:r>
      <w:r>
        <w:rPr>
          <w:rFonts w:hint="default" w:ascii="Times New Roman" w:hAnsi="Times New Roman" w:eastAsia="仿宋_GB2312" w:cs="Times New Roman"/>
          <w:color w:val="auto"/>
          <w:sz w:val="32"/>
          <w:szCs w:val="32"/>
          <w:u w:val="none"/>
        </w:rPr>
        <w:t>子基金派驻观察员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加强对投资基金及项目的培育赋能</w:t>
      </w:r>
      <w:r>
        <w:rPr>
          <w:rFonts w:hint="default" w:ascii="Times New Roman" w:hAnsi="Times New Roman"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val="0"/>
          <w:sz w:val="32"/>
          <w:szCs w:val="32"/>
          <w:u w:val="none"/>
          <w:lang w:val="en-US" w:eastAsia="zh-CN"/>
        </w:rPr>
        <w:t>第十条</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auto"/>
          <w:sz w:val="32"/>
          <w:szCs w:val="32"/>
          <w:u w:val="none"/>
          <w:lang w:val="en-US" w:eastAsia="zh-CN"/>
        </w:rPr>
        <w:t>财政</w:t>
      </w:r>
      <w:r>
        <w:rPr>
          <w:rFonts w:hint="eastAsia" w:ascii="Times New Roman" w:hAnsi="Times New Roman" w:eastAsia="仿宋_GB2312" w:cs="Times New Roman"/>
          <w:color w:val="auto"/>
          <w:sz w:val="32"/>
          <w:szCs w:val="32"/>
          <w:u w:val="none"/>
          <w:lang w:val="en-US" w:eastAsia="zh-CN"/>
        </w:rPr>
        <w:t>局</w:t>
      </w:r>
      <w:r>
        <w:rPr>
          <w:rFonts w:hint="default" w:ascii="Times New Roman" w:hAnsi="Times New Roman" w:eastAsia="仿宋_GB2312" w:cs="Times New Roman"/>
          <w:color w:val="auto"/>
          <w:sz w:val="32"/>
          <w:szCs w:val="32"/>
          <w:u w:val="none"/>
          <w:lang w:val="en-US" w:eastAsia="zh-CN"/>
        </w:rPr>
        <w:t>（国资）授权委托株洲高科集团有限公司所属子公司株洲动力谷产业投资发展集团有限公司（以下简称“产投公司”）履行出资人代表职责，在授权范围内，按照联席会议的工作要求负责政策性基金运行的日常监管工作，并对委托人负责。其</w:t>
      </w:r>
      <w:r>
        <w:rPr>
          <w:rFonts w:hint="default" w:ascii="Times New Roman" w:hAnsi="Times New Roman" w:eastAsia="仿宋_GB2312" w:cs="Times New Roman"/>
          <w:color w:val="auto"/>
          <w:sz w:val="32"/>
          <w:szCs w:val="32"/>
          <w:u w:val="none"/>
        </w:rPr>
        <w:t>主要职责</w:t>
      </w:r>
      <w:r>
        <w:rPr>
          <w:rFonts w:hint="default" w:ascii="Times New Roman" w:hAnsi="Times New Roman" w:eastAsia="仿宋_GB2312" w:cs="Times New Roman"/>
          <w:color w:val="auto"/>
          <w:sz w:val="32"/>
          <w:szCs w:val="32"/>
          <w:u w:val="none"/>
          <w:lang w:val="en-US" w:eastAsia="zh-CN"/>
        </w:rPr>
        <w:t>是</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rPr>
      </w:pPr>
      <w:bookmarkStart w:id="0" w:name="bookmark19"/>
      <w:r>
        <w:rPr>
          <w:rFonts w:hint="default" w:ascii="Times New Roman" w:hAnsi="Times New Roman" w:eastAsia="仿宋_GB2312" w:cs="Times New Roman"/>
          <w:color w:val="auto"/>
          <w:sz w:val="32"/>
          <w:szCs w:val="32"/>
          <w:u w:val="none"/>
        </w:rPr>
        <w:t>（</w:t>
      </w:r>
      <w:bookmarkEnd w:id="0"/>
      <w:r>
        <w:rPr>
          <w:rFonts w:hint="default" w:ascii="Times New Roman" w:hAnsi="Times New Roman" w:eastAsia="仿宋_GB2312" w:cs="Times New Roman"/>
          <w:color w:val="auto"/>
          <w:sz w:val="32"/>
          <w:szCs w:val="32"/>
          <w:u w:val="none"/>
        </w:rPr>
        <w:t>一）承担</w:t>
      </w:r>
      <w:r>
        <w:rPr>
          <w:rFonts w:hint="default" w:ascii="Times New Roman" w:hAnsi="Times New Roman" w:eastAsia="仿宋_GB2312" w:cs="Times New Roman"/>
          <w:color w:val="auto"/>
          <w:sz w:val="32"/>
          <w:szCs w:val="32"/>
          <w:u w:val="none"/>
          <w:lang w:val="en-US" w:eastAsia="zh-CN"/>
        </w:rPr>
        <w:t>区财政</w:t>
      </w:r>
      <w:r>
        <w:rPr>
          <w:rFonts w:hint="default" w:ascii="Times New Roman" w:hAnsi="Times New Roman" w:eastAsia="仿宋_GB2312" w:cs="Times New Roman"/>
          <w:color w:val="auto"/>
          <w:sz w:val="32"/>
          <w:szCs w:val="32"/>
          <w:u w:val="none"/>
        </w:rPr>
        <w:t>出资人代表职责；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rPr>
      </w:pPr>
      <w:bookmarkStart w:id="1" w:name="bookmark20"/>
      <w:r>
        <w:rPr>
          <w:rFonts w:hint="default" w:ascii="Times New Roman" w:hAnsi="Times New Roman" w:eastAsia="仿宋_GB2312" w:cs="Times New Roman"/>
          <w:color w:val="auto"/>
          <w:sz w:val="32"/>
          <w:szCs w:val="32"/>
          <w:u w:val="none"/>
        </w:rPr>
        <w:t>（</w:t>
      </w:r>
      <w:bookmarkEnd w:id="1"/>
      <w:r>
        <w:rPr>
          <w:rFonts w:hint="default" w:ascii="Times New Roman" w:hAnsi="Times New Roman" w:eastAsia="仿宋_GB2312" w:cs="Times New Roman"/>
          <w:color w:val="auto"/>
          <w:sz w:val="32"/>
          <w:szCs w:val="32"/>
          <w:u w:val="none"/>
        </w:rPr>
        <w:t>二）承担对受托管理机构的监督管理职责；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rPr>
      </w:pPr>
      <w:bookmarkStart w:id="2" w:name="bookmark23"/>
      <w:r>
        <w:rPr>
          <w:rFonts w:hint="default" w:ascii="Times New Roman" w:hAnsi="Times New Roman" w:eastAsia="仿宋_GB2312" w:cs="Times New Roman"/>
          <w:color w:val="auto"/>
          <w:sz w:val="32"/>
          <w:szCs w:val="32"/>
          <w:u w:val="none"/>
        </w:rPr>
        <w:t>（</w:t>
      </w:r>
      <w:bookmarkEnd w:id="2"/>
      <w:r>
        <w:rPr>
          <w:rFonts w:hint="default" w:ascii="Times New Roman" w:hAnsi="Times New Roman" w:eastAsia="仿宋_GB2312" w:cs="Times New Roman"/>
          <w:color w:val="auto"/>
          <w:sz w:val="32"/>
          <w:szCs w:val="32"/>
          <w:u w:val="none"/>
          <w:lang w:val="en-US" w:eastAsia="zh-CN"/>
        </w:rPr>
        <w:t>三</w:t>
      </w:r>
      <w:r>
        <w:rPr>
          <w:rFonts w:hint="default" w:ascii="Times New Roman" w:hAnsi="Times New Roman" w:eastAsia="仿宋_GB2312" w:cs="Times New Roman"/>
          <w:color w:val="auto"/>
          <w:sz w:val="32"/>
          <w:szCs w:val="32"/>
          <w:u w:val="none"/>
        </w:rPr>
        <w:t>）负责拟订</w:t>
      </w:r>
      <w:r>
        <w:rPr>
          <w:rFonts w:hint="default" w:ascii="Times New Roman" w:hAnsi="Times New Roman" w:eastAsia="仿宋_GB2312" w:cs="Times New Roman"/>
          <w:color w:val="auto"/>
          <w:sz w:val="32"/>
          <w:szCs w:val="32"/>
          <w:u w:val="none"/>
          <w:lang w:val="en-US" w:eastAsia="zh-CN"/>
        </w:rPr>
        <w:t>政策性</w:t>
      </w:r>
      <w:r>
        <w:rPr>
          <w:rFonts w:hint="default" w:ascii="Times New Roman" w:hAnsi="Times New Roman" w:eastAsia="仿宋_GB2312" w:cs="Times New Roman"/>
          <w:color w:val="auto"/>
          <w:sz w:val="32"/>
          <w:szCs w:val="32"/>
          <w:u w:val="none"/>
        </w:rPr>
        <w:t>基金</w:t>
      </w:r>
      <w:r>
        <w:rPr>
          <w:rFonts w:hint="default" w:ascii="Times New Roman" w:hAnsi="Times New Roman" w:eastAsia="仿宋_GB2312" w:cs="Times New Roman"/>
          <w:color w:val="auto"/>
          <w:sz w:val="32"/>
          <w:szCs w:val="32"/>
          <w:u w:val="none"/>
          <w:lang w:val="en-US" w:eastAsia="zh-CN"/>
        </w:rPr>
        <w:t>的</w:t>
      </w:r>
      <w:r>
        <w:rPr>
          <w:rFonts w:hint="default" w:ascii="Times New Roman" w:hAnsi="Times New Roman" w:eastAsia="仿宋_GB2312" w:cs="Times New Roman"/>
          <w:color w:val="auto"/>
          <w:sz w:val="32"/>
          <w:szCs w:val="32"/>
          <w:u w:val="none"/>
        </w:rPr>
        <w:t>具体设立</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调整、退出</w:t>
      </w:r>
      <w:r>
        <w:rPr>
          <w:rFonts w:hint="default" w:ascii="Times New Roman" w:hAnsi="Times New Roman" w:eastAsia="仿宋_GB2312" w:cs="Times New Roman"/>
          <w:color w:val="auto"/>
          <w:sz w:val="32"/>
          <w:szCs w:val="32"/>
          <w:u w:val="none"/>
        </w:rPr>
        <w:t>方案</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按程序报批后组织实施</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rPr>
      </w:pPr>
      <w:bookmarkStart w:id="3" w:name="bookmark21"/>
      <w:r>
        <w:rPr>
          <w:rFonts w:hint="default" w:ascii="Times New Roman" w:hAnsi="Times New Roman" w:eastAsia="仿宋_GB2312" w:cs="Times New Roman"/>
          <w:color w:val="auto"/>
          <w:sz w:val="32"/>
          <w:szCs w:val="32"/>
          <w:u w:val="none"/>
        </w:rPr>
        <w:t>（</w:t>
      </w:r>
      <w:bookmarkEnd w:id="3"/>
      <w:r>
        <w:rPr>
          <w:rFonts w:hint="default" w:ascii="Times New Roman" w:hAnsi="Times New Roman" w:eastAsia="仿宋_GB2312" w:cs="Times New Roman"/>
          <w:color w:val="auto"/>
          <w:sz w:val="32"/>
          <w:szCs w:val="32"/>
          <w:u w:val="none"/>
          <w:lang w:val="en-US" w:eastAsia="zh-CN"/>
        </w:rPr>
        <w:t>四</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strike w:val="0"/>
          <w:dstrike w:val="0"/>
          <w:color w:val="auto"/>
          <w:sz w:val="32"/>
          <w:szCs w:val="32"/>
          <w:u w:val="none"/>
          <w:lang w:val="en-US" w:eastAsia="zh-CN"/>
        </w:rPr>
        <w:t>定期</w:t>
      </w:r>
      <w:r>
        <w:rPr>
          <w:rFonts w:hint="default" w:ascii="Times New Roman" w:hAnsi="Times New Roman" w:eastAsia="仿宋_GB2312" w:cs="Times New Roman"/>
          <w:color w:val="auto"/>
          <w:sz w:val="32"/>
          <w:szCs w:val="32"/>
          <w:u w:val="none"/>
        </w:rPr>
        <w:t>向</w:t>
      </w:r>
      <w:r>
        <w:rPr>
          <w:rFonts w:hint="default" w:ascii="Times New Roman" w:hAnsi="Times New Roman" w:eastAsia="仿宋_GB2312" w:cs="Times New Roman"/>
          <w:color w:val="auto"/>
          <w:sz w:val="32"/>
          <w:szCs w:val="32"/>
          <w:u w:val="none"/>
          <w:lang w:eastAsia="zh-CN"/>
        </w:rPr>
        <w:t>联席会议办公室</w:t>
      </w:r>
      <w:r>
        <w:rPr>
          <w:rFonts w:hint="default" w:ascii="Times New Roman" w:hAnsi="Times New Roman" w:eastAsia="仿宋_GB2312" w:cs="Times New Roman"/>
          <w:color w:val="auto"/>
          <w:sz w:val="32"/>
          <w:szCs w:val="32"/>
          <w:u w:val="none"/>
        </w:rPr>
        <w:t>报告基金运作情况，申报</w:t>
      </w:r>
      <w:r>
        <w:rPr>
          <w:rFonts w:hint="default" w:ascii="Times New Roman" w:hAnsi="Times New Roman" w:eastAsia="仿宋_GB2312" w:cs="Times New Roman"/>
          <w:color w:val="auto"/>
          <w:sz w:val="32"/>
          <w:szCs w:val="32"/>
          <w:u w:val="none"/>
          <w:lang w:val="en-US" w:eastAsia="zh-CN"/>
        </w:rPr>
        <w:t>基金返</w:t>
      </w:r>
      <w:r>
        <w:rPr>
          <w:rFonts w:hint="default" w:ascii="Times New Roman" w:hAnsi="Times New Roman" w:eastAsia="仿宋_GB2312" w:cs="Times New Roman"/>
          <w:color w:val="auto"/>
          <w:sz w:val="32"/>
          <w:szCs w:val="32"/>
          <w:u w:val="none"/>
        </w:rPr>
        <w:t>投的初核情况，及时报告重大事项等；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rPr>
      </w:pPr>
      <w:bookmarkStart w:id="4" w:name="bookmark22"/>
      <w:r>
        <w:rPr>
          <w:rFonts w:hint="default" w:ascii="Times New Roman" w:hAnsi="Times New Roman" w:eastAsia="仿宋_GB2312" w:cs="Times New Roman"/>
          <w:color w:val="auto"/>
          <w:sz w:val="32"/>
          <w:szCs w:val="32"/>
          <w:u w:val="none"/>
        </w:rPr>
        <w:t>（</w:t>
      </w:r>
      <w:bookmarkEnd w:id="4"/>
      <w:r>
        <w:rPr>
          <w:rFonts w:hint="default" w:ascii="Times New Roman" w:hAnsi="Times New Roman" w:eastAsia="仿宋_GB2312" w:cs="Times New Roman"/>
          <w:color w:val="auto"/>
          <w:sz w:val="32"/>
          <w:szCs w:val="32"/>
          <w:u w:val="none"/>
          <w:lang w:val="en-US" w:eastAsia="zh-CN"/>
        </w:rPr>
        <w:t>五</w:t>
      </w:r>
      <w:r>
        <w:rPr>
          <w:rFonts w:hint="default" w:ascii="Times New Roman" w:hAnsi="Times New Roman" w:eastAsia="仿宋_GB2312" w:cs="Times New Roman"/>
          <w:color w:val="auto"/>
          <w:sz w:val="32"/>
          <w:szCs w:val="32"/>
          <w:u w:val="none"/>
        </w:rPr>
        <w:t>）承担</w:t>
      </w:r>
      <w:r>
        <w:rPr>
          <w:rFonts w:hint="default" w:ascii="Times New Roman" w:hAnsi="Times New Roman" w:eastAsia="仿宋_GB2312" w:cs="Times New Roman"/>
          <w:color w:val="auto"/>
          <w:sz w:val="32"/>
          <w:szCs w:val="32"/>
          <w:u w:val="none"/>
          <w:lang w:eastAsia="zh-CN"/>
        </w:rPr>
        <w:t>联席会议办公室</w:t>
      </w:r>
      <w:r>
        <w:rPr>
          <w:rFonts w:hint="default" w:ascii="Times New Roman" w:hAnsi="Times New Roman" w:eastAsia="仿宋_GB2312" w:cs="Times New Roman"/>
          <w:color w:val="auto"/>
          <w:sz w:val="32"/>
          <w:szCs w:val="32"/>
          <w:u w:val="none"/>
        </w:rPr>
        <w:t>交办的其他事项。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b w:val="0"/>
          <w:bCs w:val="0"/>
          <w:sz w:val="32"/>
          <w:szCs w:val="32"/>
          <w:u w:val="none"/>
          <w:lang w:val="en-US" w:eastAsia="zh-CN"/>
        </w:rPr>
        <w:t>第十一条</w:t>
      </w:r>
      <w:r>
        <w:rPr>
          <w:rFonts w:hint="default" w:ascii="Times New Roman" w:hAnsi="Times New Roman" w:eastAsia="仿宋_GB2312" w:cs="Times New Roman"/>
          <w:color w:val="auto"/>
          <w:sz w:val="32"/>
          <w:szCs w:val="32"/>
          <w:u w:val="none"/>
          <w:lang w:val="en-US" w:eastAsia="zh-CN"/>
        </w:rPr>
        <w:t xml:space="preserve"> 基金应遵循专业化管理原则，由具有专业资质的基金管理机构受托履行日常管理职责，</w:t>
      </w:r>
      <w:r>
        <w:rPr>
          <w:rFonts w:hint="default" w:ascii="Times New Roman" w:hAnsi="Times New Roman" w:eastAsia="仿宋_GB2312" w:cs="Times New Roman"/>
          <w:color w:val="auto"/>
          <w:sz w:val="32"/>
          <w:szCs w:val="32"/>
          <w:u w:val="none"/>
        </w:rPr>
        <w:t>主要</w:t>
      </w:r>
      <w:r>
        <w:rPr>
          <w:rFonts w:hint="default" w:ascii="Times New Roman" w:hAnsi="Times New Roman" w:eastAsia="仿宋_GB2312" w:cs="Times New Roman"/>
          <w:color w:val="auto"/>
          <w:sz w:val="32"/>
          <w:szCs w:val="32"/>
          <w:u w:val="none"/>
          <w:lang w:val="en-US" w:eastAsia="zh-CN"/>
        </w:rPr>
        <w:t>包括</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（一）建立完善内部决策和风险控制制度；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w:t>
      </w:r>
      <w:r>
        <w:rPr>
          <w:rFonts w:hint="default" w:ascii="Times New Roman" w:hAnsi="Times New Roman" w:eastAsia="仿宋_GB2312" w:cs="Times New Roman"/>
          <w:color w:val="auto"/>
          <w:sz w:val="32"/>
          <w:szCs w:val="32"/>
          <w:u w:val="none"/>
          <w:lang w:val="en-US" w:eastAsia="zh-CN"/>
        </w:rPr>
        <w:t>对子基金、投资</w:t>
      </w:r>
      <w:r>
        <w:rPr>
          <w:rFonts w:hint="default" w:ascii="Times New Roman" w:hAnsi="Times New Roman" w:eastAsia="仿宋_GB2312" w:cs="Times New Roman"/>
          <w:color w:val="auto"/>
          <w:sz w:val="32"/>
          <w:szCs w:val="32"/>
          <w:u w:val="none"/>
        </w:rPr>
        <w:t>项目开展尽职调查，形成项目投资建议，</w:t>
      </w:r>
      <w:r>
        <w:rPr>
          <w:rFonts w:hint="default" w:ascii="Times New Roman" w:hAnsi="Times New Roman" w:eastAsia="仿宋_GB2312" w:cs="Times New Roman"/>
          <w:strike w:val="0"/>
          <w:dstrike w:val="0"/>
          <w:color w:val="auto"/>
          <w:sz w:val="32"/>
          <w:szCs w:val="32"/>
          <w:u w:val="none"/>
          <w:lang w:val="en-US" w:eastAsia="zh-CN"/>
        </w:rPr>
        <w:t>制定</w:t>
      </w:r>
      <w:r>
        <w:rPr>
          <w:rFonts w:hint="default" w:ascii="Times New Roman" w:hAnsi="Times New Roman" w:eastAsia="仿宋_GB2312" w:cs="Times New Roman"/>
          <w:color w:val="auto"/>
          <w:sz w:val="32"/>
          <w:szCs w:val="32"/>
          <w:u w:val="none"/>
        </w:rPr>
        <w:t>投资、退出方案；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（三）实施经批准的投资方案，签署投资协议和</w:t>
      </w:r>
      <w:r>
        <w:rPr>
          <w:rFonts w:hint="default" w:ascii="Times New Roman" w:hAnsi="Times New Roman" w:eastAsia="仿宋_GB2312" w:cs="Times New Roman"/>
          <w:color w:val="auto"/>
          <w:sz w:val="32"/>
          <w:szCs w:val="32"/>
          <w:u w:val="none"/>
          <w:lang w:val="en-US" w:eastAsia="zh-CN"/>
        </w:rPr>
        <w:t>合伙协议（</w:t>
      </w:r>
      <w:r>
        <w:rPr>
          <w:rFonts w:hint="default" w:ascii="Times New Roman" w:hAnsi="Times New Roman" w:eastAsia="仿宋_GB2312" w:cs="Times New Roman"/>
          <w:color w:val="auto"/>
          <w:sz w:val="32"/>
          <w:szCs w:val="32"/>
          <w:u w:val="none"/>
        </w:rPr>
        <w:t>章程</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，管理基金投资所形成的股权，实施基金投资所形成股权退出工作；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（四）监督、指导被投资项目运行情况；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（五）定期报告基金运行情况；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（六）完成</w:t>
      </w:r>
      <w:r>
        <w:rPr>
          <w:rFonts w:hint="default" w:ascii="Times New Roman" w:hAnsi="Times New Roman" w:eastAsia="仿宋_GB2312" w:cs="Times New Roman"/>
          <w:sz w:val="32"/>
          <w:szCs w:val="32"/>
          <w:u w:val="none"/>
          <w:lang w:val="en-US" w:eastAsia="zh-CN"/>
        </w:rPr>
        <w:t>交办的</w:t>
      </w:r>
      <w:r>
        <w:rPr>
          <w:rFonts w:hint="default" w:ascii="Times New Roman" w:hAnsi="Times New Roman" w:eastAsia="仿宋_GB2312" w:cs="Times New Roman"/>
          <w:sz w:val="32"/>
          <w:szCs w:val="32"/>
          <w:u w:val="none"/>
        </w:rPr>
        <w:t>其他工作。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rPr>
        <w:t>第</w:t>
      </w:r>
      <w:r>
        <w:rPr>
          <w:rFonts w:hint="default" w:ascii="Times New Roman" w:hAnsi="Times New Roman" w:eastAsia="黑体" w:cs="Times New Roman"/>
          <w:sz w:val="32"/>
          <w:szCs w:val="32"/>
          <w:u w:val="none"/>
          <w:lang w:val="en-US" w:eastAsia="zh-CN"/>
        </w:rPr>
        <w:t>三</w:t>
      </w:r>
      <w:r>
        <w:rPr>
          <w:rFonts w:hint="default" w:ascii="Times New Roman" w:hAnsi="Times New Roman" w:eastAsia="黑体" w:cs="Times New Roman"/>
          <w:sz w:val="32"/>
          <w:szCs w:val="32"/>
          <w:u w:val="none"/>
        </w:rPr>
        <w:t>章</w:t>
      </w:r>
      <w:r>
        <w:rPr>
          <w:rFonts w:hint="default" w:ascii="Times New Roman" w:hAnsi="Times New Roman" w:eastAsia="黑体" w:cs="Times New Roman"/>
          <w:sz w:val="32"/>
          <w:szCs w:val="32"/>
          <w:u w:val="none"/>
          <w:lang w:val="en-US" w:eastAsia="zh-CN"/>
        </w:rPr>
        <w:t xml:space="preserve"> 运作管理</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楷体_GB2312" w:hAnsi="楷体_GB2312" w:eastAsia="楷体_GB2312" w:cs="楷体_GB2312"/>
          <w:color w:val="auto"/>
          <w:sz w:val="32"/>
          <w:szCs w:val="32"/>
          <w:u w:val="none"/>
          <w:lang w:val="en-US" w:eastAsia="zh-CN"/>
        </w:rPr>
      </w:pPr>
      <w:bookmarkStart w:id="5" w:name="bookmark32"/>
      <w:bookmarkStart w:id="6" w:name="bookmark33"/>
      <w:bookmarkStart w:id="7" w:name="bookmark31"/>
      <w:r>
        <w:rPr>
          <w:rFonts w:hint="eastAsia" w:ascii="楷体_GB2312" w:hAnsi="楷体_GB2312" w:eastAsia="楷体_GB2312" w:cs="楷体_GB2312"/>
          <w:color w:val="auto"/>
          <w:sz w:val="32"/>
          <w:szCs w:val="32"/>
          <w:u w:val="none"/>
          <w:lang w:val="en-US" w:eastAsia="zh-CN"/>
        </w:rPr>
        <w:t>第一节 政策性基金的运作管理</w:t>
      </w:r>
      <w:bookmarkEnd w:id="5"/>
      <w:bookmarkEnd w:id="6"/>
      <w:bookmarkEnd w:id="7"/>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第十二条</w:t>
      </w:r>
      <w:r>
        <w:rPr>
          <w:rFonts w:hint="default" w:ascii="Times New Roman" w:hAnsi="Times New Roman" w:eastAsia="仿宋_GB2312" w:cs="Times New Roman"/>
          <w:sz w:val="32"/>
          <w:szCs w:val="32"/>
          <w:u w:val="none"/>
        </w:rPr>
        <w:t xml:space="preserve"> </w:t>
      </w:r>
      <w:bookmarkStart w:id="8" w:name="_Hlk144317524"/>
      <w:r>
        <w:rPr>
          <w:rFonts w:hint="default" w:ascii="Times New Roman" w:hAnsi="Times New Roman" w:eastAsia="仿宋_GB2312" w:cs="Times New Roman"/>
          <w:sz w:val="32"/>
          <w:szCs w:val="32"/>
          <w:u w:val="none"/>
          <w:lang w:val="en-US" w:eastAsia="zh-CN"/>
        </w:rPr>
        <w:t>政策性基金遵循市场在资源配置中起决定性作用和更好发挥政府作用的要求，按照“政府引导、市场运作、科学决策、防范风险”的原则进行投资运作。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第十三条</w:t>
      </w:r>
      <w:r>
        <w:rPr>
          <w:rFonts w:hint="default" w:ascii="Times New Roman" w:hAnsi="Times New Roman" w:eastAsia="仿宋_GB2312" w:cs="Times New Roman"/>
          <w:sz w:val="32"/>
          <w:szCs w:val="32"/>
          <w:u w:val="none"/>
          <w:lang w:val="en-US" w:eastAsia="zh-CN"/>
        </w:rPr>
        <w:t xml:space="preserve"> 各类政策性基金的设立和管理，另行制定管理实施细则。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第十四条</w:t>
      </w:r>
      <w:r>
        <w:rPr>
          <w:rFonts w:hint="default" w:ascii="Times New Roman" w:hAnsi="Times New Roman" w:eastAsia="仿宋_GB2312" w:cs="Times New Roman"/>
          <w:sz w:val="32"/>
          <w:szCs w:val="32"/>
          <w:u w:val="none"/>
          <w:lang w:val="en-US" w:eastAsia="zh-CN"/>
        </w:rPr>
        <w:t xml:space="preserve"> 政策性基金应投向符合新区发展导向的产业领域，重点投向主导产业、优势特色产业、战略性新兴产业以及传统支柱产业的改造提升，优先投向具有完善补充产业链关键环节作用的项目。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第十五条</w:t>
      </w:r>
      <w:r>
        <w:rPr>
          <w:rFonts w:hint="default" w:ascii="Times New Roman" w:hAnsi="Times New Roman" w:eastAsia="仿宋_GB2312" w:cs="Times New Roman"/>
          <w:sz w:val="32"/>
          <w:szCs w:val="32"/>
          <w:u w:val="none"/>
          <w:lang w:val="en-US" w:eastAsia="zh-CN"/>
        </w:rPr>
        <w:t xml:space="preserve"> 政策性基金向受托管理机构原则上按不高于出资额2%/年的比例支付管理费，也可采取投资收益分成等方式给予补贴，具体事宜在政策性基金设立方案中明确。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第十六条</w:t>
      </w:r>
      <w:r>
        <w:rPr>
          <w:rFonts w:hint="default" w:ascii="Times New Roman" w:hAnsi="Times New Roman" w:eastAsia="仿宋_GB2312" w:cs="Times New Roman"/>
          <w:sz w:val="32"/>
          <w:szCs w:val="32"/>
          <w:u w:val="none"/>
          <w:lang w:val="en-US" w:eastAsia="zh-CN"/>
        </w:rPr>
        <w:t xml:space="preserve"> 政策性基金可以对受托管理机构及其管理团队设置合理的激励约束机制，具体在政策性基金设立方案中明确。政策性基金可以对子基金管理机构和其他出资人设置让利机制，包括回购和让渡超额收益等，具体方式在实施细则中明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黑体" w:cs="Times New Roman"/>
          <w:sz w:val="32"/>
          <w:szCs w:val="32"/>
          <w:u w:val="none"/>
          <w:lang w:val="en-US" w:eastAsia="zh-CN"/>
        </w:rPr>
      </w:pPr>
      <w:bookmarkStart w:id="9" w:name="bookmark34"/>
      <w:bookmarkStart w:id="10" w:name="bookmark35"/>
      <w:bookmarkStart w:id="11" w:name="bookmark36"/>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楷体_GB2312" w:hAnsi="楷体_GB2312" w:eastAsia="楷体_GB2312" w:cs="楷体_GB2312"/>
          <w:color w:val="FF0000"/>
          <w:sz w:val="32"/>
          <w:szCs w:val="32"/>
          <w:u w:val="none"/>
          <w:lang w:val="en-US" w:eastAsia="zh-CN"/>
        </w:rPr>
      </w:pPr>
      <w:r>
        <w:rPr>
          <w:rFonts w:hint="eastAsia" w:ascii="楷体_GB2312" w:hAnsi="楷体_GB2312" w:eastAsia="楷体_GB2312" w:cs="楷体_GB2312"/>
          <w:color w:val="auto"/>
          <w:sz w:val="32"/>
          <w:szCs w:val="32"/>
          <w:u w:val="none"/>
          <w:lang w:val="en-US" w:eastAsia="zh-CN"/>
        </w:rPr>
        <w:t>第二节 市场化基金的运作管理</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第十七条</w:t>
      </w:r>
      <w:r>
        <w:rPr>
          <w:rFonts w:hint="default" w:ascii="Times New Roman" w:hAnsi="Times New Roman" w:eastAsia="仿宋_GB2312" w:cs="Times New Roman"/>
          <w:sz w:val="32"/>
          <w:szCs w:val="32"/>
          <w:u w:val="none"/>
          <w:lang w:val="en-US" w:eastAsia="zh-CN"/>
        </w:rPr>
        <w:t xml:space="preserve"> 市场化基金由区属国有公司归口管理，按照市场化原则进行投资运作，以取得投资收益为主要目标，兼顾支持新区产业发展。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第十八条</w:t>
      </w:r>
      <w:r>
        <w:rPr>
          <w:rFonts w:hint="default" w:ascii="Times New Roman" w:hAnsi="Times New Roman" w:eastAsia="仿宋_GB2312" w:cs="Times New Roman"/>
          <w:sz w:val="32"/>
          <w:szCs w:val="32"/>
          <w:u w:val="none"/>
          <w:lang w:val="en-US" w:eastAsia="zh-CN"/>
        </w:rPr>
        <w:t xml:space="preserve"> 市场化基金的“募投管退”均按照法律</w:t>
      </w:r>
      <w:r>
        <w:rPr>
          <w:rFonts w:hint="eastAsia" w:ascii="Times New Roman" w:hAnsi="Times New Roman" w:eastAsia="仿宋_GB2312" w:cs="Times New Roman"/>
          <w:sz w:val="32"/>
          <w:szCs w:val="32"/>
          <w:u w:val="none"/>
          <w:lang w:val="en-US" w:eastAsia="zh-CN"/>
        </w:rPr>
        <w:t>及各级</w:t>
      </w:r>
      <w:r>
        <w:rPr>
          <w:rFonts w:hint="default" w:ascii="Times New Roman" w:hAnsi="Times New Roman" w:eastAsia="仿宋_GB2312" w:cs="Times New Roman"/>
          <w:sz w:val="32"/>
          <w:szCs w:val="32"/>
          <w:u w:val="none"/>
          <w:lang w:val="en-US" w:eastAsia="zh-CN"/>
        </w:rPr>
        <w:t>国有资产监督管理的有关规定执行，如无特殊情况，不再另行约定。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第十九条</w:t>
      </w:r>
      <w:r>
        <w:rPr>
          <w:rFonts w:hint="default" w:ascii="Times New Roman" w:hAnsi="Times New Roman" w:eastAsia="仿宋_GB2312" w:cs="Times New Roman"/>
          <w:sz w:val="32"/>
          <w:szCs w:val="32"/>
          <w:u w:val="none"/>
          <w:lang w:val="en-US" w:eastAsia="zh-CN"/>
        </w:rPr>
        <w:t xml:space="preserve"> 市场化基金应尽量注册在天元区境内，并按国家监管规定要求登记备案及规范运营。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 xml:space="preserve">第二十条 </w:t>
      </w:r>
      <w:r>
        <w:rPr>
          <w:rFonts w:hint="default" w:ascii="Times New Roman" w:hAnsi="Times New Roman" w:eastAsia="仿宋_GB2312" w:cs="Times New Roman"/>
          <w:sz w:val="32"/>
          <w:szCs w:val="32"/>
          <w:u w:val="none"/>
          <w:lang w:val="en-US" w:eastAsia="zh-CN"/>
        </w:rPr>
        <w:t>市场化基金设立后，区属国有公司应定期向</w:t>
      </w:r>
      <w:r>
        <w:rPr>
          <w:rFonts w:hint="default" w:ascii="Times New Roman" w:hAnsi="Times New Roman" w:eastAsia="仿宋_GB2312" w:cs="Times New Roman"/>
          <w:sz w:val="32"/>
          <w:szCs w:val="32"/>
          <w:u w:val="none"/>
          <w:lang w:eastAsia="zh-CN"/>
        </w:rPr>
        <w:t>联席会议办公室</w:t>
      </w:r>
      <w:r>
        <w:rPr>
          <w:rFonts w:hint="default" w:ascii="Times New Roman" w:hAnsi="Times New Roman" w:eastAsia="仿宋_GB2312" w:cs="Times New Roman"/>
          <w:sz w:val="32"/>
          <w:szCs w:val="32"/>
          <w:u w:val="none"/>
          <w:lang w:val="en-US" w:eastAsia="zh-CN"/>
        </w:rPr>
        <w:t>报送半年度和年度基金数据及运营情况。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p>
    <w:bookmarkEnd w:id="8"/>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第四章 基金退出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第二十一条</w:t>
      </w:r>
      <w:r>
        <w:rPr>
          <w:rFonts w:hint="default" w:ascii="Times New Roman" w:hAnsi="Times New Roman" w:eastAsia="仿宋_GB2312" w:cs="Times New Roman"/>
          <w:sz w:val="32"/>
          <w:szCs w:val="32"/>
          <w:u w:val="none"/>
          <w:lang w:val="en-US" w:eastAsia="zh-CN"/>
        </w:rPr>
        <w:t xml:space="preserve"> 基金一般通过到期清算、基金份额转让、股权转让等方式实施退出，也可通过社会股东回购等其他合法方式退出。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第二十二条</w:t>
      </w:r>
      <w:r>
        <w:rPr>
          <w:rFonts w:hint="default" w:ascii="Times New Roman" w:hAnsi="Times New Roman" w:eastAsia="仿宋_GB2312" w:cs="Times New Roman"/>
          <w:sz w:val="32"/>
          <w:szCs w:val="32"/>
          <w:u w:val="none"/>
          <w:lang w:val="en-US" w:eastAsia="zh-CN"/>
        </w:rPr>
        <w:t xml:space="preserve"> 基金中途退出时，属于按协议约定退出或有市场参考价（如其他投资人的转让或增资价格、第三方评估价格等）的，可免于产权交易市场公开挂牌转让。不属于协议约定退出或退出时没有市场参考价的，应当聘请有资质的机构进行资产评估，并在依法设立的产权交易机构公开进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第二十三条</w:t>
      </w:r>
      <w:r>
        <w:rPr>
          <w:rFonts w:hint="default" w:ascii="Times New Roman" w:hAnsi="Times New Roman" w:eastAsia="仿宋_GB2312" w:cs="Times New Roman"/>
          <w:sz w:val="32"/>
          <w:szCs w:val="32"/>
          <w:u w:val="none"/>
          <w:lang w:val="en-US" w:eastAsia="zh-CN"/>
        </w:rPr>
        <w:t xml:space="preserve"> 基金按照利益共享、风险共担的原则，协商约定收益分配或亏损负担方式。出资人代表不得向其他出资人承诺投资本金不受损失，不得承诺最低收益（国家另有规定的除外）。</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第二十四条</w:t>
      </w:r>
      <w:r>
        <w:rPr>
          <w:rFonts w:hint="default" w:ascii="Times New Roman" w:hAnsi="Times New Roman" w:eastAsia="仿宋_GB2312" w:cs="Times New Roman"/>
          <w:sz w:val="32"/>
          <w:szCs w:val="32"/>
          <w:u w:val="none"/>
          <w:lang w:val="en-US" w:eastAsia="zh-CN"/>
        </w:rPr>
        <w:t xml:space="preserve"> 基金的退出资金应及时收回并归集至相关基金专户。政策性基金退出形成的投资净收益（含利息收入等），扣除按国资管理相关规定上缴财政和留存出资人代表的部分，剩余收益和本金可用于政策性基金的滚动投资；市场化基金的退出资金按相关规定管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第二十五条</w:t>
      </w:r>
      <w:r>
        <w:rPr>
          <w:rFonts w:hint="default" w:ascii="Times New Roman" w:hAnsi="Times New Roman" w:eastAsia="仿宋_GB2312" w:cs="Times New Roman"/>
          <w:sz w:val="32"/>
          <w:szCs w:val="32"/>
          <w:u w:val="none"/>
          <w:lang w:val="en-US" w:eastAsia="zh-CN"/>
        </w:rPr>
        <w:t xml:space="preserve"> 基金管理人应当依据法律法规和行业监管要求审慎经营，建立健全并严格遵守资金募集管理、投资者适当性、信息披露、风险管理、内部控制等业务规则和管理制度。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第五章 风险控制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第二十六条</w:t>
      </w:r>
      <w:r>
        <w:rPr>
          <w:rFonts w:hint="default" w:ascii="Times New Roman" w:hAnsi="Times New Roman" w:eastAsia="仿宋_GB2312" w:cs="Times New Roman"/>
          <w:sz w:val="32"/>
          <w:szCs w:val="32"/>
          <w:u w:val="none"/>
          <w:lang w:val="en-US" w:eastAsia="zh-CN"/>
        </w:rPr>
        <w:t xml:space="preserve"> 基金（含其子基金）的资金必须委托具有相关资质的商业银行进行托管，托管银行原则上应在天元区境内或在天元区设有分支机构，开户行原则上应在天元区。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第二十七条</w:t>
      </w:r>
      <w:r>
        <w:rPr>
          <w:rFonts w:hint="default" w:ascii="Times New Roman" w:hAnsi="Times New Roman" w:eastAsia="仿宋_GB2312" w:cs="Times New Roman"/>
          <w:sz w:val="32"/>
          <w:szCs w:val="32"/>
          <w:u w:val="none"/>
          <w:lang w:val="en-US" w:eastAsia="zh-CN"/>
        </w:rPr>
        <w:t xml:space="preserve"> 除国家政策另有规定外，基金不得从事以下业务：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bookmarkStart w:id="12" w:name="bookmark46"/>
      <w:r>
        <w:rPr>
          <w:rFonts w:hint="default" w:ascii="Times New Roman" w:hAnsi="Times New Roman" w:eastAsia="仿宋_GB2312" w:cs="Times New Roman"/>
          <w:sz w:val="32"/>
          <w:szCs w:val="32"/>
          <w:u w:val="none"/>
          <w:lang w:val="en-US" w:eastAsia="zh-CN"/>
        </w:rPr>
        <w:t>（</w:t>
      </w:r>
      <w:bookmarkEnd w:id="12"/>
      <w:r>
        <w:rPr>
          <w:rFonts w:hint="default" w:ascii="Times New Roman" w:hAnsi="Times New Roman" w:eastAsia="仿宋_GB2312" w:cs="Times New Roman"/>
          <w:sz w:val="32"/>
          <w:szCs w:val="32"/>
          <w:u w:val="none"/>
          <w:lang w:val="en-US" w:eastAsia="zh-CN"/>
        </w:rPr>
        <w:t>一）从事担保、抵押、委托贷款等业务；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bookmarkStart w:id="13" w:name="bookmark47"/>
      <w:r>
        <w:rPr>
          <w:rFonts w:hint="default" w:ascii="Times New Roman" w:hAnsi="Times New Roman" w:eastAsia="仿宋_GB2312" w:cs="Times New Roman"/>
          <w:sz w:val="32"/>
          <w:szCs w:val="32"/>
          <w:u w:val="none"/>
          <w:lang w:val="en-US" w:eastAsia="zh-CN"/>
        </w:rPr>
        <w:t>（</w:t>
      </w:r>
      <w:bookmarkEnd w:id="13"/>
      <w:r>
        <w:rPr>
          <w:rFonts w:hint="default" w:ascii="Times New Roman" w:hAnsi="Times New Roman" w:eastAsia="仿宋_GB2312" w:cs="Times New Roman"/>
          <w:sz w:val="32"/>
          <w:szCs w:val="32"/>
          <w:u w:val="none"/>
          <w:lang w:val="en-US" w:eastAsia="zh-CN"/>
        </w:rPr>
        <w:t>二）投资二级市场股票（以并购重组为目的的除外）、证券投资基金、评价AAA级以下的企业债、信托产品、理财产品、证券公司或基金公司或保险公司及其子公司的资产管理计划产品、期货及其他金融衍生品、房地产业以及国家政策限制类行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bookmarkStart w:id="14" w:name="bookmark48"/>
      <w:r>
        <w:rPr>
          <w:rFonts w:hint="default" w:ascii="Times New Roman" w:hAnsi="Times New Roman" w:eastAsia="仿宋_GB2312" w:cs="Times New Roman"/>
          <w:sz w:val="32"/>
          <w:szCs w:val="32"/>
          <w:u w:val="none"/>
          <w:lang w:val="en-US" w:eastAsia="zh-CN"/>
        </w:rPr>
        <w:t>（</w:t>
      </w:r>
      <w:bookmarkEnd w:id="14"/>
      <w:r>
        <w:rPr>
          <w:rFonts w:hint="default" w:ascii="Times New Roman" w:hAnsi="Times New Roman" w:eastAsia="仿宋_GB2312" w:cs="Times New Roman"/>
          <w:sz w:val="32"/>
          <w:szCs w:val="32"/>
          <w:u w:val="none"/>
          <w:lang w:val="en-US" w:eastAsia="zh-CN"/>
        </w:rPr>
        <w:t>三）向任何第三方提供赞助、捐赠（经批准的公益性捐赠 除外）；</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bookmarkStart w:id="15" w:name="bookmark49"/>
      <w:r>
        <w:rPr>
          <w:rFonts w:hint="default" w:ascii="Times New Roman" w:hAnsi="Times New Roman" w:eastAsia="仿宋_GB2312" w:cs="Times New Roman"/>
          <w:sz w:val="32"/>
          <w:szCs w:val="32"/>
          <w:u w:val="none"/>
          <w:lang w:val="en-US" w:eastAsia="zh-CN"/>
        </w:rPr>
        <w:t>（</w:t>
      </w:r>
      <w:bookmarkEnd w:id="15"/>
      <w:r>
        <w:rPr>
          <w:rFonts w:hint="default" w:ascii="Times New Roman" w:hAnsi="Times New Roman" w:eastAsia="仿宋_GB2312" w:cs="Times New Roman"/>
          <w:sz w:val="32"/>
          <w:szCs w:val="32"/>
          <w:u w:val="none"/>
          <w:lang w:val="en-US" w:eastAsia="zh-CN"/>
        </w:rPr>
        <w:t>四）吸收或变相吸收存款，或向第三方提供贷款和资金拆借；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bookmarkStart w:id="16" w:name="bookmark50"/>
      <w:r>
        <w:rPr>
          <w:rFonts w:hint="default" w:ascii="Times New Roman" w:hAnsi="Times New Roman" w:eastAsia="仿宋_GB2312" w:cs="Times New Roman"/>
          <w:sz w:val="32"/>
          <w:szCs w:val="32"/>
          <w:u w:val="none"/>
          <w:lang w:val="en-US" w:eastAsia="zh-CN"/>
        </w:rPr>
        <w:t>（</w:t>
      </w:r>
      <w:bookmarkEnd w:id="16"/>
      <w:r>
        <w:rPr>
          <w:rFonts w:hint="default" w:ascii="Times New Roman" w:hAnsi="Times New Roman" w:eastAsia="仿宋_GB2312" w:cs="Times New Roman"/>
          <w:sz w:val="32"/>
          <w:szCs w:val="32"/>
          <w:u w:val="none"/>
          <w:lang w:val="en-US" w:eastAsia="zh-CN"/>
        </w:rPr>
        <w:t>五）进行承担无限连带责任的对外投资；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bookmarkStart w:id="17" w:name="bookmark51"/>
      <w:r>
        <w:rPr>
          <w:rFonts w:hint="default" w:ascii="Times New Roman" w:hAnsi="Times New Roman" w:eastAsia="仿宋_GB2312" w:cs="Times New Roman"/>
          <w:sz w:val="32"/>
          <w:szCs w:val="32"/>
          <w:u w:val="none"/>
          <w:lang w:val="en-US" w:eastAsia="zh-CN"/>
        </w:rPr>
        <w:t>（</w:t>
      </w:r>
      <w:bookmarkEnd w:id="17"/>
      <w:r>
        <w:rPr>
          <w:rFonts w:hint="default" w:ascii="Times New Roman" w:hAnsi="Times New Roman" w:eastAsia="仿宋_GB2312" w:cs="Times New Roman"/>
          <w:sz w:val="32"/>
          <w:szCs w:val="32"/>
          <w:u w:val="none"/>
          <w:lang w:val="en-US" w:eastAsia="zh-CN"/>
        </w:rPr>
        <w:t>六）发行信托或集合理财产品募集资金；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bookmarkStart w:id="18" w:name="bookmark52"/>
      <w:r>
        <w:rPr>
          <w:rFonts w:hint="default" w:ascii="Times New Roman" w:hAnsi="Times New Roman" w:eastAsia="仿宋_GB2312" w:cs="Times New Roman"/>
          <w:sz w:val="32"/>
          <w:szCs w:val="32"/>
          <w:u w:val="none"/>
          <w:lang w:val="en-US" w:eastAsia="zh-CN"/>
        </w:rPr>
        <w:t>（</w:t>
      </w:r>
      <w:bookmarkEnd w:id="18"/>
      <w:r>
        <w:rPr>
          <w:rFonts w:hint="default" w:ascii="Times New Roman" w:hAnsi="Times New Roman" w:eastAsia="仿宋_GB2312" w:cs="Times New Roman"/>
          <w:sz w:val="32"/>
          <w:szCs w:val="32"/>
          <w:u w:val="none"/>
          <w:lang w:val="en-US" w:eastAsia="zh-CN"/>
        </w:rPr>
        <w:t>七）从事明股实债等变相增加政府债务的行为；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bookmarkStart w:id="19" w:name="bookmark53"/>
      <w:r>
        <w:rPr>
          <w:rFonts w:hint="default" w:ascii="Times New Roman" w:hAnsi="Times New Roman" w:eastAsia="仿宋_GB2312" w:cs="Times New Roman"/>
          <w:sz w:val="32"/>
          <w:szCs w:val="32"/>
          <w:u w:val="none"/>
          <w:lang w:val="en-US" w:eastAsia="zh-CN"/>
        </w:rPr>
        <w:t>（</w:t>
      </w:r>
      <w:bookmarkEnd w:id="19"/>
      <w:r>
        <w:rPr>
          <w:rFonts w:hint="default" w:ascii="Times New Roman" w:hAnsi="Times New Roman" w:eastAsia="仿宋_GB2312" w:cs="Times New Roman"/>
          <w:sz w:val="32"/>
          <w:szCs w:val="32"/>
          <w:u w:val="none"/>
          <w:lang w:val="en-US" w:eastAsia="zh-CN"/>
        </w:rPr>
        <w:t>八）国家法律法规禁止从事的其他业务。</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第六章 监管与考核</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第二十八条</w:t>
      </w:r>
      <w:r>
        <w:rPr>
          <w:rFonts w:hint="default" w:ascii="Times New Roman" w:hAnsi="Times New Roman" w:eastAsia="仿宋_GB2312" w:cs="Times New Roman"/>
          <w:sz w:val="32"/>
          <w:szCs w:val="32"/>
          <w:u w:val="none"/>
          <w:lang w:val="en-US" w:eastAsia="zh-CN"/>
        </w:rPr>
        <w:t xml:space="preserve"> 基金应当遵照国家有关法律法规以及行业自律规则等规定，建立健全内部控制和外部监管制度，建立投资决策和风险约束机制，切实防范基金运作过程中可能出现的风险。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第二十九条</w:t>
      </w:r>
      <w:r>
        <w:rPr>
          <w:rFonts w:hint="default"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eastAsia="zh-CN"/>
        </w:rPr>
        <w:t>联席会议办公室</w:t>
      </w:r>
      <w:r>
        <w:rPr>
          <w:rFonts w:hint="default" w:ascii="Times New Roman" w:hAnsi="Times New Roman" w:eastAsia="仿宋_GB2312" w:cs="Times New Roman"/>
          <w:sz w:val="32"/>
          <w:szCs w:val="32"/>
          <w:u w:val="none"/>
          <w:lang w:val="en-US" w:eastAsia="zh-CN"/>
        </w:rPr>
        <w:t>负责组织对政策性基金开展绩效评价工作，必要时可以委托审计部门或聘请第三方审计机构对基金运行情况进行专项审计。对政策性基金的绩效评价，应遵循风险投资行业发展规律，重在产业扶持效果及流程规范等过程考核，基金绩效评价原则上应按照整个基金生命周期予以评定，而非对单个子基金或单个投资项目造成的投资盈亏进行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第三十条</w:t>
      </w:r>
      <w:r>
        <w:rPr>
          <w:rFonts w:hint="default" w:ascii="Times New Roman" w:hAnsi="Times New Roman" w:eastAsia="仿宋_GB2312" w:cs="Times New Roman"/>
          <w:sz w:val="32"/>
          <w:szCs w:val="32"/>
          <w:u w:val="none"/>
          <w:lang w:val="en-US" w:eastAsia="zh-CN"/>
        </w:rPr>
        <w:t xml:space="preserve"> 政策性基金坚持产业扶持、鼓励探索、宽容失误的原则，建立容亏免责和尽职免责机制，支持基金落地见效。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第三十一条</w:t>
      </w:r>
      <w:r>
        <w:rPr>
          <w:rFonts w:hint="default" w:ascii="Times New Roman" w:hAnsi="Times New Roman" w:eastAsia="仿宋_GB2312" w:cs="Times New Roman"/>
          <w:sz w:val="32"/>
          <w:szCs w:val="32"/>
          <w:u w:val="none"/>
          <w:lang w:val="en-US" w:eastAsia="zh-CN"/>
        </w:rPr>
        <w:t xml:space="preserve"> 对于履行规定程序作出决策的投资，因不可抗力、政策变动或者发生市场（经营）风险等非人为因素造成投资损失，但不涉及违法违规、重大过失和其他道德风险的，对决策机构、主管部门、基金管理机构及相关人员不予追究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第三十二条</w:t>
      </w:r>
      <w:r>
        <w:rPr>
          <w:rFonts w:hint="default" w:ascii="Times New Roman" w:hAnsi="Times New Roman" w:eastAsia="仿宋_GB2312" w:cs="Times New Roman"/>
          <w:sz w:val="32"/>
          <w:szCs w:val="32"/>
          <w:u w:val="none"/>
          <w:lang w:val="en-US" w:eastAsia="zh-CN"/>
        </w:rPr>
        <w:t xml:space="preserve"> 对弄虚作假骗取基金投资，或不按规定用途使用、截留挪用、挥霍浪费产业发展基金等违法违规行为，按国家有关法律、法规处理。涉嫌犯罪的，移送司法机关追究刑事责任。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b/>
          <w:bCs/>
          <w:sz w:val="32"/>
          <w:szCs w:val="32"/>
          <w:u w:val="none"/>
          <w:lang w:val="en-US" w:eastAsia="zh-CN"/>
        </w:rPr>
      </w:pPr>
      <w:r>
        <w:rPr>
          <w:rFonts w:hint="default" w:ascii="Times New Roman" w:hAnsi="Times New Roman" w:eastAsia="黑体" w:cs="Times New Roman"/>
          <w:b w:val="0"/>
          <w:bCs w:val="0"/>
          <w:sz w:val="32"/>
          <w:szCs w:val="32"/>
          <w:u w:val="none"/>
          <w:lang w:val="en-US" w:eastAsia="zh-CN"/>
        </w:rPr>
        <w:t>第三十</w:t>
      </w:r>
      <w:r>
        <w:rPr>
          <w:rFonts w:hint="eastAsia" w:ascii="Times New Roman" w:hAnsi="Times New Roman" w:eastAsia="黑体" w:cs="Times New Roman"/>
          <w:b w:val="0"/>
          <w:bCs w:val="0"/>
          <w:sz w:val="32"/>
          <w:szCs w:val="32"/>
          <w:u w:val="none"/>
          <w:lang w:val="en-US" w:eastAsia="zh-CN"/>
        </w:rPr>
        <w:t>三</w:t>
      </w:r>
      <w:r>
        <w:rPr>
          <w:rFonts w:hint="default" w:ascii="Times New Roman" w:hAnsi="Times New Roman" w:eastAsia="黑体" w:cs="Times New Roman"/>
          <w:b w:val="0"/>
          <w:bCs w:val="0"/>
          <w:sz w:val="32"/>
          <w:szCs w:val="32"/>
          <w:u w:val="none"/>
          <w:lang w:val="en-US" w:eastAsia="zh-CN"/>
        </w:rPr>
        <w:t>条</w:t>
      </w:r>
      <w:r>
        <w:rPr>
          <w:rFonts w:hint="default" w:ascii="Times New Roman" w:hAnsi="Times New Roman" w:eastAsia="仿宋_GB2312" w:cs="Times New Roman"/>
          <w:sz w:val="32"/>
          <w:szCs w:val="32"/>
          <w:u w:val="none"/>
          <w:lang w:val="en-US" w:eastAsia="zh-CN"/>
        </w:rPr>
        <w:t xml:space="preserve"> 本办法自发布之日起</w:t>
      </w:r>
      <w:r>
        <w:rPr>
          <w:rFonts w:hint="eastAsia" w:ascii="Times New Roman" w:hAnsi="Times New Roman" w:eastAsia="仿宋_GB2312" w:cs="Times New Roman"/>
          <w:sz w:val="32"/>
          <w:szCs w:val="32"/>
          <w:u w:val="none"/>
          <w:lang w:val="en-US" w:eastAsia="zh-CN"/>
        </w:rPr>
        <w:t>施</w:t>
      </w:r>
      <w:r>
        <w:rPr>
          <w:rFonts w:hint="default" w:ascii="Times New Roman" w:hAnsi="Times New Roman" w:eastAsia="仿宋_GB2312" w:cs="Times New Roman"/>
          <w:sz w:val="32"/>
          <w:szCs w:val="32"/>
          <w:u w:val="none"/>
          <w:lang w:val="en-US" w:eastAsia="zh-CN"/>
        </w:rPr>
        <w:t>行，有效期2年。在本办法实施前已批准或者已签订协议（章程）的，存续期内按原协议（章程）的条款内容执行。</w:t>
      </w: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株洲高新区（天元区）产业引导基金</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Cs/>
          <w:color w:val="212121"/>
          <w:kern w:val="0"/>
          <w:sz w:val="44"/>
          <w:szCs w:val="44"/>
        </w:rPr>
      </w:pPr>
      <w:r>
        <w:rPr>
          <w:rFonts w:hint="default" w:ascii="Times New Roman" w:hAnsi="Times New Roman" w:eastAsia="方正小标宋简体" w:cs="Times New Roman"/>
          <w:sz w:val="44"/>
          <w:szCs w:val="44"/>
          <w:lang w:val="en-US" w:eastAsia="zh-CN"/>
        </w:rPr>
        <w:t>管理细则</w:t>
      </w:r>
      <w:r>
        <w:rPr>
          <w:rFonts w:hint="eastAsia" w:ascii="方正小标宋_GBK" w:hAnsi="方正小标宋_GBK" w:eastAsia="方正小标宋_GBK" w:cs="方正小标宋_GBK"/>
          <w:bCs/>
          <w:color w:val="212121"/>
          <w:kern w:val="0"/>
          <w:sz w:val="44"/>
          <w:szCs w:val="44"/>
        </w:rPr>
        <w:t>（试行）</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bCs/>
          <w:color w:val="212121"/>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bCs/>
          <w:color w:val="212121"/>
          <w:kern w:val="0"/>
          <w:sz w:val="32"/>
          <w:szCs w:val="32"/>
        </w:rPr>
      </w:pPr>
      <w:r>
        <w:rPr>
          <w:rFonts w:hint="default" w:ascii="Times New Roman" w:hAnsi="Times New Roman" w:eastAsia="黑体" w:cs="Times New Roman"/>
          <w:bCs/>
          <w:color w:val="212121"/>
          <w:kern w:val="0"/>
          <w:sz w:val="32"/>
          <w:szCs w:val="32"/>
        </w:rPr>
        <w:t>第一章  总  则</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b w:val="0"/>
          <w:bCs w:val="0"/>
          <w:sz w:val="32"/>
          <w:szCs w:val="32"/>
          <w:lang w:val="en-US" w:eastAsia="zh-CN"/>
        </w:rPr>
        <w:t xml:space="preserve">    </w:t>
      </w:r>
      <w:r>
        <w:rPr>
          <w:rFonts w:hint="default" w:ascii="Times New Roman" w:hAnsi="Times New Roman" w:eastAsia="黑体" w:cs="Times New Roman"/>
          <w:b w:val="0"/>
          <w:bCs w:val="0"/>
          <w:sz w:val="32"/>
          <w:szCs w:val="32"/>
        </w:rPr>
        <w:t>第一条</w:t>
      </w:r>
      <w:r>
        <w:rPr>
          <w:rFonts w:hint="default" w:ascii="Times New Roman" w:hAnsi="Times New Roman" w:eastAsia="仿宋_GB2312" w:cs="Times New Roman"/>
          <w:sz w:val="32"/>
          <w:szCs w:val="32"/>
        </w:rPr>
        <w:t xml:space="preserve">  为了规范和加强政府产业引导基金管理，充分发挥财政资金引导放大作用，按照《财政部关于印发〈政府投资基金暂行管理办法〉的通知》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财预〔2015〕210号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、《国家发展改革委关于印发〈政府出资产业投资基金管理暂行办法〉的通知》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发改财金规〔2016〕2800号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，参照《湖南省省级政府性投资基金暂行管理办法》（湘财预〔2016〕30号）、《株洲高新区（天元区）基金管理办法（试行）》等有关文件要求，结合我区实际，制定本细则。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第二条</w:t>
      </w:r>
      <w:r>
        <w:rPr>
          <w:rFonts w:hint="default" w:ascii="Times New Roman" w:hAnsi="Times New Roman" w:eastAsia="仿宋_GB2312" w:cs="Times New Roman"/>
          <w:b/>
          <w:bCs/>
          <w:color w:val="212121"/>
          <w:kern w:val="0"/>
          <w:sz w:val="32"/>
          <w:szCs w:val="32"/>
        </w:rPr>
        <w:t xml:space="preserve">  </w:t>
      </w:r>
      <w:r>
        <w:rPr>
          <w:rFonts w:hint="default" w:ascii="Times New Roman" w:hAnsi="Times New Roman" w:eastAsia="仿宋_GB2312" w:cs="Times New Roman"/>
          <w:sz w:val="32"/>
          <w:szCs w:val="32"/>
        </w:rPr>
        <w:t>株洲高新区（天元区）产业引导基金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以下简称“引导基金”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，是指由高新区（天元区）财政资金或区属国有公司出资设立，按照市、区相关文件要求纳入国资监管，并完成备案的基金。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第三条</w:t>
      </w:r>
      <w:r>
        <w:rPr>
          <w:rFonts w:hint="default" w:ascii="Times New Roman" w:hAnsi="Times New Roman" w:eastAsia="仿宋_GB2312" w:cs="Times New Roman"/>
          <w:b/>
          <w:bCs/>
          <w:color w:val="212121"/>
          <w:kern w:val="0"/>
          <w:sz w:val="32"/>
          <w:szCs w:val="32"/>
        </w:rPr>
        <w:t xml:space="preserve">  </w:t>
      </w:r>
      <w:r>
        <w:rPr>
          <w:rFonts w:hint="default" w:ascii="Times New Roman" w:hAnsi="Times New Roman" w:eastAsia="仿宋_GB2312" w:cs="Times New Roman"/>
          <w:sz w:val="32"/>
          <w:szCs w:val="32"/>
        </w:rPr>
        <w:t>引导基金按照“政府引导、市场运作、科学决策、防范风险”原则进行投资管理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围绕株洲高新区产业规划布局，</w:t>
      </w:r>
      <w:r>
        <w:rPr>
          <w:rFonts w:hint="default" w:ascii="Times New Roman" w:hAnsi="Times New Roman" w:eastAsia="仿宋_GB2312" w:cs="Times New Roman"/>
          <w:sz w:val="32"/>
          <w:szCs w:val="32"/>
          <w:lang w:val="en-US" w:eastAsia="zh-CN"/>
        </w:rPr>
        <w:t>积极</w:t>
      </w:r>
      <w:r>
        <w:rPr>
          <w:rFonts w:hint="default" w:ascii="Times New Roman" w:hAnsi="Times New Roman" w:eastAsia="仿宋_GB2312" w:cs="Times New Roman"/>
          <w:sz w:val="32"/>
          <w:szCs w:val="32"/>
        </w:rPr>
        <w:t>支持产业转型升级</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科技成果转化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重点投向株洲高新园区新能源汽车、新能源装备、新材料、电子信息（“2+2”产业集群）以及符合国家重点布局的战略新兴产业和未来产业。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第四条</w:t>
      </w:r>
      <w:r>
        <w:rPr>
          <w:rFonts w:hint="default" w:ascii="Times New Roman" w:hAnsi="Times New Roman" w:eastAsia="仿宋_GB2312" w:cs="Times New Roman"/>
          <w:sz w:val="32"/>
          <w:szCs w:val="32"/>
        </w:rPr>
        <w:t xml:space="preserve">  引导基金可出资设立政策性子基金、市场化子基金，也可直接参与项目投资。其中政策性子基金是指为加速株洲高新区产业招引和产业培育，促进科技成果转化而设立的系列产业孵化和</w:t>
      </w:r>
      <w:r>
        <w:rPr>
          <w:rFonts w:hint="default" w:ascii="Times New Roman" w:hAnsi="Times New Roman" w:eastAsia="仿宋_GB2312" w:cs="Times New Roman"/>
          <w:sz w:val="32"/>
          <w:szCs w:val="32"/>
          <w:lang w:val="en-US" w:eastAsia="zh-CN"/>
        </w:rPr>
        <w:t>促进产业发展</w:t>
      </w:r>
      <w:r>
        <w:rPr>
          <w:rFonts w:hint="default" w:ascii="Times New Roman" w:hAnsi="Times New Roman" w:eastAsia="仿宋_GB2312" w:cs="Times New Roman"/>
          <w:sz w:val="32"/>
          <w:szCs w:val="32"/>
        </w:rPr>
        <w:t>类基金；市场化子基金是指按照本办法及投资管理制度自主决策、市场化运作的基金；项目投资是指引导基金及子基金根据政策文件相关要求的规定直接投资于企业。</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bCs/>
          <w:color w:val="212121"/>
          <w:kern w:val="0"/>
          <w:sz w:val="32"/>
          <w:szCs w:val="32"/>
        </w:rPr>
      </w:pPr>
      <w:r>
        <w:rPr>
          <w:rFonts w:hint="default" w:ascii="Times New Roman" w:hAnsi="Times New Roman" w:eastAsia="黑体" w:cs="Times New Roman"/>
          <w:bCs/>
          <w:color w:val="212121"/>
          <w:kern w:val="0"/>
          <w:sz w:val="32"/>
          <w:szCs w:val="32"/>
        </w:rPr>
        <w:t>第二章  机构职责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sz w:val="32"/>
          <w:szCs w:val="32"/>
        </w:rPr>
        <w:t>第五条</w:t>
      </w:r>
      <w:r>
        <w:rPr>
          <w:rFonts w:hint="default" w:ascii="Times New Roman" w:hAnsi="Times New Roman" w:eastAsia="仿宋_GB2312" w:cs="Times New Roman"/>
          <w:sz w:val="32"/>
          <w:szCs w:val="32"/>
        </w:rPr>
        <w:t xml:space="preserve">  引导</w:t>
      </w:r>
      <w:r>
        <w:rPr>
          <w:rFonts w:hint="default" w:ascii="Times New Roman" w:hAnsi="Times New Roman" w:eastAsia="仿宋_GB2312" w:cs="Times New Roman"/>
          <w:color w:val="auto"/>
          <w:sz w:val="32"/>
          <w:szCs w:val="32"/>
        </w:rPr>
        <w:t>基金</w:t>
      </w:r>
      <w:r>
        <w:rPr>
          <w:rFonts w:hint="default" w:ascii="Times New Roman" w:hAnsi="Times New Roman" w:eastAsia="仿宋_GB2312" w:cs="Times New Roman"/>
          <w:color w:val="auto"/>
          <w:sz w:val="32"/>
          <w:szCs w:val="32"/>
          <w:lang w:val="en-US" w:eastAsia="zh-CN"/>
        </w:rPr>
        <w:t>的管理</w:t>
      </w:r>
      <w:r>
        <w:rPr>
          <w:rFonts w:hint="default" w:ascii="Times New Roman" w:hAnsi="Times New Roman" w:eastAsia="仿宋_GB2312" w:cs="Times New Roman"/>
          <w:color w:val="auto"/>
          <w:sz w:val="32"/>
          <w:szCs w:val="32"/>
        </w:rPr>
        <w:t>主要由</w:t>
      </w:r>
      <w:r>
        <w:rPr>
          <w:rFonts w:hint="default" w:ascii="Times New Roman" w:hAnsi="Times New Roman" w:eastAsia="仿宋_GB2312" w:cs="Times New Roman"/>
          <w:color w:val="auto"/>
          <w:sz w:val="32"/>
          <w:szCs w:val="32"/>
          <w:lang w:val="en-US" w:eastAsia="zh-CN"/>
        </w:rPr>
        <w:t>金融服务工作</w:t>
      </w:r>
      <w:r>
        <w:rPr>
          <w:rFonts w:hint="default" w:ascii="Times New Roman" w:hAnsi="Times New Roman" w:eastAsia="仿宋_GB2312" w:cs="Times New Roman"/>
          <w:color w:val="auto"/>
          <w:sz w:val="32"/>
          <w:szCs w:val="32"/>
        </w:rPr>
        <w:t>联席会议办公室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以下简称“联席会议办公室”）</w:t>
      </w:r>
      <w:r>
        <w:rPr>
          <w:rFonts w:hint="default" w:ascii="Times New Roman" w:hAnsi="Times New Roman" w:eastAsia="仿宋_GB2312" w:cs="Times New Roman"/>
          <w:color w:val="auto"/>
          <w:sz w:val="32"/>
          <w:szCs w:val="32"/>
        </w:rPr>
        <w:t>、财政局、基金管理机构</w:t>
      </w:r>
      <w:r>
        <w:rPr>
          <w:rFonts w:hint="default" w:ascii="Times New Roman" w:hAnsi="Times New Roman" w:eastAsia="仿宋_GB2312" w:cs="Times New Roman"/>
          <w:color w:val="auto"/>
          <w:sz w:val="32"/>
          <w:szCs w:val="32"/>
          <w:lang w:val="en-US" w:eastAsia="zh-CN"/>
        </w:rPr>
        <w:t>负责</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sz w:val="32"/>
          <w:szCs w:val="32"/>
        </w:rPr>
        <w:t>第六条</w:t>
      </w:r>
      <w:r>
        <w:rPr>
          <w:rFonts w:hint="default" w:ascii="Times New Roman" w:hAnsi="Times New Roman" w:eastAsia="仿宋_GB2312" w:cs="Times New Roman"/>
          <w:color w:val="auto"/>
          <w:sz w:val="32"/>
          <w:szCs w:val="32"/>
        </w:rPr>
        <w:t xml:space="preserve">  联席会议办公室设在投资金融局，根据《株洲高新区（天元区）基金管理办法（试行）》及</w:t>
      </w:r>
      <w:r>
        <w:rPr>
          <w:rFonts w:hint="default" w:ascii="Times New Roman" w:hAnsi="Times New Roman" w:eastAsia="仿宋_GB2312" w:cs="Times New Roman"/>
          <w:color w:val="auto"/>
          <w:sz w:val="32"/>
          <w:szCs w:val="32"/>
          <w:lang w:val="en-US" w:eastAsia="zh-CN"/>
        </w:rPr>
        <w:t>金融服务</w:t>
      </w:r>
      <w:r>
        <w:rPr>
          <w:rFonts w:hint="default" w:ascii="Times New Roman" w:hAnsi="Times New Roman" w:eastAsia="仿宋_GB2312" w:cs="Times New Roman"/>
          <w:color w:val="auto"/>
          <w:sz w:val="32"/>
          <w:szCs w:val="32"/>
        </w:rPr>
        <w:t>联席会议要求，开展相关工作。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sz w:val="32"/>
          <w:szCs w:val="32"/>
        </w:rPr>
        <w:t>第七条</w:t>
      </w:r>
      <w:r>
        <w:rPr>
          <w:rFonts w:hint="default" w:ascii="Times New Roman" w:hAnsi="Times New Roman" w:eastAsia="仿宋_GB2312" w:cs="Times New Roman"/>
          <w:color w:val="auto"/>
          <w:sz w:val="32"/>
          <w:szCs w:val="32"/>
        </w:rPr>
        <w:t xml:space="preserve">  财政局根据</w:t>
      </w:r>
      <w:r>
        <w:rPr>
          <w:rFonts w:hint="default" w:ascii="Times New Roman" w:hAnsi="Times New Roman" w:eastAsia="仿宋_GB2312" w:cs="Times New Roman"/>
          <w:color w:val="auto"/>
          <w:sz w:val="32"/>
          <w:szCs w:val="32"/>
          <w:lang w:val="en-US" w:eastAsia="zh-CN"/>
        </w:rPr>
        <w:t>政策性</w:t>
      </w:r>
      <w:r>
        <w:rPr>
          <w:rFonts w:hint="default" w:ascii="Times New Roman" w:hAnsi="Times New Roman" w:eastAsia="仿宋_GB2312" w:cs="Times New Roman"/>
          <w:color w:val="auto"/>
          <w:sz w:val="32"/>
          <w:szCs w:val="32"/>
        </w:rPr>
        <w:t>基金的出资需求，将</w:t>
      </w:r>
      <w:r>
        <w:rPr>
          <w:rFonts w:hint="default" w:ascii="Times New Roman" w:hAnsi="Times New Roman" w:eastAsia="仿宋_GB2312" w:cs="Times New Roman"/>
          <w:color w:val="auto"/>
          <w:sz w:val="32"/>
          <w:szCs w:val="32"/>
          <w:lang w:val="en-US" w:eastAsia="zh-CN"/>
        </w:rPr>
        <w:t>高新区管委会</w:t>
      </w:r>
      <w:r>
        <w:rPr>
          <w:rFonts w:hint="default" w:ascii="Times New Roman" w:hAnsi="Times New Roman" w:eastAsia="仿宋_GB2312" w:cs="Times New Roman"/>
          <w:color w:val="auto"/>
          <w:sz w:val="32"/>
          <w:szCs w:val="32"/>
        </w:rPr>
        <w:t>出资额纳入年度政府预算，根据基金需求拨付资金。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第八条</w:t>
      </w:r>
      <w:r>
        <w:rPr>
          <w:rFonts w:hint="default"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财政局</w:t>
      </w:r>
      <w:r>
        <w:rPr>
          <w:rFonts w:hint="default" w:ascii="Times New Roman" w:hAnsi="Times New Roman" w:eastAsia="仿宋_GB2312" w:cs="Times New Roman"/>
          <w:color w:val="auto"/>
          <w:sz w:val="32"/>
          <w:szCs w:val="32"/>
        </w:rPr>
        <w:t>按照国资监管有关规定</w:t>
      </w:r>
      <w:r>
        <w:rPr>
          <w:rFonts w:hint="default" w:ascii="Times New Roman" w:hAnsi="Times New Roman" w:eastAsia="仿宋_GB2312" w:cs="Times New Roman"/>
          <w:sz w:val="32"/>
          <w:szCs w:val="32"/>
        </w:rPr>
        <w:t>，对于纳入《株洲高新区（天元区）区属国有企业出资人审批事项清单管理办法（试行）》的重大事项履行监管与审批职责。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第九条</w:t>
      </w:r>
      <w:r>
        <w:rPr>
          <w:rFonts w:hint="default" w:ascii="Times New Roman" w:hAnsi="Times New Roman" w:eastAsia="仿宋_GB2312" w:cs="Times New Roman"/>
          <w:sz w:val="32"/>
          <w:szCs w:val="32"/>
        </w:rPr>
        <w:t xml:space="preserve">  基金管理机构即基金管理人由株洲高科集团有限公司旗下国有私募股权投资机构担任，按照《株洲高新区（天元区）基金管理办法（试行）》要求，履行基金管理人职责，负责引导基金日常事务管理。</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bCs/>
          <w:color w:val="212121"/>
          <w:kern w:val="0"/>
          <w:sz w:val="32"/>
          <w:szCs w:val="32"/>
        </w:rPr>
      </w:pPr>
      <w:r>
        <w:rPr>
          <w:rFonts w:hint="default" w:ascii="Times New Roman" w:hAnsi="Times New Roman" w:eastAsia="黑体" w:cs="Times New Roman"/>
          <w:bCs/>
          <w:color w:val="212121"/>
          <w:kern w:val="0"/>
          <w:sz w:val="32"/>
          <w:szCs w:val="32"/>
        </w:rPr>
        <w:t>第三章  投资运作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第十条</w:t>
      </w: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sz w:val="32"/>
          <w:szCs w:val="32"/>
        </w:rPr>
        <w:t xml:space="preserve"> 投资方式。在充分考虑财政承受能力的基础上，发挥市场在资源配置中的决定性作用，引导社会资本投资株洲高新区经济社会发展的重点领域和薄弱环节，其中以参股子基金为主，直投、跟投为辅，主要包括以下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（一）通过参股方式与其他资本合作设立子基金或增资参股基金；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（二）采取直接投资、跟进投资等方式进行投资运作；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第十一条</w:t>
      </w:r>
      <w:r>
        <w:rPr>
          <w:rFonts w:hint="default" w:ascii="Times New Roman" w:hAnsi="Times New Roman" w:eastAsia="仿宋_GB2312" w:cs="Times New Roman"/>
          <w:b/>
          <w:bCs/>
          <w:color w:val="212121"/>
          <w:kern w:val="0"/>
          <w:sz w:val="32"/>
          <w:szCs w:val="32"/>
        </w:rPr>
        <w:t xml:space="preserve">  </w:t>
      </w:r>
      <w:r>
        <w:rPr>
          <w:rFonts w:hint="default" w:ascii="Times New Roman" w:hAnsi="Times New Roman" w:eastAsia="仿宋_GB2312" w:cs="Times New Roman"/>
          <w:sz w:val="32"/>
          <w:szCs w:val="32"/>
        </w:rPr>
        <w:t>基金管理机构按照专业化、市场化方式履行相关程序，提出书面投资建议，按照《株洲高新区（天元区）基金管理办法（试行）》相关授权履行决策程序。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第十二条</w:t>
      </w:r>
      <w:r>
        <w:rPr>
          <w:rFonts w:hint="default" w:ascii="Times New Roman" w:hAnsi="Times New Roman" w:eastAsia="仿宋_GB2312" w:cs="Times New Roman"/>
          <w:b/>
          <w:bCs/>
          <w:color w:val="212121"/>
          <w:kern w:val="0"/>
          <w:sz w:val="32"/>
          <w:szCs w:val="32"/>
        </w:rPr>
        <w:t xml:space="preserve">  </w:t>
      </w:r>
      <w:r>
        <w:rPr>
          <w:rFonts w:hint="default" w:ascii="Times New Roman" w:hAnsi="Times New Roman" w:eastAsia="仿宋_GB2312" w:cs="Times New Roman"/>
          <w:sz w:val="32"/>
          <w:szCs w:val="32"/>
        </w:rPr>
        <w:t>引导基金出资设立子基金，应当遵循本细则及相关投资政策规定，与其他出资人签订有限合伙协议（章程），约定基金设立政策目标、基金规模、存续期限、出资方案、投资领域、决策机制、基金管理机构、风险防范、投资退出、管理费用和收益分配等事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sz w:val="32"/>
          <w:szCs w:val="32"/>
        </w:rPr>
        <w:t>第十三条</w:t>
      </w:r>
      <w:r>
        <w:rPr>
          <w:rFonts w:hint="default" w:ascii="Times New Roman" w:hAnsi="Times New Roman" w:eastAsia="楷体_GB2312" w:cs="Times New Roman"/>
          <w:b/>
          <w:bCs/>
          <w:color w:val="212121"/>
          <w:kern w:val="0"/>
          <w:sz w:val="32"/>
          <w:szCs w:val="32"/>
        </w:rPr>
        <w:t xml:space="preserve"> </w:t>
      </w:r>
      <w:r>
        <w:rPr>
          <w:rFonts w:hint="default" w:ascii="Times New Roman" w:hAnsi="Times New Roman" w:eastAsia="仿宋_GB2312" w:cs="Times New Roman"/>
          <w:b/>
          <w:bCs/>
          <w:color w:val="212121"/>
          <w:kern w:val="0"/>
          <w:sz w:val="32"/>
          <w:szCs w:val="32"/>
        </w:rPr>
        <w:t xml:space="preserve"> </w:t>
      </w:r>
      <w:r>
        <w:rPr>
          <w:rFonts w:hint="default" w:ascii="Times New Roman" w:hAnsi="Times New Roman" w:eastAsia="仿宋_GB2312" w:cs="Times New Roman"/>
          <w:sz w:val="32"/>
          <w:szCs w:val="32"/>
        </w:rPr>
        <w:t>引导基金参与出</w:t>
      </w:r>
      <w:r>
        <w:rPr>
          <w:rFonts w:hint="default" w:ascii="Times New Roman" w:hAnsi="Times New Roman" w:eastAsia="仿宋_GB2312" w:cs="Times New Roman"/>
          <w:color w:val="auto"/>
          <w:sz w:val="32"/>
          <w:szCs w:val="32"/>
        </w:rPr>
        <w:t>资设立子基金，出资比例原则上不超过子基金规模的30%；由</w:t>
      </w:r>
      <w:r>
        <w:rPr>
          <w:rFonts w:hint="default" w:ascii="Times New Roman" w:hAnsi="Times New Roman" w:eastAsia="仿宋_GB2312" w:cs="Times New Roman"/>
          <w:color w:val="auto"/>
          <w:sz w:val="32"/>
          <w:szCs w:val="32"/>
          <w:lang w:val="en-US" w:eastAsia="zh-CN"/>
        </w:rPr>
        <w:t>高科集团</w:t>
      </w:r>
      <w:r>
        <w:rPr>
          <w:rFonts w:hint="default" w:ascii="Times New Roman" w:hAnsi="Times New Roman" w:eastAsia="仿宋_GB2312" w:cs="Times New Roman"/>
          <w:color w:val="auto"/>
          <w:sz w:val="32"/>
          <w:szCs w:val="32"/>
        </w:rPr>
        <w:t>旗下私募基金管理公司主管的基金以及天使基金、科技成果转化基金等政策性基金的出资比例不受此比例限制。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第十四条</w:t>
      </w:r>
      <w:r>
        <w:rPr>
          <w:rFonts w:hint="default" w:ascii="Times New Roman" w:hAnsi="Times New Roman" w:eastAsia="楷体_GB2312" w:cs="Times New Roman"/>
          <w:b/>
          <w:bCs/>
          <w:color w:val="auto"/>
          <w:kern w:val="0"/>
          <w:sz w:val="32"/>
          <w:szCs w:val="32"/>
        </w:rPr>
        <w:t xml:space="preserve"> </w:t>
      </w:r>
      <w:r>
        <w:rPr>
          <w:rFonts w:hint="default" w:ascii="Times New Roman" w:hAnsi="Times New Roman" w:eastAsia="仿宋_GB2312" w:cs="Times New Roman"/>
          <w:color w:val="auto"/>
          <w:sz w:val="32"/>
          <w:szCs w:val="32"/>
        </w:rPr>
        <w:t xml:space="preserve"> 引导基金参与设立的子基</w:t>
      </w:r>
      <w:r>
        <w:rPr>
          <w:rFonts w:hint="default" w:ascii="Times New Roman" w:hAnsi="Times New Roman" w:eastAsia="仿宋_GB2312" w:cs="Times New Roman"/>
          <w:sz w:val="32"/>
          <w:szCs w:val="32"/>
        </w:rPr>
        <w:t>金，应当在有限合伙协议（章程）中明确约定返投比例，</w:t>
      </w:r>
      <w:r>
        <w:rPr>
          <w:rFonts w:hint="default" w:ascii="Times New Roman" w:hAnsi="Times New Roman" w:eastAsia="仿宋_GB2312" w:cs="Times New Roman"/>
          <w:sz w:val="32"/>
          <w:szCs w:val="32"/>
          <w:lang w:val="en-US" w:eastAsia="zh-CN"/>
        </w:rPr>
        <w:t>返</w:t>
      </w:r>
      <w:r>
        <w:rPr>
          <w:rFonts w:hint="default" w:ascii="Times New Roman" w:hAnsi="Times New Roman" w:eastAsia="仿宋_GB2312" w:cs="Times New Roman"/>
          <w:sz w:val="32"/>
          <w:szCs w:val="32"/>
        </w:rPr>
        <w:t>投比例一般不低于引导基金出资额的1.2倍。对社会资本出资比例较高或者具有战略合作意义的子基金，返投要求可按照“一事一议”方式适当放宽。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第十五条</w:t>
      </w:r>
      <w:r>
        <w:rPr>
          <w:rFonts w:hint="default" w:ascii="Times New Roman" w:hAnsi="Times New Roman" w:eastAsia="仿宋_GB2312" w:cs="Times New Roman"/>
          <w:sz w:val="32"/>
          <w:szCs w:val="32"/>
        </w:rPr>
        <w:t xml:space="preserve">  子基金一般应投资于株洲高新区园区企业，对于产业关联度强，有利于高新区园区企业上下游配套的企业、项目，可适当扩展到株洲市域内。投资于株洲市域范围内企业的投资金额计算包括：</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（一）直接投资株洲市域内企业，按照基金或其投资的子基金投资的金额计算投资返投金额；</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（二）投资株洲市域外企业被株洲市域内企业并购，按照母基金或其投资的子基金投资株洲市域外项目的金额计算投资返投金额；</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（三）投资株洲市域外企业并购株洲市域内企业，按照母基金或其投资的子基金所投企业并购株洲市域内项目金额计算投资返投金额；</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（四）投资株洲市域外企业在株洲市域内投资，按照该企业在株洲市域内的总投资额计算返投金额；</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（五）投资株洲市域外企业迁址株洲市域内，按该企业在株洲市域的总投资额计算返投金额；</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（六）基金管理人及关联方的自有资金、管理的其他基金、参股的基金投资的项目以及基金管理人协助引进的项目，按照上述标准认定；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（七）如投资时项目公司在市域外，投资完成后2年内将项目公司总部或分、子公司等主体落户于株洲市域内的，该主体股本金投入部分认定为返投金额；</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（八）其他经联席会议办公室认定的可确认为投资株洲市域内项目。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第十六条</w:t>
      </w:r>
      <w:r>
        <w:rPr>
          <w:rFonts w:hint="default" w:ascii="Times New Roman" w:hAnsi="Times New Roman" w:eastAsia="楷体" w:cs="Times New Roman"/>
          <w:b/>
          <w:bCs/>
          <w:color w:val="212121"/>
          <w:kern w:val="0"/>
          <w:sz w:val="32"/>
          <w:szCs w:val="32"/>
        </w:rPr>
        <w:t xml:space="preserve">  </w:t>
      </w:r>
      <w:r>
        <w:rPr>
          <w:rFonts w:hint="default" w:ascii="Times New Roman" w:hAnsi="Times New Roman" w:eastAsia="仿宋_GB2312" w:cs="Times New Roman"/>
          <w:sz w:val="32"/>
          <w:szCs w:val="32"/>
        </w:rPr>
        <w:t>引导基金参与设立的子基金存续期一般不超过10年，存续期内遇有重大事项变更或者存续期满确需延期的，由子基金的决策机构审议通过后办理变更或者延期手续。参与设立的子基金以及直接投资主要通过清算、上市、股权转让、其他出资人回购、二手份额交易等方式退出。</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黑体" w:cs="Times New Roman"/>
          <w:bCs/>
          <w:color w:val="212121"/>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bCs/>
          <w:color w:val="212121"/>
          <w:kern w:val="0"/>
          <w:sz w:val="32"/>
          <w:szCs w:val="32"/>
        </w:rPr>
      </w:pPr>
      <w:r>
        <w:rPr>
          <w:rFonts w:hint="default" w:ascii="Times New Roman" w:hAnsi="Times New Roman" w:eastAsia="黑体" w:cs="Times New Roman"/>
          <w:bCs/>
          <w:color w:val="212121"/>
          <w:kern w:val="0"/>
          <w:sz w:val="32"/>
          <w:szCs w:val="32"/>
        </w:rPr>
        <w:t>第四章  风险控制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 w:val="0"/>
          <w:bCs w:val="0"/>
          <w:sz w:val="32"/>
          <w:szCs w:val="32"/>
        </w:rPr>
        <w:t>第十七条</w:t>
      </w: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color w:val="212121"/>
          <w:kern w:val="0"/>
          <w:sz w:val="32"/>
          <w:szCs w:val="32"/>
        </w:rPr>
        <w:t>引导基金及子基金管理人应当</w:t>
      </w:r>
      <w:r>
        <w:rPr>
          <w:rFonts w:hint="default" w:ascii="Times New Roman" w:hAnsi="Times New Roman" w:eastAsia="仿宋_GB2312" w:cs="Times New Roman"/>
          <w:kern w:val="0"/>
          <w:sz w:val="32"/>
          <w:szCs w:val="32"/>
        </w:rPr>
        <w:t>依据法律法规和行业监管要求审慎经营，建立健全并严格遵守资金募集管理、投资者适当性、信息披露、风险管理、内部控制等业务规则和管理制度。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 w:val="0"/>
          <w:bCs w:val="0"/>
          <w:sz w:val="32"/>
          <w:szCs w:val="32"/>
        </w:rPr>
        <w:t>第十八条</w:t>
      </w:r>
      <w:r>
        <w:rPr>
          <w:rFonts w:hint="default" w:ascii="Times New Roman" w:hAnsi="Times New Roman" w:eastAsia="楷体" w:cs="Times New Roman"/>
          <w:b/>
          <w:bCs/>
          <w:kern w:val="0"/>
          <w:sz w:val="32"/>
          <w:szCs w:val="32"/>
        </w:rPr>
        <w:t xml:space="preserve"> </w:t>
      </w:r>
      <w:r>
        <w:rPr>
          <w:rFonts w:hint="default" w:ascii="Times New Roman" w:hAnsi="Times New Roman" w:eastAsia="楷体" w:cs="Times New Roman"/>
          <w:kern w:val="0"/>
          <w:sz w:val="32"/>
          <w:szCs w:val="32"/>
        </w:rPr>
        <w:t xml:space="preserve"> </w:t>
      </w:r>
      <w:r>
        <w:rPr>
          <w:rFonts w:hint="default" w:ascii="Times New Roman" w:hAnsi="Times New Roman" w:eastAsia="仿宋_GB2312" w:cs="Times New Roman"/>
          <w:kern w:val="0"/>
          <w:sz w:val="32"/>
          <w:szCs w:val="32"/>
        </w:rPr>
        <w:t>引导基金不得以任何方式承诺回购社会出资人的投资本金，不得以任何方式承担社会出资人的投资本金损失，不得以任何方式向社会出资人承诺最低收益，不得变相举债。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 w:val="0"/>
          <w:bCs w:val="0"/>
          <w:sz w:val="32"/>
          <w:szCs w:val="32"/>
        </w:rPr>
        <w:t>第十九条</w:t>
      </w:r>
      <w:r>
        <w:rPr>
          <w:rFonts w:hint="default" w:ascii="Times New Roman" w:hAnsi="Times New Roman" w:eastAsia="楷体" w:cs="Times New Roman"/>
          <w:b/>
          <w:bCs/>
          <w:color w:val="212121"/>
          <w:kern w:val="0"/>
          <w:sz w:val="32"/>
          <w:szCs w:val="32"/>
        </w:rPr>
        <w:t xml:space="preserve"> </w:t>
      </w:r>
      <w:r>
        <w:rPr>
          <w:rFonts w:hint="default" w:ascii="Times New Roman" w:hAnsi="Times New Roman" w:eastAsia="仿宋_GB2312" w:cs="Times New Roman"/>
          <w:kern w:val="0"/>
          <w:sz w:val="32"/>
          <w:szCs w:val="32"/>
        </w:rPr>
        <w:t xml:space="preserve"> 基金管理机构应于每半年度结束后两个月内汇总基金及子基金的总体运行情况，分别报送联席会议办公室、</w:t>
      </w:r>
      <w:r>
        <w:rPr>
          <w:rFonts w:hint="eastAsia" w:ascii="Times New Roman" w:hAnsi="Times New Roman" w:eastAsia="仿宋_GB2312" w:cs="Times New Roman"/>
          <w:kern w:val="0"/>
          <w:sz w:val="32"/>
          <w:szCs w:val="32"/>
          <w:lang w:val="en-US" w:eastAsia="zh-CN"/>
        </w:rPr>
        <w:t>财政局</w:t>
      </w:r>
      <w:r>
        <w:rPr>
          <w:rFonts w:hint="default" w:ascii="Times New Roman" w:hAnsi="Times New Roman" w:eastAsia="仿宋_GB2312" w:cs="Times New Roman"/>
          <w:kern w:val="0"/>
          <w:sz w:val="32"/>
          <w:szCs w:val="32"/>
        </w:rPr>
        <w:t>，并及时报告基金运行中的重大事项。基金管理人应当配合上级监管部门完成基金的相关审计与评估工作。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 w:val="0"/>
          <w:bCs w:val="0"/>
          <w:sz w:val="32"/>
          <w:szCs w:val="32"/>
        </w:rPr>
        <w:t>第二十条</w:t>
      </w:r>
      <w:r>
        <w:rPr>
          <w:rFonts w:hint="default" w:ascii="Times New Roman" w:hAnsi="Times New Roman" w:eastAsia="楷体" w:cs="Times New Roman"/>
          <w:b/>
          <w:bCs/>
          <w:color w:val="212121"/>
          <w:kern w:val="0"/>
          <w:sz w:val="32"/>
          <w:szCs w:val="32"/>
        </w:rPr>
        <w:t xml:space="preserve">  </w:t>
      </w:r>
      <w:r>
        <w:rPr>
          <w:rFonts w:hint="default" w:ascii="Times New Roman" w:hAnsi="Times New Roman" w:eastAsia="仿宋_GB2312" w:cs="Times New Roman"/>
          <w:kern w:val="0"/>
          <w:sz w:val="32"/>
          <w:szCs w:val="32"/>
        </w:rPr>
        <w:t>基金、子基金不得从事超出国家法律法规禁止从事的</w:t>
      </w:r>
      <w:r>
        <w:rPr>
          <w:rFonts w:hint="default" w:ascii="Times New Roman" w:hAnsi="Times New Roman" w:eastAsia="仿宋_GB2312" w:cs="Times New Roman"/>
          <w:kern w:val="0"/>
          <w:sz w:val="32"/>
          <w:szCs w:val="32"/>
          <w:lang w:val="en-US" w:eastAsia="zh-CN"/>
        </w:rPr>
        <w:t>业务及</w:t>
      </w:r>
      <w:r>
        <w:rPr>
          <w:rFonts w:hint="default" w:ascii="Times New Roman" w:hAnsi="Times New Roman" w:eastAsia="仿宋_GB2312" w:cs="Times New Roman"/>
          <w:kern w:val="0"/>
          <w:sz w:val="32"/>
          <w:szCs w:val="32"/>
        </w:rPr>
        <w:t>《株洲高新区（天元区）基金管理办法（试行）》规定以外的业务。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 w:val="0"/>
          <w:bCs w:val="0"/>
          <w:sz w:val="32"/>
          <w:szCs w:val="32"/>
        </w:rPr>
        <w:t>第二十一条</w:t>
      </w:r>
      <w:r>
        <w:rPr>
          <w:rFonts w:hint="default" w:ascii="Times New Roman" w:hAnsi="Times New Roman" w:eastAsia="楷体" w:cs="Times New Roman"/>
          <w:b/>
          <w:bCs/>
          <w:color w:val="212121"/>
          <w:kern w:val="0"/>
          <w:sz w:val="32"/>
          <w:szCs w:val="32"/>
        </w:rPr>
        <w:t xml:space="preserve">  </w:t>
      </w:r>
      <w:r>
        <w:rPr>
          <w:rFonts w:hint="default" w:ascii="Times New Roman" w:hAnsi="Times New Roman" w:eastAsia="仿宋_GB2312" w:cs="Times New Roman"/>
          <w:kern w:val="0"/>
          <w:sz w:val="32"/>
          <w:szCs w:val="32"/>
        </w:rPr>
        <w:t>引导基金参与设立的子基金以及管理人应当根据相关法律法规和行业管理规定进行登记备案，在全国政府出资产业投资基金信用信息登记系统进行登记和信息更新。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color w:val="212121"/>
          <w:kern w:val="0"/>
          <w:sz w:val="32"/>
          <w:szCs w:val="32"/>
        </w:rPr>
      </w:pPr>
      <w:r>
        <w:rPr>
          <w:rFonts w:hint="default" w:ascii="Times New Roman" w:hAnsi="Times New Roman" w:eastAsia="黑体" w:cs="Times New Roman"/>
          <w:b w:val="0"/>
          <w:bCs w:val="0"/>
          <w:sz w:val="32"/>
          <w:szCs w:val="32"/>
        </w:rPr>
        <w:t>第二十二条</w:t>
      </w:r>
      <w:r>
        <w:rPr>
          <w:rFonts w:hint="default" w:ascii="Times New Roman" w:hAnsi="Times New Roman" w:eastAsia="仿宋_GB2312" w:cs="Times New Roman"/>
          <w:kern w:val="0"/>
          <w:sz w:val="32"/>
          <w:szCs w:val="32"/>
        </w:rPr>
        <w:t xml:space="preserve">  基金管理机构应密切跟踪子基金经营和财务状况，防范财务风险。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黑体" w:cs="Times New Roman"/>
          <w:bCs/>
          <w:color w:val="212121"/>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bCs/>
          <w:color w:val="212121"/>
          <w:kern w:val="0"/>
          <w:sz w:val="32"/>
          <w:szCs w:val="32"/>
        </w:rPr>
      </w:pPr>
      <w:r>
        <w:rPr>
          <w:rFonts w:hint="default" w:ascii="Times New Roman" w:hAnsi="Times New Roman" w:eastAsia="黑体" w:cs="Times New Roman"/>
          <w:bCs/>
          <w:color w:val="212121"/>
          <w:kern w:val="0"/>
          <w:sz w:val="32"/>
          <w:szCs w:val="32"/>
        </w:rPr>
        <w:t>第五章  监督与评估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color w:val="212121"/>
          <w:kern w:val="0"/>
          <w:sz w:val="32"/>
          <w:szCs w:val="32"/>
        </w:rPr>
      </w:pPr>
      <w:r>
        <w:rPr>
          <w:rFonts w:hint="default" w:ascii="Times New Roman" w:hAnsi="Times New Roman" w:eastAsia="黑体" w:cs="Times New Roman"/>
          <w:b w:val="0"/>
          <w:bCs w:val="0"/>
          <w:sz w:val="32"/>
          <w:szCs w:val="32"/>
        </w:rPr>
        <w:t>第二十三条</w:t>
      </w:r>
      <w:r>
        <w:rPr>
          <w:rFonts w:hint="default" w:ascii="Times New Roman" w:hAnsi="Times New Roman" w:eastAsia="楷体" w:cs="Times New Roman"/>
          <w:b/>
          <w:bCs/>
          <w:color w:val="212121"/>
          <w:kern w:val="0"/>
          <w:sz w:val="32"/>
          <w:szCs w:val="32"/>
        </w:rPr>
        <w:t xml:space="preserve"> </w:t>
      </w:r>
      <w:r>
        <w:rPr>
          <w:rFonts w:hint="default" w:ascii="Times New Roman" w:hAnsi="Times New Roman" w:eastAsia="仿宋_GB2312" w:cs="Times New Roman"/>
          <w:color w:val="212121"/>
          <w:kern w:val="0"/>
          <w:sz w:val="32"/>
          <w:szCs w:val="32"/>
        </w:rPr>
        <w:t xml:space="preserve"> 按照基金投资规律和市场化原则，建立分类评估机制。对于政策性子基金，重点考核政策目标、撬动放大、规范管理等内容，兼顾经济效益;对于市场性子基金及市场化直投，重点评估经济效益、规范管理等内容，兼顾社会效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第二十四条</w:t>
      </w:r>
      <w:r>
        <w:rPr>
          <w:rFonts w:hint="default" w:ascii="Times New Roman" w:hAnsi="Times New Roman" w:eastAsia="楷体" w:cs="Times New Roman"/>
          <w:b/>
          <w:bCs/>
          <w:color w:val="212121"/>
          <w:kern w:val="0"/>
          <w:sz w:val="32"/>
          <w:szCs w:val="32"/>
        </w:rPr>
        <w:t xml:space="preserve">  </w:t>
      </w:r>
      <w:r>
        <w:rPr>
          <w:rFonts w:hint="default" w:ascii="Times New Roman" w:hAnsi="Times New Roman" w:eastAsia="仿宋_GB2312" w:cs="Times New Roman"/>
          <w:color w:val="212121"/>
          <w:kern w:val="0"/>
          <w:sz w:val="32"/>
          <w:szCs w:val="32"/>
        </w:rPr>
        <w:t>引导基金管理人应加强对参与设立的子基金及其管理机构运营监管，及时掌握子基金以及被投项目经营情况。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color w:val="212121"/>
          <w:kern w:val="0"/>
          <w:sz w:val="32"/>
          <w:szCs w:val="32"/>
        </w:rPr>
      </w:pPr>
      <w:r>
        <w:rPr>
          <w:rFonts w:hint="default" w:ascii="Times New Roman" w:hAnsi="Times New Roman" w:eastAsia="黑体" w:cs="Times New Roman"/>
          <w:b w:val="0"/>
          <w:bCs w:val="0"/>
          <w:sz w:val="32"/>
          <w:szCs w:val="32"/>
        </w:rPr>
        <w:t>第二十五条</w:t>
      </w:r>
      <w:r>
        <w:rPr>
          <w:rFonts w:hint="default" w:ascii="Times New Roman" w:hAnsi="Times New Roman" w:eastAsia="楷体" w:cs="Times New Roman"/>
          <w:b/>
          <w:bCs/>
          <w:color w:val="212121"/>
          <w:kern w:val="0"/>
          <w:sz w:val="32"/>
          <w:szCs w:val="32"/>
        </w:rPr>
        <w:t xml:space="preserve">  </w:t>
      </w:r>
      <w:r>
        <w:rPr>
          <w:rFonts w:hint="default" w:ascii="Times New Roman" w:hAnsi="Times New Roman" w:eastAsia="仿宋_GB2312" w:cs="Times New Roman"/>
          <w:sz w:val="32"/>
          <w:szCs w:val="32"/>
        </w:rPr>
        <w:t>建立按基金生命周期予以评定的基金绩效评价制度，在</w:t>
      </w:r>
      <w:r>
        <w:rPr>
          <w:rFonts w:hint="default" w:ascii="Times New Roman" w:hAnsi="Times New Roman" w:eastAsia="仿宋_GB2312" w:cs="Times New Roman"/>
          <w:color w:val="212121"/>
          <w:kern w:val="0"/>
          <w:sz w:val="32"/>
          <w:szCs w:val="32"/>
        </w:rPr>
        <w:t>基金</w:t>
      </w:r>
      <w:r>
        <w:rPr>
          <w:rFonts w:hint="default" w:ascii="Times New Roman" w:hAnsi="Times New Roman" w:eastAsia="仿宋_GB2312" w:cs="Times New Roman"/>
          <w:sz w:val="32"/>
          <w:szCs w:val="32"/>
        </w:rPr>
        <w:t>运作过程中，原则上不对单个所投项目造成的投资亏损进行评定。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color w:val="212121"/>
          <w:kern w:val="0"/>
          <w:sz w:val="32"/>
          <w:szCs w:val="32"/>
        </w:rPr>
      </w:pPr>
      <w:r>
        <w:rPr>
          <w:rFonts w:hint="default" w:ascii="Times New Roman" w:hAnsi="Times New Roman" w:eastAsia="黑体" w:cs="Times New Roman"/>
          <w:b w:val="0"/>
          <w:bCs w:val="0"/>
          <w:sz w:val="32"/>
          <w:szCs w:val="32"/>
        </w:rPr>
        <w:t>第二十六条</w:t>
      </w:r>
      <w:r>
        <w:rPr>
          <w:rFonts w:hint="default" w:ascii="Times New Roman" w:hAnsi="Times New Roman" w:eastAsia="楷体" w:cs="Times New Roman"/>
          <w:b/>
          <w:bCs/>
          <w:color w:val="212121"/>
          <w:kern w:val="0"/>
          <w:sz w:val="32"/>
          <w:szCs w:val="32"/>
        </w:rPr>
        <w:t xml:space="preserve">  </w:t>
      </w:r>
      <w:r>
        <w:rPr>
          <w:rFonts w:hint="default" w:ascii="Times New Roman" w:hAnsi="Times New Roman" w:eastAsia="仿宋_GB2312" w:cs="Times New Roman"/>
          <w:color w:val="212121"/>
          <w:kern w:val="0"/>
          <w:sz w:val="32"/>
          <w:szCs w:val="32"/>
        </w:rPr>
        <w:t>引导基金及其参与设立的子基金管理机构应当自觉接受基金监管部门业务监管，对弄虚作假骗取引导基金投资，或者不按照规定用途使用、截留挪用、挥霍浪费资金等违法违规行为，按照国家有关法律法规处理。</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黑体" w:cs="Times New Roman"/>
          <w:bCs/>
          <w:color w:val="212121"/>
          <w:kern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bCs/>
          <w:color w:val="212121"/>
          <w:kern w:val="0"/>
          <w:sz w:val="32"/>
          <w:szCs w:val="32"/>
        </w:rPr>
      </w:pPr>
      <w:r>
        <w:rPr>
          <w:rFonts w:hint="default" w:ascii="Times New Roman" w:hAnsi="Times New Roman" w:eastAsia="黑体" w:cs="Times New Roman"/>
          <w:bCs/>
          <w:color w:val="212121"/>
          <w:kern w:val="0"/>
          <w:sz w:val="32"/>
          <w:szCs w:val="32"/>
        </w:rPr>
        <w:t>第六章  退出与终止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 w:val="0"/>
          <w:bCs w:val="0"/>
          <w:sz w:val="32"/>
          <w:szCs w:val="32"/>
        </w:rPr>
        <w:t>第二十七条</w:t>
      </w: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kern w:val="0"/>
          <w:sz w:val="32"/>
          <w:szCs w:val="32"/>
        </w:rPr>
        <w:t xml:space="preserve"> 直投项目的项目创始人及实控人原则上不得先于引导基金退出其在该企业的股权；子基金发起人不得先于引导基金退出其在合作子基金中的份额。</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 w:val="0"/>
          <w:bCs w:val="0"/>
          <w:sz w:val="32"/>
          <w:szCs w:val="32"/>
        </w:rPr>
        <w:t>第二十八条</w:t>
      </w:r>
      <w:r>
        <w:rPr>
          <w:rFonts w:hint="default" w:ascii="Times New Roman" w:hAnsi="Times New Roman" w:eastAsia="楷体" w:cs="Times New Roman"/>
          <w:b/>
          <w:bCs/>
          <w:color w:val="212121"/>
          <w:kern w:val="0"/>
          <w:sz w:val="32"/>
          <w:szCs w:val="32"/>
        </w:rPr>
        <w:t xml:space="preserve"> </w:t>
      </w:r>
      <w:r>
        <w:rPr>
          <w:rFonts w:hint="default" w:ascii="Times New Roman" w:hAnsi="Times New Roman" w:eastAsia="仿宋_GB2312" w:cs="Times New Roman"/>
          <w:kern w:val="0"/>
          <w:sz w:val="32"/>
          <w:szCs w:val="32"/>
        </w:rPr>
        <w:t xml:space="preserve"> 引导基金一般通过到期清算、基金份额转让、股权转让等方式实施退出，也可以通过社会股东回购等其他合法方式退出。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第二十九条</w:t>
      </w:r>
      <w:r>
        <w:rPr>
          <w:rFonts w:hint="default" w:ascii="Times New Roman" w:hAnsi="Times New Roman" w:eastAsia="楷体" w:cs="Times New Roman"/>
          <w:b/>
          <w:bCs/>
          <w:color w:val="212121"/>
          <w:kern w:val="0"/>
          <w:sz w:val="32"/>
          <w:szCs w:val="32"/>
        </w:rPr>
        <w:t xml:space="preserve">  </w:t>
      </w:r>
      <w:r>
        <w:rPr>
          <w:rFonts w:hint="default" w:ascii="Times New Roman" w:hAnsi="Times New Roman" w:eastAsia="仿宋_GB2312" w:cs="Times New Roman"/>
          <w:sz w:val="32"/>
          <w:szCs w:val="32"/>
          <w:u w:val="none"/>
          <w:lang w:val="en-US" w:eastAsia="zh-CN"/>
        </w:rPr>
        <w:t>基金中途退出时，属于按协议约定退出或有市场参考价（如其他投资人的转让或增资价格、第三方评估价格等）的，可免于产权交易市场公开挂牌转让。不属于协议约定退出或退出时没有市场参考价的，应当聘请有资质的机构进行资产评估，并在依法设立的产权交易机构公开进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 w:val="0"/>
          <w:bCs w:val="0"/>
          <w:sz w:val="32"/>
          <w:szCs w:val="32"/>
        </w:rPr>
        <w:t>第三十条</w:t>
      </w:r>
      <w:r>
        <w:rPr>
          <w:rFonts w:hint="default" w:ascii="Times New Roman" w:hAnsi="Times New Roman" w:eastAsia="仿宋_GB2312" w:cs="Times New Roman"/>
          <w:kern w:val="0"/>
          <w:sz w:val="32"/>
          <w:szCs w:val="32"/>
        </w:rPr>
        <w:t xml:space="preserve">  直投项目发生下列情况之一的，可终止合作并选择退出，</w:t>
      </w:r>
      <w:r>
        <w:rPr>
          <w:rFonts w:hint="default" w:ascii="Times New Roman" w:hAnsi="Times New Roman" w:eastAsia="仿宋_GB2312" w:cs="Times New Roman"/>
          <w:kern w:val="0"/>
          <w:sz w:val="32"/>
          <w:szCs w:val="32"/>
          <w:lang w:val="en-US" w:eastAsia="zh-CN"/>
        </w:rPr>
        <w:t>并依法依约追究</w:t>
      </w:r>
      <w:r>
        <w:rPr>
          <w:rFonts w:hint="default" w:ascii="Times New Roman" w:hAnsi="Times New Roman" w:eastAsia="仿宋_GB2312" w:cs="Times New Roman"/>
          <w:kern w:val="0"/>
          <w:sz w:val="32"/>
          <w:szCs w:val="32"/>
        </w:rPr>
        <w:t>直投项目企业</w:t>
      </w:r>
      <w:r>
        <w:rPr>
          <w:rFonts w:hint="default" w:ascii="Times New Roman" w:hAnsi="Times New Roman" w:eastAsia="仿宋_GB2312" w:cs="Times New Roman"/>
          <w:kern w:val="0"/>
          <w:sz w:val="32"/>
          <w:szCs w:val="32"/>
          <w:lang w:val="en-US" w:eastAsia="zh-CN"/>
        </w:rPr>
        <w:t>的</w:t>
      </w:r>
      <w:r>
        <w:rPr>
          <w:rFonts w:hint="default" w:ascii="Times New Roman" w:hAnsi="Times New Roman" w:eastAsia="仿宋_GB2312" w:cs="Times New Roman"/>
          <w:kern w:val="0"/>
          <w:sz w:val="32"/>
          <w:szCs w:val="32"/>
        </w:rPr>
        <w:t>违约责任：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（一）未按本办法要求、投资协议约定开展</w:t>
      </w:r>
      <w:r>
        <w:rPr>
          <w:rFonts w:hint="default" w:ascii="Times New Roman" w:hAnsi="Times New Roman" w:eastAsia="仿宋_GB2312" w:cs="Times New Roman"/>
          <w:kern w:val="0"/>
          <w:sz w:val="32"/>
          <w:szCs w:val="32"/>
          <w:lang w:val="en-US" w:eastAsia="zh-CN"/>
        </w:rPr>
        <w:t>相关</w:t>
      </w:r>
      <w:r>
        <w:rPr>
          <w:rFonts w:hint="default" w:ascii="Times New Roman" w:hAnsi="Times New Roman" w:eastAsia="仿宋_GB2312" w:cs="Times New Roman"/>
          <w:kern w:val="0"/>
          <w:sz w:val="32"/>
          <w:szCs w:val="32"/>
        </w:rPr>
        <w:t>业务的；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（二）合作协议签订后，其它投资方未按约定程序和时间要求完成出资的；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（三）投资完成一年以后，直投项目企业未按投资协议使用投资资金的</w:t>
      </w:r>
      <w:r>
        <w:rPr>
          <w:rFonts w:hint="eastAsia"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（四）直投项目企业出现重大风险的。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b w:val="0"/>
          <w:bCs w:val="0"/>
          <w:sz w:val="32"/>
          <w:szCs w:val="32"/>
        </w:rPr>
        <w:t>第三十一条</w:t>
      </w:r>
      <w:r>
        <w:rPr>
          <w:rFonts w:hint="default" w:ascii="Times New Roman" w:hAnsi="Times New Roman" w:eastAsia="仿宋_GB2312" w:cs="Times New Roman"/>
          <w:b/>
          <w:bCs/>
          <w:color w:val="212121"/>
          <w:kern w:val="0"/>
          <w:sz w:val="32"/>
          <w:szCs w:val="32"/>
        </w:rPr>
        <w:t xml:space="preserve"> </w:t>
      </w:r>
      <w:r>
        <w:rPr>
          <w:rFonts w:hint="default" w:ascii="Times New Roman" w:hAnsi="Times New Roman" w:eastAsia="仿宋_GB2312" w:cs="Times New Roman"/>
          <w:kern w:val="0"/>
          <w:sz w:val="32"/>
          <w:szCs w:val="32"/>
        </w:rPr>
        <w:t xml:space="preserve"> 引导基金设立子基金的，子基金发生下列情况之一的，</w:t>
      </w:r>
      <w:r>
        <w:rPr>
          <w:rFonts w:hint="default" w:ascii="Times New Roman" w:hAnsi="Times New Roman" w:eastAsia="仿宋_GB2312" w:cs="Times New Roman"/>
          <w:kern w:val="0"/>
          <w:sz w:val="32"/>
          <w:szCs w:val="32"/>
          <w:lang w:val="en-US" w:eastAsia="zh-CN"/>
        </w:rPr>
        <w:t>应当采取</w:t>
      </w:r>
      <w:r>
        <w:rPr>
          <w:rFonts w:hint="default" w:ascii="Times New Roman" w:hAnsi="Times New Roman" w:eastAsia="仿宋_GB2312" w:cs="Times New Roman"/>
          <w:kern w:val="0"/>
          <w:sz w:val="32"/>
          <w:szCs w:val="32"/>
        </w:rPr>
        <w:t>终止合作并选择退出</w:t>
      </w:r>
      <w:r>
        <w:rPr>
          <w:rFonts w:hint="default" w:ascii="Times New Roman" w:hAnsi="Times New Roman" w:eastAsia="仿宋_GB2312" w:cs="Times New Roman"/>
          <w:kern w:val="0"/>
          <w:sz w:val="32"/>
          <w:szCs w:val="32"/>
          <w:lang w:val="en-US" w:eastAsia="zh-CN"/>
        </w:rPr>
        <w:t>等措施避免损失</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（一）投资基金方案确认后超过一年，未按规定程序和时间要求完成设立手续的；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（二）子基金设立一年以上，未开展投资业务的；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（三）子基金投资领域和方向不符合政策目标的；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（四）其他不符合合伙协议约定情形的。</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追责与免责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kern w:val="0"/>
          <w:sz w:val="32"/>
          <w:szCs w:val="32"/>
        </w:rPr>
      </w:pPr>
      <w:r>
        <w:rPr>
          <w:rFonts w:hint="default" w:ascii="Times New Roman" w:hAnsi="Times New Roman" w:eastAsia="黑体" w:cs="Times New Roman"/>
          <w:b w:val="0"/>
          <w:bCs w:val="0"/>
          <w:sz w:val="32"/>
          <w:szCs w:val="32"/>
        </w:rPr>
        <w:t>第三十二条</w:t>
      </w:r>
      <w:r>
        <w:rPr>
          <w:rFonts w:hint="default" w:ascii="Times New Roman" w:hAnsi="Times New Roman" w:eastAsia="仿宋_GB2312" w:cs="Times New Roman"/>
          <w:kern w:val="0"/>
          <w:sz w:val="32"/>
          <w:szCs w:val="32"/>
        </w:rPr>
        <w:t xml:space="preserve">  建立风险容忍机制，引导基金</w:t>
      </w:r>
      <w:r>
        <w:rPr>
          <w:rFonts w:hint="eastAsia" w:ascii="仿宋_GB2312" w:hAnsi="仿宋_GB2312" w:eastAsia="仿宋_GB2312" w:cs="仿宋_GB2312"/>
          <w:kern w:val="0"/>
          <w:sz w:val="32"/>
          <w:szCs w:val="32"/>
        </w:rPr>
        <w:t>参与的天使基金、</w:t>
      </w:r>
      <w:r>
        <w:rPr>
          <w:rFonts w:hint="eastAsia" w:ascii="仿宋_GB2312" w:hAnsi="仿宋_GB2312" w:eastAsia="仿宋_GB2312" w:cs="仿宋_GB2312"/>
          <w:b w:val="0"/>
          <w:bCs w:val="0"/>
          <w:sz w:val="32"/>
          <w:szCs w:val="32"/>
          <w:lang w:val="en-US" w:eastAsia="zh-CN"/>
        </w:rPr>
        <w:t>科技</w:t>
      </w:r>
      <w:r>
        <w:rPr>
          <w:rFonts w:hint="eastAsia" w:ascii="仿宋_GB2312" w:hAnsi="仿宋_GB2312" w:eastAsia="仿宋_GB2312" w:cs="仿宋_GB2312"/>
          <w:kern w:val="0"/>
          <w:sz w:val="32"/>
          <w:szCs w:val="32"/>
        </w:rPr>
        <w:t>成果转化基金等政策性基金可以允许最高不超过50%的本金亏损；</w:t>
      </w:r>
      <w:r>
        <w:rPr>
          <w:rFonts w:hint="eastAsia" w:ascii="仿宋_GB2312" w:hAnsi="仿宋_GB2312" w:eastAsia="仿宋_GB2312" w:cs="仿宋_GB2312"/>
          <w:color w:val="212121"/>
          <w:kern w:val="0"/>
          <w:sz w:val="32"/>
          <w:szCs w:val="32"/>
        </w:rPr>
        <w:t>其他市场化基金由各出资人自担风险。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黑体" w:cs="Times New Roman"/>
          <w:b w:val="0"/>
          <w:bCs w:val="0"/>
          <w:sz w:val="32"/>
          <w:szCs w:val="32"/>
        </w:rPr>
        <w:t>第三十三条</w:t>
      </w:r>
      <w:r>
        <w:rPr>
          <w:rFonts w:hint="default" w:ascii="Times New Roman" w:hAnsi="Times New Roman" w:eastAsia="仿宋_GB2312" w:cs="Times New Roman"/>
          <w:b/>
          <w:bCs/>
          <w:sz w:val="32"/>
          <w:szCs w:val="32"/>
        </w:rPr>
        <w:t xml:space="preserve">  </w:t>
      </w:r>
      <w:r>
        <w:rPr>
          <w:rFonts w:hint="eastAsia" w:ascii="仿宋_GB2312" w:hAnsi="仿宋_GB2312" w:eastAsia="仿宋_GB2312" w:cs="仿宋_GB2312"/>
          <w:sz w:val="32"/>
          <w:szCs w:val="32"/>
        </w:rPr>
        <w:t>原则上在基金进入清算阶段后一般应由联席会议办公室负责对</w:t>
      </w:r>
      <w:r>
        <w:rPr>
          <w:rFonts w:hint="eastAsia" w:ascii="仿宋_GB2312" w:hAnsi="仿宋_GB2312" w:eastAsia="仿宋_GB2312" w:cs="仿宋_GB2312"/>
          <w:color w:val="212121"/>
          <w:kern w:val="0"/>
          <w:sz w:val="32"/>
          <w:szCs w:val="32"/>
        </w:rPr>
        <w:t>基金</w:t>
      </w:r>
      <w:r>
        <w:rPr>
          <w:rFonts w:hint="eastAsia" w:ascii="仿宋_GB2312" w:hAnsi="仿宋_GB2312" w:eastAsia="仿宋_GB2312" w:cs="仿宋_GB2312"/>
          <w:sz w:val="32"/>
          <w:szCs w:val="32"/>
        </w:rPr>
        <w:t>进行绩效评价，评价机制应</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设立基金的政策制度、政府要求、投资目的、运作规范等方面</w:t>
      </w:r>
      <w:r>
        <w:rPr>
          <w:rFonts w:hint="eastAsia" w:ascii="仿宋_GB2312" w:hAnsi="仿宋_GB2312" w:eastAsia="仿宋_GB2312" w:cs="仿宋_GB2312"/>
          <w:sz w:val="32"/>
          <w:szCs w:val="32"/>
          <w:lang w:val="en-US" w:eastAsia="zh-CN"/>
        </w:rPr>
        <w:t>的情况</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val="en-US" w:eastAsia="zh-CN"/>
        </w:rPr>
        <w:t>评价</w:t>
      </w:r>
      <w:r>
        <w:rPr>
          <w:rFonts w:hint="eastAsia" w:ascii="仿宋_GB2312" w:hAnsi="仿宋_GB2312" w:eastAsia="仿宋_GB2312" w:cs="仿宋_GB2312"/>
          <w:sz w:val="32"/>
          <w:szCs w:val="32"/>
        </w:rPr>
        <w:t>的主要内容。联席会议办公室也可</w:t>
      </w:r>
      <w:r>
        <w:rPr>
          <w:rFonts w:hint="eastAsia" w:ascii="仿宋_GB2312" w:hAnsi="仿宋_GB2312" w:eastAsia="仿宋_GB2312" w:cs="仿宋_GB2312"/>
          <w:sz w:val="32"/>
          <w:szCs w:val="32"/>
          <w:lang w:val="en-US" w:eastAsia="zh-CN"/>
        </w:rPr>
        <w:t>根据基金实际运作情况</w:t>
      </w:r>
      <w:r>
        <w:rPr>
          <w:rFonts w:hint="eastAsia" w:ascii="仿宋_GB2312" w:hAnsi="仿宋_GB2312" w:eastAsia="仿宋_GB2312" w:cs="仿宋_GB2312"/>
          <w:sz w:val="32"/>
          <w:szCs w:val="32"/>
        </w:rPr>
        <w:t>不定期</w:t>
      </w:r>
      <w:r>
        <w:rPr>
          <w:rFonts w:hint="eastAsia" w:ascii="仿宋_GB2312" w:hAnsi="仿宋_GB2312" w:eastAsia="仿宋_GB2312" w:cs="仿宋_GB2312"/>
          <w:b w:val="0"/>
          <w:bCs w:val="0"/>
          <w:sz w:val="32"/>
          <w:szCs w:val="32"/>
          <w:lang w:val="en-US" w:eastAsia="zh-CN"/>
        </w:rPr>
        <w:t>组织</w:t>
      </w:r>
      <w:r>
        <w:rPr>
          <w:rFonts w:hint="eastAsia" w:ascii="仿宋_GB2312" w:hAnsi="仿宋_GB2312" w:eastAsia="仿宋_GB2312" w:cs="仿宋_GB2312"/>
          <w:sz w:val="32"/>
          <w:szCs w:val="32"/>
        </w:rPr>
        <w:t>绩效评价</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审计。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第三十四条</w:t>
      </w:r>
      <w:r>
        <w:rPr>
          <w:rFonts w:hint="default" w:ascii="Times New Roman" w:hAnsi="Times New Roman" w:eastAsia="楷体" w:cs="Times New Roman"/>
          <w:b/>
          <w:bCs/>
          <w:color w:val="212121"/>
          <w:kern w:val="0"/>
          <w:sz w:val="32"/>
          <w:szCs w:val="32"/>
        </w:rPr>
        <w:t xml:space="preserve"> </w:t>
      </w:r>
      <w:r>
        <w:rPr>
          <w:rFonts w:hint="default" w:ascii="Times New Roman" w:hAnsi="Times New Roman" w:eastAsia="仿宋_GB2312" w:cs="Times New Roman"/>
          <w:sz w:val="32"/>
          <w:szCs w:val="32"/>
        </w:rPr>
        <w:t xml:space="preserve"> 基金运行周期结束，即基金清算完成后，若基金出现亏损时，由联席会议办公室牵头组织责任认定工作。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黑体" w:cs="Times New Roman"/>
          <w:bCs/>
          <w:color w:val="212121"/>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黑体" w:cs="Times New Roman"/>
          <w:color w:val="212121"/>
          <w:sz w:val="32"/>
          <w:szCs w:val="32"/>
        </w:rPr>
      </w:pPr>
      <w:r>
        <w:rPr>
          <w:rFonts w:hint="default" w:ascii="Times New Roman" w:hAnsi="Times New Roman" w:eastAsia="黑体" w:cs="Times New Roman"/>
          <w:bCs/>
          <w:color w:val="212121"/>
          <w:sz w:val="32"/>
          <w:szCs w:val="32"/>
        </w:rPr>
        <w:t>第八章  附  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仿宋_GB2312" w:cs="Times New Roman"/>
          <w:b/>
          <w:bCs/>
          <w:sz w:val="32"/>
          <w:szCs w:val="32"/>
          <w:u w:val="none"/>
          <w:lang w:val="en-US" w:eastAsia="zh-CN"/>
        </w:rPr>
      </w:pPr>
      <w:r>
        <w:rPr>
          <w:rFonts w:hint="default" w:ascii="Times New Roman" w:hAnsi="Times New Roman" w:eastAsia="黑体" w:cs="Times New Roman"/>
          <w:b w:val="0"/>
          <w:bCs w:val="0"/>
          <w:sz w:val="32"/>
          <w:szCs w:val="32"/>
        </w:rPr>
        <w:t>第三十</w:t>
      </w:r>
      <w:r>
        <w:rPr>
          <w:rFonts w:hint="eastAsia" w:ascii="Times New Roman" w:hAnsi="Times New Roman" w:eastAsia="黑体" w:cs="Times New Roman"/>
          <w:b w:val="0"/>
          <w:bCs w:val="0"/>
          <w:sz w:val="32"/>
          <w:szCs w:val="32"/>
          <w:lang w:val="en-US" w:eastAsia="zh-CN"/>
        </w:rPr>
        <w:t>五</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color w:val="212121"/>
          <w:kern w:val="0"/>
          <w:sz w:val="32"/>
          <w:szCs w:val="32"/>
        </w:rPr>
        <w:t xml:space="preserve">  本</w:t>
      </w:r>
      <w:r>
        <w:rPr>
          <w:rFonts w:hint="eastAsia" w:ascii="Times New Roman" w:hAnsi="Times New Roman" w:eastAsia="仿宋_GB2312" w:cs="Times New Roman"/>
          <w:color w:val="212121"/>
          <w:kern w:val="0"/>
          <w:sz w:val="32"/>
          <w:szCs w:val="32"/>
          <w:lang w:val="en-US" w:eastAsia="zh-CN"/>
        </w:rPr>
        <w:t>细则</w:t>
      </w:r>
      <w:r>
        <w:rPr>
          <w:rFonts w:hint="default" w:ascii="Times New Roman" w:hAnsi="Times New Roman" w:eastAsia="仿宋_GB2312" w:cs="Times New Roman"/>
          <w:color w:val="212121"/>
          <w:kern w:val="0"/>
          <w:sz w:val="32"/>
          <w:szCs w:val="32"/>
        </w:rPr>
        <w:t>自公布之日起</w:t>
      </w:r>
      <w:r>
        <w:rPr>
          <w:rFonts w:hint="eastAsia" w:ascii="Times New Roman" w:hAnsi="Times New Roman" w:eastAsia="仿宋_GB2312" w:cs="Times New Roman"/>
          <w:color w:val="212121"/>
          <w:kern w:val="0"/>
          <w:sz w:val="32"/>
          <w:szCs w:val="32"/>
          <w:lang w:val="en-US" w:eastAsia="zh-CN"/>
        </w:rPr>
        <w:t>施</w:t>
      </w:r>
      <w:r>
        <w:rPr>
          <w:rFonts w:hint="default" w:ascii="Times New Roman" w:hAnsi="Times New Roman" w:eastAsia="仿宋_GB2312" w:cs="Times New Roman"/>
          <w:color w:val="212121"/>
          <w:kern w:val="0"/>
          <w:sz w:val="32"/>
          <w:szCs w:val="32"/>
        </w:rPr>
        <w:t>行，有效期为2年。在本办法实施前已批准或者已签订协议（章程）的，存续期内按原协议（章程）约定的条款内容执行。</w:t>
      </w: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ind w:firstLine="641"/>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_GB2312" w:cs="Times New Roman"/>
          <w:sz w:val="32"/>
          <w:szCs w:val="32"/>
        </w:rPr>
      </w:pPr>
    </w:p>
    <w:p>
      <w:pPr>
        <w:keepLines w:val="0"/>
        <w:pageBreakBefore w:val="0"/>
        <w:tabs>
          <w:tab w:val="left" w:pos="7560"/>
        </w:tabs>
        <w:wordWrap/>
        <w:overflowPunct/>
        <w:topLinePunct w:val="0"/>
        <w:autoSpaceDE/>
        <w:autoSpaceDN/>
        <w:bidi w:val="0"/>
        <w:spacing w:line="578" w:lineRule="exact"/>
        <w:ind w:firstLine="300" w:firstLineChars="100"/>
        <w:rPr>
          <w:rFonts w:hint="default" w:ascii="Times New Roman" w:hAnsi="Times New Roman" w:eastAsia="仿宋_GB2312" w:cs="Times New Roman"/>
          <w:color w:val="auto"/>
          <w:sz w:val="28"/>
          <w:szCs w:val="28"/>
          <w:lang w:val="en-US" w:eastAsia="zh-CN"/>
        </w:rPr>
      </w:pPr>
      <w:r>
        <w:rPr>
          <w:rFonts w:hint="default" w:ascii="Times New Roman" w:hAnsi="Times New Roman" w:eastAsia="方正仿宋_GBK" w:cs="Times New Roman"/>
          <w:sz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51435</wp:posOffset>
                </wp:positionV>
                <wp:extent cx="560070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175">
                          <a:solidFill>
                            <a:srgbClr val="000000"/>
                          </a:solidFill>
                          <a:round/>
                        </a:ln>
                        <a:effectLst/>
                      </wps:spPr>
                      <wps:bodyPr/>
                    </wps:wsp>
                  </a:graphicData>
                </a:graphic>
              </wp:anchor>
            </w:drawing>
          </mc:Choice>
          <mc:Fallback>
            <w:pict>
              <v:line id="_x0000_s1026" o:spid="_x0000_s1026" o:spt="20" style="position:absolute;left:0pt;margin-left:0pt;margin-top:4.05pt;height:0pt;width:441pt;z-index:251660288;mso-width-relative:page;mso-height-relative:page;" filled="f" stroked="t" coordsize="21600,21600" o:gfxdata="UEsFBgAAAAAAAAAAAAAAAAAAAAAAAFBLAwQKAAAAAACHTuJAAAAAAAAAAAAAAAAABAAAAGRycy9Q&#10;SwMEFAAAAAgAh07iQKooc83TAAAABAEAAA8AAABkcnMvZG93bnJldi54bWxNj0FLw0AQhe+C/2EZ&#10;wZvdpIcSYjaFBD30oGArqLdtdpqEZmdjdtLWf+/oRY8fb3jvm2J98YM64RT7QAbSRQIKqQmup9bA&#10;6+7xLgMV2ZKzQyA08IUR1uX1VWFzF870gqctt0pKKObWQMc85lrHpkNv4yKMSJIdwuQtC06tdpM9&#10;S7kf9DJJVtrbnmShsyPWHTbH7ewNcHx7f+Z581mtqqcad9VH/aA3xtzepMk9KMYL/x3Dj76oQylO&#10;+zCTi2owII+wgSwFJWGWLYX3v6zLQv+XL78BUEsDBBQAAAAIAIdO4kCjzXvc6gEAALoDAAAOAAAA&#10;ZHJzL2Uyb0RvYy54bWytU8FuEzEQvSPxD5bvZDdBbdEqmx4SlUuBSC0f4Hi9WQvbY3mcbPIT/AAS&#10;Nzhx5M7fUD6DsTcJpb300D1YHs/Mm3lvZqeXO2vYVgXU4Go+HpWcKSeh0W5d84+3V6/ecIZRuEYY&#10;cKrme4X8cvbyxbT3lZpAB6ZRgRGIw6r3Ne9i9FVRoOyUFTgCrxw5WwhWRDLDumiC6AndmmJSludF&#10;D6HxAaRCpNfF4OQHxPAUQGhbLdUC5MYqFwfUoIyIRAk77ZHPcrdtq2T80LaoIjM1J6Yxn1SE7qt0&#10;FrOpqNZB+E7LQwviKS084GSFdlT0BLUQUbBN0I+grJYBENo4kmCLgUhWhFiMywfa3HTCq8yFpEZ/&#10;Eh2fD1a+3y4D0w1twoQzJyxN/O7Lz9+fv/359ZXOux/fGXlIpt5jRdFztwyJqNy5G38N8hMyB/NO&#10;uLXK7d7uPUGMU0bxX0oy0FOxVf8OGooRmwhZs10bbIIkNdguj2Z/Go3aRSbp8ey8LC9Kmpo8+gpR&#10;HRN9wPhWgWXpUnOjXVJNVGJ7jTE1IqpjSHp2cKWNyZM3jvU1fz2+OMsJCEY3yZnCMKxXcxPYVqTd&#10;yV9mRZ77YQE2rhmKGJfyVF67Q+Uj60G/FTT7ZThKQyPNvR3WL+3MfTsL+O+Xm/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UAAAACACHTuJAqihzzdMAAAAEAQAADwAAAAAAAAABACAAAAA4AAAA&#10;ZHJzL2Rvd25yZXYueG1sUEsBAhQAFAAAAAgAh07iQKPNe9zqAQAAugMAAA4AAAAAAAAAAQAgAAAA&#10;OAEAAGRycy9lMm9Eb2MueG1sUEsBAhQACgAAAAAAh07iQAAAAAAAAAAAAAAAAAQAAAAAAAAAAAAQ&#10;AAAAFgAAAGRycy9QSwECFAAKAAAAAACHTuJAAAAAAAAAAAAAAAAABgAAAAAAAAAAABAAAABOAwAA&#10;X3JlbHMvUEsFBgAAAAAGAAYAWQEAAJQFAAAAAA==&#10;">
                <v:fill on="f" focussize="0,0"/>
                <v:stroke weight="0.25pt"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419100</wp:posOffset>
                </wp:positionV>
                <wp:extent cx="5600700" cy="0"/>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4445">
                          <a:solidFill>
                            <a:srgbClr val="000000"/>
                          </a:solidFill>
                          <a:round/>
                        </a:ln>
                        <a:effectLst/>
                      </wps:spPr>
                      <wps:bodyPr/>
                    </wps:wsp>
                  </a:graphicData>
                </a:graphic>
              </wp:anchor>
            </w:drawing>
          </mc:Choice>
          <mc:Fallback>
            <w:pict>
              <v:line id="_x0000_s1026" o:spid="_x0000_s1026" o:spt="20" style="position:absolute;left:0pt;margin-left:0pt;margin-top:33pt;height:0pt;width:441pt;z-index:251661312;mso-width-relative:page;mso-height-relative:page;" filled="f" stroked="t" coordsize="21600,21600" o:gfxdata="UEsFBgAAAAAAAAAAAAAAAAAAAAAAAFBLAwQKAAAAAACHTuJAAAAAAAAAAAAAAAAABAAAAGRycy9Q&#10;SwMEFAAAAAgAh07iQLH46ZTUAAAABgEAAA8AAABkcnMvZG93bnJldi54bWxNj09Lw0AQxe+C32EZ&#10;wZvdtMgaYjZFRL0IFqvY6zQ7TYLZ2ZDdNu23d8SDPc2fN7z3m3J59L060Bi7wBbmswwUcR1cx42F&#10;z4/nmxxUTMgO+8Bk4UQRltXlRYmFCxO/02GdGiUmHAu00KY0FFrHuiWPcRYGYtF2YfSYZBwb7Uac&#10;xNz3epFlRnvsWBJaHOixpfp7vfcW8g1Oq6fuwdzWzcbs3k53L1+rV2uvr+bZPahEx/R/DL/4gg6V&#10;MG3Dnl1UvQV5JFkwRqqoeb6QZvu30FWpz/GrH1BLAwQUAAAACACHTuJAZkpQFOoBAAC6AwAADgAA&#10;AGRycy9lMm9Eb2MueG1srVPBbhMxEL0j8Q+W72Q3JS1olU0PicqlQKSWD5h4vVkL22PZTjb5CX4A&#10;iRucOHLv31A+g7E3CaVcemAPlscz82bem9np5c5otpU+KLQ1H49KzqQV2Ci7rvmH26sXrzkLEWwD&#10;Gq2s+V4Gfjl7/mzau0qeYYe6kZ4RiA1V72rexeiqogiikwbCCJ205GzRG4hk+nXReOgJ3ejirCwv&#10;ih594zwKGQK9LgYnPyD6pwBi2yohFyg2Rto4oHqpIRKl0CkX+Cx327ZSxPdtG2RkuubENOaTitB9&#10;lc5iNoVq7cF1ShxagKe08IiTAWWp6AlqARHYxqt/oIwSHgO2cSTQFAORrAixGJePtLnpwMnMhaQO&#10;7iR6+H+w4t126ZlqaBNecmbB0MTvP//4+enrr7svdN5//8bIQzL1LlQUPbdLn4iKnb1x1yg+BmZx&#10;3oFdy9zu7d4RxDhlFH+lJCM4Krbq32JDMbCJmDXbtd4kSFKD7fJo9qfRyF1kgh7PL8ryVUlTE0df&#10;AdUx0fkQ30g0LF1qrpVNqkEF2+sQUyNQHUPSs8UrpXWevLasr/lkMjnPCQG1apIzhQW/Xs21Z1tI&#10;u5O/zIo8D8M8bmwzFNE25cm8dofKR9aDfits9kt/lIZGmns7rF/amYd2FvDPLzf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FAAAAAgAh07iQIoUZjzRAAAAlAEAAAsAAAAAAAAAAQAgAAAAcwMA&#10;AF9yZWxzLy5yZWxzUEsBAhQAFAAAAAgAh07iQLH46ZTUAAAABgEAAA8AAAAAAAAAAQAgAAAAOAAA&#10;AGRycy9kb3ducmV2LnhtbFBLAQIUABQAAAAIAIdO4kBmSlAU6gEAALoDAAAOAAAAAAAAAAEAIAAA&#10;ADkBAABkcnMvZTJvRG9jLnhtbFBLAQIUAAoAAAAAAIdO4kAAAAAAAAAAAAAAAAAEAAAAAAAAAAAA&#10;EAAAABYAAABkcnMvUEsBAhQACgAAAAAAh07iQAAAAAAAAAAAAAAAAAYAAAAAAAAAAAAQAAAATwMA&#10;AF9yZWxzL1BLBQYAAAAABgAGAFkBAACVBQAAAAA=&#10;">
                <v:fill on="f" focussize="0,0"/>
                <v:stroke weight="0.35pt" color="#000000" joinstyle="round"/>
                <v:imagedata o:title=""/>
                <o:lock v:ext="edit" aspectratio="f"/>
              </v:line>
            </w:pict>
          </mc:Fallback>
        </mc:AlternateContent>
      </w:r>
      <w:r>
        <w:rPr>
          <w:rFonts w:hint="default" w:ascii="Times New Roman" w:hAnsi="Times New Roman" w:eastAsia="仿宋_GB2312" w:cs="Times New Roman"/>
          <w:sz w:val="28"/>
          <w:szCs w:val="28"/>
        </w:rPr>
        <w:t>株洲</w:t>
      </w:r>
      <w:r>
        <w:rPr>
          <w:rFonts w:hint="default" w:ascii="Times New Roman" w:hAnsi="Times New Roman" w:eastAsia="仿宋_GB2312" w:cs="Times New Roman"/>
          <w:sz w:val="28"/>
          <w:szCs w:val="28"/>
          <w:lang w:val="en-US" w:eastAsia="zh-CN"/>
        </w:rPr>
        <w:t>高新区管委会</w:t>
      </w:r>
      <w:r>
        <w:rPr>
          <w:rFonts w:hint="default" w:ascii="Times New Roman" w:hAnsi="Times New Roman" w:eastAsia="仿宋_GB2312" w:cs="Times New Roman"/>
          <w:sz w:val="28"/>
          <w:szCs w:val="28"/>
        </w:rPr>
        <w:t xml:space="preserve">办公室            </w:t>
      </w:r>
      <w:r>
        <w:rPr>
          <w:rFonts w:hint="default" w:ascii="Times New Roman" w:hAnsi="Times New Roman" w:eastAsia="仿宋_GB2312" w:cs="Times New Roman"/>
          <w:sz w:val="28"/>
          <w:szCs w:val="28"/>
          <w:lang w:val="en-US"/>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30</w:t>
      </w:r>
      <w:r>
        <w:rPr>
          <w:rFonts w:hint="default" w:ascii="Times New Roman" w:hAnsi="Times New Roman" w:eastAsia="仿宋_GB2312" w:cs="Times New Roman"/>
          <w:color w:val="auto"/>
          <w:sz w:val="28"/>
          <w:szCs w:val="28"/>
        </w:rPr>
        <w:t>日印</w:t>
      </w:r>
      <w:r>
        <w:rPr>
          <w:rFonts w:hint="default" w:ascii="Times New Roman" w:hAnsi="Times New Roman" w:eastAsia="仿宋_GB2312" w:cs="Times New Roman"/>
          <w:color w:val="auto"/>
          <w:sz w:val="28"/>
          <w:szCs w:val="28"/>
          <w:lang w:eastAsia="zh-CN"/>
        </w:rPr>
        <w:t>发</w:t>
      </w:r>
    </w:p>
    <w:sectPr>
      <w:headerReference r:id="rId3" w:type="default"/>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Arial Rounded MT Bold"/>
    <w:panose1 w:val="020F0302020204030204"/>
    <w:charset w:val="00"/>
    <w:family w:val="auto"/>
    <w:pitch w:val="default"/>
    <w:sig w:usb0="00000000" w:usb1="00000000" w:usb2="00000009" w:usb3="00000000" w:csb0="200001F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7641"/>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OGA044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ACEFA"/>
    <w:multiLevelType w:val="singleLevel"/>
    <w:tmpl w:val="1DEACEFA"/>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ODZmZGY1YzUxNjQyMGY3NDgxMDNjY2QzMTgyMzEifQ=="/>
  </w:docVars>
  <w:rsids>
    <w:rsidRoot w:val="45447245"/>
    <w:rsid w:val="00AA22FB"/>
    <w:rsid w:val="025E3CB5"/>
    <w:rsid w:val="03431F9E"/>
    <w:rsid w:val="072C0A51"/>
    <w:rsid w:val="07A64AE1"/>
    <w:rsid w:val="08B62A49"/>
    <w:rsid w:val="08F2252A"/>
    <w:rsid w:val="0A0A57FB"/>
    <w:rsid w:val="0C7B41AE"/>
    <w:rsid w:val="13034A12"/>
    <w:rsid w:val="151155BE"/>
    <w:rsid w:val="154E4A29"/>
    <w:rsid w:val="181056DF"/>
    <w:rsid w:val="18DA5C03"/>
    <w:rsid w:val="18E90931"/>
    <w:rsid w:val="1C541BA5"/>
    <w:rsid w:val="21591998"/>
    <w:rsid w:val="2436147F"/>
    <w:rsid w:val="2647669A"/>
    <w:rsid w:val="2BF5793D"/>
    <w:rsid w:val="2BFE20C0"/>
    <w:rsid w:val="31B260DA"/>
    <w:rsid w:val="31F81FDE"/>
    <w:rsid w:val="3340071C"/>
    <w:rsid w:val="3B4A44F0"/>
    <w:rsid w:val="3C5323F7"/>
    <w:rsid w:val="3C8019BC"/>
    <w:rsid w:val="3DEC48CF"/>
    <w:rsid w:val="3F4F7231"/>
    <w:rsid w:val="3FF90D08"/>
    <w:rsid w:val="44221B96"/>
    <w:rsid w:val="44C42A24"/>
    <w:rsid w:val="4504435D"/>
    <w:rsid w:val="45447245"/>
    <w:rsid w:val="497C7C92"/>
    <w:rsid w:val="51583EA3"/>
    <w:rsid w:val="518808B5"/>
    <w:rsid w:val="52EA7BC9"/>
    <w:rsid w:val="55C93441"/>
    <w:rsid w:val="570056A7"/>
    <w:rsid w:val="601C10EA"/>
    <w:rsid w:val="63BD9B95"/>
    <w:rsid w:val="657D569D"/>
    <w:rsid w:val="660D52D7"/>
    <w:rsid w:val="6D6F3466"/>
    <w:rsid w:val="6DA47341"/>
    <w:rsid w:val="6E0D0088"/>
    <w:rsid w:val="6E3C08A1"/>
    <w:rsid w:val="6F531605"/>
    <w:rsid w:val="70B4794E"/>
    <w:rsid w:val="75375BEA"/>
    <w:rsid w:val="772160EB"/>
    <w:rsid w:val="77DF3A38"/>
    <w:rsid w:val="786C5BD6"/>
    <w:rsid w:val="7E435A00"/>
    <w:rsid w:val="BFEBB380"/>
    <w:rsid w:val="D3FFE9FE"/>
    <w:rsid w:val="D7BE3196"/>
    <w:rsid w:val="F2F7447D"/>
    <w:rsid w:val="F4AF3750"/>
    <w:rsid w:val="FCEC2803"/>
    <w:rsid w:val="FF7DB947"/>
    <w:rsid w:val="FFFD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99"/>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正文文字"/>
    <w:basedOn w:val="1"/>
    <w:next w:val="1"/>
    <w:qFormat/>
    <w:uiPriority w:val="0"/>
    <w:pPr>
      <w:spacing w:after="120"/>
    </w:pPr>
    <w:rPr>
      <w:rFonts w:ascii="Times New Roman" w:hAnsi="Times New Roman" w:eastAsia="黑体" w:cs="Times New Roman"/>
    </w:rPr>
  </w:style>
  <w:style w:type="paragraph" w:customStyle="1" w:styleId="12">
    <w:name w:val="Body Text First Indent 21"/>
    <w:basedOn w:val="13"/>
    <w:next w:val="13"/>
    <w:qFormat/>
    <w:uiPriority w:val="0"/>
    <w:pPr>
      <w:ind w:left="0" w:firstLine="420"/>
    </w:pPr>
    <w:rPr>
      <w:rFonts w:ascii="仿宋_GB2312" w:eastAsia="仿宋_GB2312" w:cs="仿宋_GB2312"/>
      <w:sz w:val="32"/>
      <w:szCs w:val="32"/>
    </w:rPr>
  </w:style>
  <w:style w:type="paragraph" w:customStyle="1" w:styleId="13">
    <w:name w:val="Body Text First Indent1"/>
    <w:basedOn w:val="1"/>
    <w:next w:val="12"/>
    <w:qFormat/>
    <w:uiPriority w:val="0"/>
    <w:pPr>
      <w:ind w:firstLine="88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1314</Words>
  <Characters>1392</Characters>
  <Lines>0</Lines>
  <Paragraphs>0</Paragraphs>
  <TotalTime>6</TotalTime>
  <ScaleCrop>false</ScaleCrop>
  <LinksUpToDate>false</LinksUpToDate>
  <CharactersWithSpaces>1431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2022-10-29T19:07:00Z</dcterms:created>
  <dc:creator>Administrator</dc:creator>
  <cp:lastModifiedBy>greatwall</cp:lastModifiedBy>
  <cp:lastPrinted>2024-12-30T17:58:07Z</cp:lastPrinted>
  <dcterms:modified xsi:type="dcterms:W3CDTF">2024-12-30T17:59:24Z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2AE3440BDB594C67AD4369C87B74A092</vt:lpwstr>
  </property>
</Properties>
</file>