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C060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rPr>
          <w:rFonts w:hint="default" w:ascii="Times New Roman" w:hAnsi="Times New Roman" w:eastAsia="方正小标宋简体" w:cs="Times New Roman"/>
          <w:b w:val="0"/>
          <w:i w:val="0"/>
          <w:caps w:val="0"/>
          <w:color w:val="000000"/>
          <w:spacing w:val="0"/>
          <w:sz w:val="44"/>
          <w:szCs w:val="44"/>
          <w:shd w:val="clear" w:fill="FFFFFF"/>
          <w:lang w:val="en-US" w:eastAsia="zh-CN"/>
        </w:rPr>
      </w:pPr>
      <w:r>
        <w:rPr>
          <w:rFonts w:hint="eastAsia" w:ascii="Times New Roman" w:hAnsi="Times New Roman" w:eastAsia="方正小标宋简体" w:cs="Times New Roman"/>
          <w:b w:val="0"/>
          <w:i w:val="0"/>
          <w:caps w:val="0"/>
          <w:color w:val="000000"/>
          <w:spacing w:val="0"/>
          <w:sz w:val="44"/>
          <w:szCs w:val="44"/>
          <w:shd w:val="clear" w:fill="FFFFFF"/>
          <w:lang w:val="en-US" w:eastAsia="zh-CN"/>
        </w:rPr>
        <w:t>株洲</w:t>
      </w:r>
      <w:r>
        <w:rPr>
          <w:rFonts w:hint="default" w:ascii="Times New Roman" w:hAnsi="Times New Roman" w:eastAsia="方正小标宋简体" w:cs="Times New Roman"/>
          <w:b w:val="0"/>
          <w:i w:val="0"/>
          <w:caps w:val="0"/>
          <w:color w:val="000000"/>
          <w:spacing w:val="0"/>
          <w:sz w:val="44"/>
          <w:szCs w:val="44"/>
          <w:shd w:val="clear" w:fill="FFFFFF"/>
          <w:lang w:val="en-US" w:eastAsia="zh-CN"/>
        </w:rPr>
        <w:t>市城市管理</w:t>
      </w:r>
      <w:r>
        <w:rPr>
          <w:rFonts w:hint="eastAsia" w:ascii="Times New Roman" w:hAnsi="Times New Roman" w:eastAsia="方正小标宋简体" w:cs="Times New Roman"/>
          <w:b w:val="0"/>
          <w:i w:val="0"/>
          <w:caps w:val="0"/>
          <w:color w:val="000000"/>
          <w:spacing w:val="0"/>
          <w:sz w:val="44"/>
          <w:szCs w:val="44"/>
          <w:shd w:val="clear" w:fill="FFFFFF"/>
          <w:lang w:val="en-US" w:eastAsia="zh-CN"/>
        </w:rPr>
        <w:t>和综合</w:t>
      </w:r>
      <w:r>
        <w:rPr>
          <w:rFonts w:hint="default" w:ascii="Times New Roman" w:hAnsi="Times New Roman" w:eastAsia="方正小标宋简体" w:cs="Times New Roman"/>
          <w:b w:val="0"/>
          <w:i w:val="0"/>
          <w:caps w:val="0"/>
          <w:color w:val="000000"/>
          <w:spacing w:val="0"/>
          <w:sz w:val="44"/>
          <w:szCs w:val="44"/>
          <w:shd w:val="clear" w:fill="FFFFFF"/>
          <w:lang w:val="en-US" w:eastAsia="zh-CN"/>
        </w:rPr>
        <w:t>执法局</w:t>
      </w:r>
    </w:p>
    <w:p w14:paraId="7A4A17C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rPr>
          <w:rFonts w:hint="default" w:ascii="Times New Roman" w:hAnsi="Times New Roman" w:eastAsia="方正小标宋简体" w:cs="Times New Roman"/>
          <w:b w:val="0"/>
          <w:i w:val="0"/>
          <w:caps w:val="0"/>
          <w:color w:val="000000"/>
          <w:spacing w:val="0"/>
          <w:sz w:val="44"/>
          <w:szCs w:val="44"/>
          <w:shd w:val="clear" w:fill="FFFFFF"/>
          <w:lang w:val="en-US" w:eastAsia="zh-CN"/>
        </w:rPr>
      </w:pPr>
      <w:r>
        <w:rPr>
          <w:rFonts w:hint="default" w:ascii="Times New Roman" w:hAnsi="Times New Roman" w:eastAsia="方正小标宋简体" w:cs="Times New Roman"/>
          <w:b w:val="0"/>
          <w:i w:val="0"/>
          <w:caps w:val="0"/>
          <w:color w:val="000000"/>
          <w:spacing w:val="0"/>
          <w:sz w:val="44"/>
          <w:szCs w:val="44"/>
          <w:shd w:val="clear" w:fill="FFFFFF"/>
          <w:lang w:val="en-US" w:eastAsia="zh-CN"/>
        </w:rPr>
        <w:t>2021</w:t>
      </w:r>
      <w:r>
        <w:rPr>
          <w:rFonts w:hint="eastAsia" w:ascii="Times New Roman" w:hAnsi="Times New Roman" w:eastAsia="方正小标宋简体" w:cs="Times New Roman"/>
          <w:b w:val="0"/>
          <w:i w:val="0"/>
          <w:caps w:val="0"/>
          <w:color w:val="000000"/>
          <w:spacing w:val="0"/>
          <w:sz w:val="44"/>
          <w:szCs w:val="44"/>
          <w:shd w:val="clear" w:fill="FFFFFF"/>
          <w:lang w:val="en-US" w:eastAsia="zh-CN"/>
        </w:rPr>
        <w:t>年</w:t>
      </w:r>
      <w:r>
        <w:rPr>
          <w:rFonts w:hint="default" w:ascii="Times New Roman" w:hAnsi="Times New Roman" w:eastAsia="方正小标宋简体" w:cs="Times New Roman"/>
          <w:b w:val="0"/>
          <w:i w:val="0"/>
          <w:caps w:val="0"/>
          <w:color w:val="000000"/>
          <w:spacing w:val="0"/>
          <w:sz w:val="44"/>
          <w:szCs w:val="44"/>
          <w:shd w:val="clear" w:fill="FFFFFF"/>
          <w:lang w:val="en-US" w:eastAsia="zh-CN"/>
        </w:rPr>
        <w:t>重大行政决策事项目录</w:t>
      </w:r>
      <w:bookmarkStart w:id="0" w:name="_GoBack"/>
      <w:bookmarkEnd w:id="0"/>
    </w:p>
    <w:tbl>
      <w:tblPr>
        <w:tblStyle w:val="4"/>
        <w:tblW w:w="8895" w:type="dxa"/>
        <w:tblInd w:w="0" w:type="dxa"/>
        <w:shd w:val="clear" w:color="auto" w:fill="auto"/>
        <w:tblLayout w:type="autofit"/>
        <w:tblCellMar>
          <w:top w:w="0" w:type="dxa"/>
          <w:left w:w="0" w:type="dxa"/>
          <w:bottom w:w="0" w:type="dxa"/>
          <w:right w:w="0" w:type="dxa"/>
        </w:tblCellMar>
      </w:tblPr>
      <w:tblGrid>
        <w:gridCol w:w="642"/>
        <w:gridCol w:w="1060"/>
        <w:gridCol w:w="4706"/>
        <w:gridCol w:w="1409"/>
        <w:gridCol w:w="1078"/>
      </w:tblGrid>
      <w:tr w14:paraId="35423919">
        <w:tblPrEx>
          <w:shd w:val="clear" w:color="auto" w:fill="auto"/>
          <w:tblCellMar>
            <w:top w:w="0" w:type="dxa"/>
            <w:left w:w="0" w:type="dxa"/>
            <w:bottom w:w="0" w:type="dxa"/>
            <w:right w:w="0" w:type="dxa"/>
          </w:tblCellMar>
        </w:tblPrEx>
        <w:trPr>
          <w:trHeight w:val="315" w:hRule="atLeast"/>
        </w:trPr>
        <w:tc>
          <w:tcPr>
            <w:tcW w:w="642" w:type="dxa"/>
            <w:vMerge w:val="restart"/>
            <w:tcBorders>
              <w:top w:val="single" w:color="000000" w:sz="12" w:space="0"/>
              <w:left w:val="single" w:color="000000" w:sz="12" w:space="0"/>
              <w:bottom w:val="single" w:color="000000" w:sz="8" w:space="0"/>
              <w:right w:val="single" w:color="000000" w:sz="8" w:space="0"/>
            </w:tcBorders>
            <w:shd w:val="clear" w:color="auto" w:fill="FFFFFF"/>
            <w:tcMar>
              <w:top w:w="15" w:type="dxa"/>
              <w:left w:w="15" w:type="dxa"/>
              <w:right w:w="15" w:type="dxa"/>
            </w:tcMar>
            <w:vAlign w:val="center"/>
          </w:tcPr>
          <w:p w14:paraId="6F4D899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序号</w:t>
            </w:r>
          </w:p>
        </w:tc>
        <w:tc>
          <w:tcPr>
            <w:tcW w:w="1060" w:type="dxa"/>
            <w:tcBorders>
              <w:top w:val="single" w:color="000000" w:sz="12" w:space="0"/>
              <w:left w:val="nil"/>
              <w:bottom w:val="nil"/>
              <w:right w:val="single" w:color="000000" w:sz="8" w:space="0"/>
            </w:tcBorders>
            <w:shd w:val="clear" w:color="auto" w:fill="FFFFFF"/>
            <w:tcMar>
              <w:top w:w="15" w:type="dxa"/>
              <w:left w:w="15" w:type="dxa"/>
              <w:right w:w="15" w:type="dxa"/>
            </w:tcMar>
            <w:vAlign w:val="center"/>
          </w:tcPr>
          <w:p w14:paraId="39A6C9C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重大</w:t>
            </w:r>
          </w:p>
        </w:tc>
        <w:tc>
          <w:tcPr>
            <w:tcW w:w="4706" w:type="dxa"/>
            <w:vMerge w:val="restart"/>
            <w:tcBorders>
              <w:top w:val="single" w:color="000000" w:sz="12" w:space="0"/>
              <w:left w:val="nil"/>
              <w:bottom w:val="single" w:color="000000" w:sz="8" w:space="0"/>
              <w:right w:val="single" w:color="000000" w:sz="8" w:space="0"/>
            </w:tcBorders>
            <w:shd w:val="clear" w:color="auto" w:fill="FFFFFF"/>
            <w:tcMar>
              <w:top w:w="15" w:type="dxa"/>
              <w:left w:w="15" w:type="dxa"/>
              <w:right w:w="15" w:type="dxa"/>
            </w:tcMar>
            <w:vAlign w:val="center"/>
          </w:tcPr>
          <w:p w14:paraId="58CB737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具体事项名称</w:t>
            </w:r>
          </w:p>
        </w:tc>
        <w:tc>
          <w:tcPr>
            <w:tcW w:w="1409" w:type="dxa"/>
            <w:vMerge w:val="restart"/>
            <w:tcBorders>
              <w:top w:val="single" w:color="000000" w:sz="12" w:space="0"/>
              <w:left w:val="nil"/>
              <w:bottom w:val="single" w:color="000000" w:sz="8" w:space="0"/>
              <w:right w:val="single" w:color="000000" w:sz="8" w:space="0"/>
            </w:tcBorders>
            <w:shd w:val="clear" w:color="auto" w:fill="FFFFFF"/>
            <w:tcMar>
              <w:top w:w="15" w:type="dxa"/>
              <w:left w:w="15" w:type="dxa"/>
              <w:right w:w="15" w:type="dxa"/>
            </w:tcMar>
            <w:vAlign w:val="center"/>
          </w:tcPr>
          <w:p w14:paraId="27D7A0B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量化标准</w:t>
            </w:r>
          </w:p>
        </w:tc>
        <w:tc>
          <w:tcPr>
            <w:tcW w:w="1078" w:type="dxa"/>
            <w:vMerge w:val="restart"/>
            <w:tcBorders>
              <w:top w:val="single" w:color="000000" w:sz="12" w:space="0"/>
              <w:left w:val="nil"/>
              <w:bottom w:val="single" w:color="000000" w:sz="8" w:space="0"/>
              <w:right w:val="single" w:color="000000" w:sz="12" w:space="0"/>
            </w:tcBorders>
            <w:shd w:val="clear" w:color="auto" w:fill="FFFFFF"/>
            <w:tcMar>
              <w:top w:w="15" w:type="dxa"/>
              <w:left w:w="15" w:type="dxa"/>
              <w:right w:w="15" w:type="dxa"/>
            </w:tcMar>
            <w:vAlign w:val="center"/>
          </w:tcPr>
          <w:p w14:paraId="361414A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备注</w:t>
            </w:r>
          </w:p>
        </w:tc>
      </w:tr>
      <w:tr w14:paraId="3A7A0325">
        <w:tblPrEx>
          <w:tblCellMar>
            <w:top w:w="0" w:type="dxa"/>
            <w:left w:w="0" w:type="dxa"/>
            <w:bottom w:w="0" w:type="dxa"/>
            <w:right w:w="0" w:type="dxa"/>
          </w:tblCellMar>
        </w:tblPrEx>
        <w:trPr>
          <w:trHeight w:val="315" w:hRule="atLeast"/>
        </w:trPr>
        <w:tc>
          <w:tcPr>
            <w:tcW w:w="642" w:type="dxa"/>
            <w:vMerge w:val="continue"/>
            <w:tcBorders>
              <w:top w:val="single" w:color="000000" w:sz="12" w:space="0"/>
              <w:left w:val="single" w:color="000000" w:sz="12" w:space="0"/>
              <w:bottom w:val="single" w:color="000000" w:sz="8" w:space="0"/>
              <w:right w:val="single" w:color="000000" w:sz="8" w:space="0"/>
            </w:tcBorders>
            <w:shd w:val="clear" w:color="auto" w:fill="FFFFFF"/>
            <w:tcMar>
              <w:top w:w="15" w:type="dxa"/>
              <w:left w:w="15" w:type="dxa"/>
              <w:right w:w="15" w:type="dxa"/>
            </w:tcMar>
            <w:vAlign w:val="center"/>
          </w:tcPr>
          <w:p w14:paraId="5C853D78">
            <w:pPr>
              <w:jc w:val="center"/>
              <w:rPr>
                <w:rFonts w:hint="default" w:ascii="Times New Roman" w:hAnsi="Times New Roman" w:eastAsia="宋体" w:cs="Times New Roman"/>
                <w:i w:val="0"/>
                <w:color w:val="000000"/>
                <w:sz w:val="24"/>
                <w:szCs w:val="24"/>
                <w:u w:val="none"/>
              </w:rPr>
            </w:pPr>
          </w:p>
        </w:tc>
        <w:tc>
          <w:tcPr>
            <w:tcW w:w="1060" w:type="dxa"/>
            <w:tcBorders>
              <w:top w:val="nil"/>
              <w:left w:val="nil"/>
              <w:bottom w:val="nil"/>
              <w:right w:val="single" w:color="000000" w:sz="8" w:space="0"/>
            </w:tcBorders>
            <w:shd w:val="clear" w:color="auto" w:fill="FFFFFF"/>
            <w:tcMar>
              <w:top w:w="15" w:type="dxa"/>
              <w:left w:w="15" w:type="dxa"/>
              <w:right w:w="15" w:type="dxa"/>
            </w:tcMar>
            <w:vAlign w:val="center"/>
          </w:tcPr>
          <w:p w14:paraId="2D44D32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行政</w:t>
            </w:r>
          </w:p>
        </w:tc>
        <w:tc>
          <w:tcPr>
            <w:tcW w:w="4706" w:type="dxa"/>
            <w:vMerge w:val="continue"/>
            <w:tcBorders>
              <w:top w:val="single" w:color="000000" w:sz="12" w:space="0"/>
              <w:left w:val="nil"/>
              <w:bottom w:val="single" w:color="000000" w:sz="8" w:space="0"/>
              <w:right w:val="single" w:color="000000" w:sz="8" w:space="0"/>
            </w:tcBorders>
            <w:shd w:val="clear" w:color="auto" w:fill="FFFFFF"/>
            <w:tcMar>
              <w:top w:w="15" w:type="dxa"/>
              <w:left w:w="15" w:type="dxa"/>
              <w:right w:w="15" w:type="dxa"/>
            </w:tcMar>
            <w:vAlign w:val="center"/>
          </w:tcPr>
          <w:p w14:paraId="47AB7B47">
            <w:pPr>
              <w:jc w:val="center"/>
              <w:rPr>
                <w:rFonts w:hint="default" w:ascii="Times New Roman" w:hAnsi="Times New Roman" w:eastAsia="宋体" w:cs="Times New Roman"/>
                <w:i w:val="0"/>
                <w:color w:val="000000"/>
                <w:sz w:val="24"/>
                <w:szCs w:val="24"/>
                <w:u w:val="none"/>
              </w:rPr>
            </w:pPr>
          </w:p>
        </w:tc>
        <w:tc>
          <w:tcPr>
            <w:tcW w:w="1409" w:type="dxa"/>
            <w:vMerge w:val="continue"/>
            <w:tcBorders>
              <w:top w:val="single" w:color="000000" w:sz="12" w:space="0"/>
              <w:left w:val="nil"/>
              <w:bottom w:val="single" w:color="000000" w:sz="8" w:space="0"/>
              <w:right w:val="single" w:color="000000" w:sz="8" w:space="0"/>
            </w:tcBorders>
            <w:shd w:val="clear" w:color="auto" w:fill="FFFFFF"/>
            <w:tcMar>
              <w:top w:w="15" w:type="dxa"/>
              <w:left w:w="15" w:type="dxa"/>
              <w:right w:w="15" w:type="dxa"/>
            </w:tcMar>
            <w:vAlign w:val="center"/>
          </w:tcPr>
          <w:p w14:paraId="2E87D584">
            <w:pPr>
              <w:jc w:val="center"/>
              <w:rPr>
                <w:rFonts w:hint="default" w:ascii="Times New Roman" w:hAnsi="Times New Roman" w:eastAsia="宋体" w:cs="Times New Roman"/>
                <w:i w:val="0"/>
                <w:color w:val="000000"/>
                <w:sz w:val="24"/>
                <w:szCs w:val="24"/>
                <w:u w:val="none"/>
              </w:rPr>
            </w:pPr>
          </w:p>
        </w:tc>
        <w:tc>
          <w:tcPr>
            <w:tcW w:w="1078" w:type="dxa"/>
            <w:vMerge w:val="continue"/>
            <w:tcBorders>
              <w:top w:val="single" w:color="000000" w:sz="12" w:space="0"/>
              <w:left w:val="nil"/>
              <w:bottom w:val="single" w:color="000000" w:sz="8" w:space="0"/>
              <w:right w:val="single" w:color="000000" w:sz="12" w:space="0"/>
            </w:tcBorders>
            <w:shd w:val="clear" w:color="auto" w:fill="FFFFFF"/>
            <w:tcMar>
              <w:top w:w="15" w:type="dxa"/>
              <w:left w:w="15" w:type="dxa"/>
              <w:right w:w="15" w:type="dxa"/>
            </w:tcMar>
            <w:vAlign w:val="center"/>
          </w:tcPr>
          <w:p w14:paraId="3B268AEA">
            <w:pPr>
              <w:jc w:val="center"/>
              <w:rPr>
                <w:rFonts w:hint="default" w:ascii="Times New Roman" w:hAnsi="Times New Roman" w:eastAsia="宋体" w:cs="Times New Roman"/>
                <w:i w:val="0"/>
                <w:color w:val="000000"/>
                <w:sz w:val="24"/>
                <w:szCs w:val="24"/>
                <w:u w:val="none"/>
              </w:rPr>
            </w:pPr>
          </w:p>
        </w:tc>
      </w:tr>
      <w:tr w14:paraId="746ED9C3">
        <w:tblPrEx>
          <w:tblCellMar>
            <w:top w:w="0" w:type="dxa"/>
            <w:left w:w="0" w:type="dxa"/>
            <w:bottom w:w="0" w:type="dxa"/>
            <w:right w:w="0" w:type="dxa"/>
          </w:tblCellMar>
        </w:tblPrEx>
        <w:trPr>
          <w:trHeight w:val="315" w:hRule="atLeast"/>
        </w:trPr>
        <w:tc>
          <w:tcPr>
            <w:tcW w:w="642" w:type="dxa"/>
            <w:vMerge w:val="continue"/>
            <w:tcBorders>
              <w:top w:val="single" w:color="000000" w:sz="12" w:space="0"/>
              <w:left w:val="single" w:color="000000" w:sz="12" w:space="0"/>
              <w:bottom w:val="single" w:color="000000" w:sz="8" w:space="0"/>
              <w:right w:val="single" w:color="000000" w:sz="8" w:space="0"/>
            </w:tcBorders>
            <w:shd w:val="clear" w:color="auto" w:fill="FFFFFF"/>
            <w:tcMar>
              <w:top w:w="15" w:type="dxa"/>
              <w:left w:w="15" w:type="dxa"/>
              <w:right w:w="15" w:type="dxa"/>
            </w:tcMar>
            <w:vAlign w:val="center"/>
          </w:tcPr>
          <w:p w14:paraId="3574C9E9">
            <w:pPr>
              <w:jc w:val="center"/>
              <w:rPr>
                <w:rFonts w:hint="default" w:ascii="Times New Roman" w:hAnsi="Times New Roman" w:eastAsia="宋体" w:cs="Times New Roman"/>
                <w:i w:val="0"/>
                <w:color w:val="000000"/>
                <w:sz w:val="24"/>
                <w:szCs w:val="24"/>
                <w:u w:val="none"/>
              </w:rPr>
            </w:pPr>
          </w:p>
        </w:tc>
        <w:tc>
          <w:tcPr>
            <w:tcW w:w="1060" w:type="dxa"/>
            <w:tcBorders>
              <w:top w:val="nil"/>
              <w:left w:val="nil"/>
              <w:bottom w:val="nil"/>
              <w:right w:val="single" w:color="000000" w:sz="8" w:space="0"/>
            </w:tcBorders>
            <w:shd w:val="clear" w:color="auto" w:fill="FFFFFF"/>
            <w:tcMar>
              <w:top w:w="15" w:type="dxa"/>
              <w:left w:w="15" w:type="dxa"/>
              <w:right w:w="15" w:type="dxa"/>
            </w:tcMar>
            <w:vAlign w:val="center"/>
          </w:tcPr>
          <w:p w14:paraId="3AB7114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决策</w:t>
            </w:r>
          </w:p>
        </w:tc>
        <w:tc>
          <w:tcPr>
            <w:tcW w:w="4706" w:type="dxa"/>
            <w:vMerge w:val="continue"/>
            <w:tcBorders>
              <w:top w:val="single" w:color="000000" w:sz="12" w:space="0"/>
              <w:left w:val="nil"/>
              <w:bottom w:val="single" w:color="000000" w:sz="8" w:space="0"/>
              <w:right w:val="single" w:color="000000" w:sz="8" w:space="0"/>
            </w:tcBorders>
            <w:shd w:val="clear" w:color="auto" w:fill="FFFFFF"/>
            <w:tcMar>
              <w:top w:w="15" w:type="dxa"/>
              <w:left w:w="15" w:type="dxa"/>
              <w:right w:w="15" w:type="dxa"/>
            </w:tcMar>
            <w:vAlign w:val="center"/>
          </w:tcPr>
          <w:p w14:paraId="5314C535">
            <w:pPr>
              <w:jc w:val="center"/>
              <w:rPr>
                <w:rFonts w:hint="default" w:ascii="Times New Roman" w:hAnsi="Times New Roman" w:eastAsia="宋体" w:cs="Times New Roman"/>
                <w:i w:val="0"/>
                <w:color w:val="000000"/>
                <w:sz w:val="24"/>
                <w:szCs w:val="24"/>
                <w:u w:val="none"/>
              </w:rPr>
            </w:pPr>
          </w:p>
        </w:tc>
        <w:tc>
          <w:tcPr>
            <w:tcW w:w="1409" w:type="dxa"/>
            <w:vMerge w:val="continue"/>
            <w:tcBorders>
              <w:top w:val="single" w:color="000000" w:sz="12" w:space="0"/>
              <w:left w:val="nil"/>
              <w:bottom w:val="single" w:color="000000" w:sz="8" w:space="0"/>
              <w:right w:val="single" w:color="000000" w:sz="8" w:space="0"/>
            </w:tcBorders>
            <w:shd w:val="clear" w:color="auto" w:fill="FFFFFF"/>
            <w:tcMar>
              <w:top w:w="15" w:type="dxa"/>
              <w:left w:w="15" w:type="dxa"/>
              <w:right w:w="15" w:type="dxa"/>
            </w:tcMar>
            <w:vAlign w:val="center"/>
          </w:tcPr>
          <w:p w14:paraId="2035B757">
            <w:pPr>
              <w:jc w:val="center"/>
              <w:rPr>
                <w:rFonts w:hint="default" w:ascii="Times New Roman" w:hAnsi="Times New Roman" w:eastAsia="宋体" w:cs="Times New Roman"/>
                <w:i w:val="0"/>
                <w:color w:val="000000"/>
                <w:sz w:val="24"/>
                <w:szCs w:val="24"/>
                <w:u w:val="none"/>
              </w:rPr>
            </w:pPr>
          </w:p>
        </w:tc>
        <w:tc>
          <w:tcPr>
            <w:tcW w:w="1078" w:type="dxa"/>
            <w:vMerge w:val="continue"/>
            <w:tcBorders>
              <w:top w:val="single" w:color="000000" w:sz="12" w:space="0"/>
              <w:left w:val="nil"/>
              <w:bottom w:val="single" w:color="000000" w:sz="8" w:space="0"/>
              <w:right w:val="single" w:color="000000" w:sz="12" w:space="0"/>
            </w:tcBorders>
            <w:shd w:val="clear" w:color="auto" w:fill="FFFFFF"/>
            <w:tcMar>
              <w:top w:w="15" w:type="dxa"/>
              <w:left w:w="15" w:type="dxa"/>
              <w:right w:w="15" w:type="dxa"/>
            </w:tcMar>
            <w:vAlign w:val="center"/>
          </w:tcPr>
          <w:p w14:paraId="7EAEBC5E">
            <w:pPr>
              <w:jc w:val="center"/>
              <w:rPr>
                <w:rFonts w:hint="default" w:ascii="Times New Roman" w:hAnsi="Times New Roman" w:eastAsia="宋体" w:cs="Times New Roman"/>
                <w:i w:val="0"/>
                <w:color w:val="000000"/>
                <w:sz w:val="24"/>
                <w:szCs w:val="24"/>
                <w:u w:val="none"/>
              </w:rPr>
            </w:pPr>
          </w:p>
        </w:tc>
      </w:tr>
      <w:tr w14:paraId="2F3D173F">
        <w:tblPrEx>
          <w:tblCellMar>
            <w:top w:w="0" w:type="dxa"/>
            <w:left w:w="0" w:type="dxa"/>
            <w:bottom w:w="0" w:type="dxa"/>
            <w:right w:w="0" w:type="dxa"/>
          </w:tblCellMar>
        </w:tblPrEx>
        <w:trPr>
          <w:trHeight w:val="315" w:hRule="atLeast"/>
        </w:trPr>
        <w:tc>
          <w:tcPr>
            <w:tcW w:w="642" w:type="dxa"/>
            <w:vMerge w:val="continue"/>
            <w:tcBorders>
              <w:top w:val="single" w:color="000000" w:sz="12" w:space="0"/>
              <w:left w:val="single" w:color="000000" w:sz="12" w:space="0"/>
              <w:bottom w:val="single" w:color="000000" w:sz="8" w:space="0"/>
              <w:right w:val="single" w:color="000000" w:sz="8" w:space="0"/>
            </w:tcBorders>
            <w:shd w:val="clear" w:color="auto" w:fill="FFFFFF"/>
            <w:tcMar>
              <w:top w:w="15" w:type="dxa"/>
              <w:left w:w="15" w:type="dxa"/>
              <w:right w:w="15" w:type="dxa"/>
            </w:tcMar>
            <w:vAlign w:val="center"/>
          </w:tcPr>
          <w:p w14:paraId="695CA206">
            <w:pPr>
              <w:jc w:val="center"/>
              <w:rPr>
                <w:rFonts w:hint="default" w:ascii="Times New Roman" w:hAnsi="Times New Roman" w:eastAsia="宋体" w:cs="Times New Roman"/>
                <w:i w:val="0"/>
                <w:color w:val="000000"/>
                <w:sz w:val="24"/>
                <w:szCs w:val="24"/>
                <w:u w:val="none"/>
              </w:rPr>
            </w:pPr>
          </w:p>
        </w:tc>
        <w:tc>
          <w:tcPr>
            <w:tcW w:w="106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0FFA33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内容</w:t>
            </w:r>
          </w:p>
        </w:tc>
        <w:tc>
          <w:tcPr>
            <w:tcW w:w="4706" w:type="dxa"/>
            <w:vMerge w:val="continue"/>
            <w:tcBorders>
              <w:top w:val="single" w:color="000000" w:sz="12" w:space="0"/>
              <w:left w:val="nil"/>
              <w:bottom w:val="single" w:color="000000" w:sz="8" w:space="0"/>
              <w:right w:val="single" w:color="000000" w:sz="8" w:space="0"/>
            </w:tcBorders>
            <w:shd w:val="clear" w:color="auto" w:fill="FFFFFF"/>
            <w:tcMar>
              <w:top w:w="15" w:type="dxa"/>
              <w:left w:w="15" w:type="dxa"/>
              <w:right w:w="15" w:type="dxa"/>
            </w:tcMar>
            <w:vAlign w:val="center"/>
          </w:tcPr>
          <w:p w14:paraId="20DA54C1">
            <w:pPr>
              <w:jc w:val="center"/>
              <w:rPr>
                <w:rFonts w:hint="default" w:ascii="Times New Roman" w:hAnsi="Times New Roman" w:eastAsia="宋体" w:cs="Times New Roman"/>
                <w:i w:val="0"/>
                <w:color w:val="000000"/>
                <w:sz w:val="24"/>
                <w:szCs w:val="24"/>
                <w:u w:val="none"/>
              </w:rPr>
            </w:pPr>
          </w:p>
        </w:tc>
        <w:tc>
          <w:tcPr>
            <w:tcW w:w="1409" w:type="dxa"/>
            <w:vMerge w:val="continue"/>
            <w:tcBorders>
              <w:top w:val="single" w:color="000000" w:sz="12" w:space="0"/>
              <w:left w:val="nil"/>
              <w:bottom w:val="single" w:color="000000" w:sz="8" w:space="0"/>
              <w:right w:val="single" w:color="000000" w:sz="8" w:space="0"/>
            </w:tcBorders>
            <w:shd w:val="clear" w:color="auto" w:fill="FFFFFF"/>
            <w:tcMar>
              <w:top w:w="15" w:type="dxa"/>
              <w:left w:w="15" w:type="dxa"/>
              <w:right w:w="15" w:type="dxa"/>
            </w:tcMar>
            <w:vAlign w:val="center"/>
          </w:tcPr>
          <w:p w14:paraId="1F39B0D1">
            <w:pPr>
              <w:jc w:val="center"/>
              <w:rPr>
                <w:rFonts w:hint="default" w:ascii="Times New Roman" w:hAnsi="Times New Roman" w:eastAsia="宋体" w:cs="Times New Roman"/>
                <w:i w:val="0"/>
                <w:color w:val="000000"/>
                <w:sz w:val="24"/>
                <w:szCs w:val="24"/>
                <w:u w:val="none"/>
              </w:rPr>
            </w:pPr>
          </w:p>
        </w:tc>
        <w:tc>
          <w:tcPr>
            <w:tcW w:w="1078" w:type="dxa"/>
            <w:vMerge w:val="continue"/>
            <w:tcBorders>
              <w:top w:val="single" w:color="000000" w:sz="12" w:space="0"/>
              <w:left w:val="nil"/>
              <w:bottom w:val="single" w:color="000000" w:sz="8" w:space="0"/>
              <w:right w:val="single" w:color="000000" w:sz="12" w:space="0"/>
            </w:tcBorders>
            <w:shd w:val="clear" w:color="auto" w:fill="FFFFFF"/>
            <w:tcMar>
              <w:top w:w="15" w:type="dxa"/>
              <w:left w:w="15" w:type="dxa"/>
              <w:right w:w="15" w:type="dxa"/>
            </w:tcMar>
            <w:vAlign w:val="center"/>
          </w:tcPr>
          <w:p w14:paraId="7A27AA46">
            <w:pPr>
              <w:jc w:val="center"/>
              <w:rPr>
                <w:rFonts w:hint="default" w:ascii="Times New Roman" w:hAnsi="Times New Roman" w:eastAsia="宋体" w:cs="Times New Roman"/>
                <w:i w:val="0"/>
                <w:color w:val="000000"/>
                <w:sz w:val="24"/>
                <w:szCs w:val="24"/>
                <w:u w:val="none"/>
              </w:rPr>
            </w:pPr>
          </w:p>
        </w:tc>
      </w:tr>
      <w:tr w14:paraId="7549CD89">
        <w:tblPrEx>
          <w:tblCellMar>
            <w:top w:w="0" w:type="dxa"/>
            <w:left w:w="0" w:type="dxa"/>
            <w:bottom w:w="0" w:type="dxa"/>
            <w:right w:w="0" w:type="dxa"/>
          </w:tblCellMar>
        </w:tblPrEx>
        <w:trPr>
          <w:trHeight w:val="870" w:hRule="atLeast"/>
        </w:trPr>
        <w:tc>
          <w:tcPr>
            <w:tcW w:w="642" w:type="dxa"/>
            <w:vMerge w:val="restart"/>
            <w:tcBorders>
              <w:top w:val="nil"/>
              <w:left w:val="single" w:color="000000" w:sz="12" w:space="0"/>
              <w:bottom w:val="single" w:color="000000" w:sz="8" w:space="0"/>
              <w:right w:val="single" w:color="000000" w:sz="8" w:space="0"/>
            </w:tcBorders>
            <w:shd w:val="clear" w:color="auto" w:fill="FFFFFF"/>
            <w:tcMar>
              <w:top w:w="15" w:type="dxa"/>
              <w:left w:w="15" w:type="dxa"/>
              <w:right w:w="15" w:type="dxa"/>
            </w:tcMar>
            <w:vAlign w:val="center"/>
          </w:tcPr>
          <w:p w14:paraId="56DF261C">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060" w:type="dxa"/>
            <w:tcBorders>
              <w:top w:val="nil"/>
              <w:left w:val="nil"/>
              <w:bottom w:val="nil"/>
              <w:right w:val="single" w:color="000000" w:sz="8" w:space="0"/>
            </w:tcBorders>
            <w:shd w:val="clear" w:color="auto" w:fill="FFFFFF"/>
            <w:tcMar>
              <w:top w:w="15" w:type="dxa"/>
              <w:left w:w="15" w:type="dxa"/>
              <w:right w:w="15" w:type="dxa"/>
            </w:tcMar>
            <w:vAlign w:val="center"/>
          </w:tcPr>
          <w:p w14:paraId="5257FB43">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重大</w:t>
            </w:r>
          </w:p>
        </w:tc>
        <w:tc>
          <w:tcPr>
            <w:tcW w:w="470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385348A">
            <w:pPr>
              <w:keepNext w:val="0"/>
              <w:keepLines w:val="0"/>
              <w:widowControl/>
              <w:suppressLineNumbers w:val="0"/>
              <w:jc w:val="both"/>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1．贯彻执行党的路线方针政策、党和国家重要法律法规以及上级党组织的重大决策、重大工作部署的意见及措施。</w:t>
            </w:r>
          </w:p>
        </w:tc>
        <w:tc>
          <w:tcPr>
            <w:tcW w:w="1409"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05E153EA">
            <w:pPr>
              <w:jc w:val="both"/>
              <w:rPr>
                <w:rFonts w:hint="default" w:ascii="Times New Roman" w:hAnsi="Times New Roman" w:eastAsia="宋体" w:cs="Times New Roman"/>
                <w:i w:val="0"/>
                <w:color w:val="000000"/>
                <w:sz w:val="24"/>
                <w:szCs w:val="24"/>
                <w:u w:val="none"/>
              </w:rPr>
            </w:pPr>
          </w:p>
        </w:tc>
        <w:tc>
          <w:tcPr>
            <w:tcW w:w="1078" w:type="dxa"/>
            <w:vMerge w:val="restart"/>
            <w:tcBorders>
              <w:top w:val="nil"/>
              <w:left w:val="nil"/>
              <w:bottom w:val="single" w:color="000000" w:sz="12" w:space="0"/>
              <w:right w:val="single" w:color="000000" w:sz="12" w:space="0"/>
            </w:tcBorders>
            <w:shd w:val="clear" w:color="auto" w:fill="FFFFFF"/>
            <w:tcMar>
              <w:top w:w="15" w:type="dxa"/>
              <w:left w:w="15" w:type="dxa"/>
              <w:right w:w="15" w:type="dxa"/>
            </w:tcMar>
            <w:vAlign w:val="top"/>
          </w:tcPr>
          <w:p w14:paraId="63F79AF4">
            <w:pPr>
              <w:keepNext w:val="0"/>
              <w:keepLines w:val="0"/>
              <w:widowControl/>
              <w:suppressLineNumbers w:val="0"/>
              <w:jc w:val="both"/>
              <w:textAlignment w:val="top"/>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具体原则、程序按照《株洲市城管执法局党组“三重一大”事项集体决策制度实施办法》和《重大行政决策听证事项听证制度》执行。</w:t>
            </w:r>
          </w:p>
        </w:tc>
      </w:tr>
      <w:tr w14:paraId="2A54F72B">
        <w:tblPrEx>
          <w:tblCellMar>
            <w:top w:w="0" w:type="dxa"/>
            <w:left w:w="0" w:type="dxa"/>
            <w:bottom w:w="0" w:type="dxa"/>
            <w:right w:w="0" w:type="dxa"/>
          </w:tblCellMar>
        </w:tblPrEx>
        <w:trPr>
          <w:trHeight w:val="585" w:hRule="atLeast"/>
        </w:trPr>
        <w:tc>
          <w:tcPr>
            <w:tcW w:w="642" w:type="dxa"/>
            <w:vMerge w:val="continue"/>
            <w:tcBorders>
              <w:top w:val="nil"/>
              <w:left w:val="single" w:color="000000" w:sz="12" w:space="0"/>
              <w:bottom w:val="single" w:color="000000" w:sz="8" w:space="0"/>
              <w:right w:val="single" w:color="000000" w:sz="8" w:space="0"/>
            </w:tcBorders>
            <w:shd w:val="clear" w:color="auto" w:fill="FFFFFF"/>
            <w:tcMar>
              <w:top w:w="15" w:type="dxa"/>
              <w:left w:w="15" w:type="dxa"/>
              <w:right w:w="15" w:type="dxa"/>
            </w:tcMar>
            <w:vAlign w:val="center"/>
          </w:tcPr>
          <w:p w14:paraId="0C8771EF">
            <w:pPr>
              <w:jc w:val="center"/>
              <w:rPr>
                <w:rFonts w:hint="default" w:ascii="Times New Roman" w:hAnsi="Times New Roman" w:eastAsia="宋体" w:cs="Times New Roman"/>
                <w:i w:val="0"/>
                <w:color w:val="000000"/>
                <w:sz w:val="21"/>
                <w:szCs w:val="21"/>
                <w:u w:val="none"/>
              </w:rPr>
            </w:pPr>
          </w:p>
        </w:tc>
        <w:tc>
          <w:tcPr>
            <w:tcW w:w="1060" w:type="dxa"/>
            <w:tcBorders>
              <w:top w:val="nil"/>
              <w:left w:val="nil"/>
              <w:bottom w:val="nil"/>
              <w:right w:val="single" w:color="000000" w:sz="8" w:space="0"/>
            </w:tcBorders>
            <w:shd w:val="clear" w:color="auto" w:fill="FFFFFF"/>
            <w:tcMar>
              <w:top w:w="15" w:type="dxa"/>
              <w:left w:w="15" w:type="dxa"/>
              <w:right w:w="15" w:type="dxa"/>
            </w:tcMar>
            <w:vAlign w:val="center"/>
          </w:tcPr>
          <w:p w14:paraId="798C7453">
            <w:pPr>
              <w:jc w:val="center"/>
              <w:rPr>
                <w:rFonts w:hint="default" w:ascii="Times New Roman" w:hAnsi="Times New Roman" w:eastAsia="宋体" w:cs="Times New Roman"/>
                <w:i w:val="0"/>
                <w:color w:val="000000"/>
                <w:sz w:val="21"/>
                <w:szCs w:val="21"/>
                <w:u w:val="none"/>
              </w:rPr>
            </w:pPr>
          </w:p>
        </w:tc>
        <w:tc>
          <w:tcPr>
            <w:tcW w:w="470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DEEDF95">
            <w:pPr>
              <w:keepNext w:val="0"/>
              <w:keepLines w:val="0"/>
              <w:widowControl/>
              <w:suppressLineNumbers w:val="0"/>
              <w:jc w:val="both"/>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2．涉及全局性的机制、体制、制度改革方面的重大事项。</w:t>
            </w:r>
          </w:p>
        </w:tc>
        <w:tc>
          <w:tcPr>
            <w:tcW w:w="1409"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519DE8B1">
            <w:pPr>
              <w:jc w:val="both"/>
              <w:rPr>
                <w:rFonts w:hint="default" w:ascii="Times New Roman" w:hAnsi="Times New Roman" w:eastAsia="宋体" w:cs="Times New Roman"/>
                <w:i w:val="0"/>
                <w:color w:val="000000"/>
                <w:sz w:val="24"/>
                <w:szCs w:val="24"/>
                <w:u w:val="none"/>
              </w:rPr>
            </w:pPr>
          </w:p>
        </w:tc>
        <w:tc>
          <w:tcPr>
            <w:tcW w:w="1078" w:type="dxa"/>
            <w:vMerge w:val="continue"/>
            <w:tcBorders>
              <w:top w:val="nil"/>
              <w:left w:val="nil"/>
              <w:bottom w:val="single" w:color="000000" w:sz="12" w:space="0"/>
              <w:right w:val="single" w:color="000000" w:sz="12" w:space="0"/>
            </w:tcBorders>
            <w:shd w:val="clear" w:color="auto" w:fill="FFFFFF"/>
            <w:tcMar>
              <w:top w:w="15" w:type="dxa"/>
              <w:left w:w="15" w:type="dxa"/>
              <w:right w:w="15" w:type="dxa"/>
            </w:tcMar>
            <w:vAlign w:val="top"/>
          </w:tcPr>
          <w:p w14:paraId="7E9055A4">
            <w:pPr>
              <w:jc w:val="both"/>
              <w:rPr>
                <w:rFonts w:hint="default" w:ascii="Times New Roman" w:hAnsi="Times New Roman" w:eastAsia="仿宋" w:cs="Times New Roman"/>
                <w:i w:val="0"/>
                <w:color w:val="000000"/>
                <w:sz w:val="24"/>
                <w:szCs w:val="24"/>
                <w:u w:val="none"/>
              </w:rPr>
            </w:pPr>
          </w:p>
        </w:tc>
      </w:tr>
      <w:tr w14:paraId="22AD3930">
        <w:tblPrEx>
          <w:tblCellMar>
            <w:top w:w="0" w:type="dxa"/>
            <w:left w:w="0" w:type="dxa"/>
            <w:bottom w:w="0" w:type="dxa"/>
            <w:right w:w="0" w:type="dxa"/>
          </w:tblCellMar>
        </w:tblPrEx>
        <w:trPr>
          <w:trHeight w:val="585" w:hRule="atLeast"/>
        </w:trPr>
        <w:tc>
          <w:tcPr>
            <w:tcW w:w="642" w:type="dxa"/>
            <w:vMerge w:val="continue"/>
            <w:tcBorders>
              <w:top w:val="nil"/>
              <w:left w:val="single" w:color="000000" w:sz="12" w:space="0"/>
              <w:bottom w:val="single" w:color="000000" w:sz="8" w:space="0"/>
              <w:right w:val="single" w:color="000000" w:sz="8" w:space="0"/>
            </w:tcBorders>
            <w:shd w:val="clear" w:color="auto" w:fill="FFFFFF"/>
            <w:tcMar>
              <w:top w:w="15" w:type="dxa"/>
              <w:left w:w="15" w:type="dxa"/>
              <w:right w:w="15" w:type="dxa"/>
            </w:tcMar>
            <w:vAlign w:val="center"/>
          </w:tcPr>
          <w:p w14:paraId="7ECFA753">
            <w:pPr>
              <w:jc w:val="center"/>
              <w:rPr>
                <w:rFonts w:hint="default" w:ascii="Times New Roman" w:hAnsi="Times New Roman" w:eastAsia="宋体" w:cs="Times New Roman"/>
                <w:i w:val="0"/>
                <w:color w:val="000000"/>
                <w:sz w:val="21"/>
                <w:szCs w:val="21"/>
                <w:u w:val="none"/>
              </w:rPr>
            </w:pPr>
          </w:p>
        </w:tc>
        <w:tc>
          <w:tcPr>
            <w:tcW w:w="1060" w:type="dxa"/>
            <w:tcBorders>
              <w:top w:val="nil"/>
              <w:left w:val="nil"/>
              <w:bottom w:val="nil"/>
              <w:right w:val="single" w:color="000000" w:sz="8" w:space="0"/>
            </w:tcBorders>
            <w:shd w:val="clear" w:color="auto" w:fill="FFFFFF"/>
            <w:tcMar>
              <w:top w:w="15" w:type="dxa"/>
              <w:left w:w="15" w:type="dxa"/>
              <w:right w:w="15" w:type="dxa"/>
            </w:tcMar>
            <w:vAlign w:val="center"/>
          </w:tcPr>
          <w:p w14:paraId="5ABA58A5">
            <w:pPr>
              <w:jc w:val="center"/>
              <w:rPr>
                <w:rFonts w:hint="default" w:ascii="Times New Roman" w:hAnsi="Times New Roman" w:eastAsia="宋体" w:cs="Times New Roman"/>
                <w:i w:val="0"/>
                <w:color w:val="000000"/>
                <w:sz w:val="21"/>
                <w:szCs w:val="21"/>
                <w:u w:val="none"/>
              </w:rPr>
            </w:pPr>
          </w:p>
        </w:tc>
        <w:tc>
          <w:tcPr>
            <w:tcW w:w="470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7236FDF">
            <w:pPr>
              <w:keepNext w:val="0"/>
              <w:keepLines w:val="0"/>
              <w:widowControl/>
              <w:suppressLineNumbers w:val="0"/>
              <w:jc w:val="both"/>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3．经济社会发展方面的重大事项以及涉及干部群众切身利益的重大问题。</w:t>
            </w:r>
          </w:p>
        </w:tc>
        <w:tc>
          <w:tcPr>
            <w:tcW w:w="1409"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69967713">
            <w:pPr>
              <w:jc w:val="both"/>
              <w:rPr>
                <w:rFonts w:hint="default" w:ascii="Times New Roman" w:hAnsi="Times New Roman" w:eastAsia="宋体" w:cs="Times New Roman"/>
                <w:i w:val="0"/>
                <w:color w:val="000000"/>
                <w:sz w:val="24"/>
                <w:szCs w:val="24"/>
                <w:u w:val="none"/>
              </w:rPr>
            </w:pPr>
          </w:p>
        </w:tc>
        <w:tc>
          <w:tcPr>
            <w:tcW w:w="1078" w:type="dxa"/>
            <w:vMerge w:val="continue"/>
            <w:tcBorders>
              <w:top w:val="nil"/>
              <w:left w:val="nil"/>
              <w:bottom w:val="single" w:color="000000" w:sz="12" w:space="0"/>
              <w:right w:val="single" w:color="000000" w:sz="12" w:space="0"/>
            </w:tcBorders>
            <w:shd w:val="clear" w:color="auto" w:fill="FFFFFF"/>
            <w:tcMar>
              <w:top w:w="15" w:type="dxa"/>
              <w:left w:w="15" w:type="dxa"/>
              <w:right w:w="15" w:type="dxa"/>
            </w:tcMar>
            <w:vAlign w:val="top"/>
          </w:tcPr>
          <w:p w14:paraId="716FA729">
            <w:pPr>
              <w:jc w:val="both"/>
              <w:rPr>
                <w:rFonts w:hint="default" w:ascii="Times New Roman" w:hAnsi="Times New Roman" w:eastAsia="仿宋" w:cs="Times New Roman"/>
                <w:i w:val="0"/>
                <w:color w:val="000000"/>
                <w:sz w:val="24"/>
                <w:szCs w:val="24"/>
                <w:u w:val="none"/>
              </w:rPr>
            </w:pPr>
          </w:p>
        </w:tc>
      </w:tr>
      <w:tr w14:paraId="569DF677">
        <w:tblPrEx>
          <w:tblCellMar>
            <w:top w:w="0" w:type="dxa"/>
            <w:left w:w="0" w:type="dxa"/>
            <w:bottom w:w="0" w:type="dxa"/>
            <w:right w:w="0" w:type="dxa"/>
          </w:tblCellMar>
        </w:tblPrEx>
        <w:trPr>
          <w:trHeight w:val="330" w:hRule="atLeast"/>
        </w:trPr>
        <w:tc>
          <w:tcPr>
            <w:tcW w:w="642" w:type="dxa"/>
            <w:vMerge w:val="continue"/>
            <w:tcBorders>
              <w:top w:val="nil"/>
              <w:left w:val="single" w:color="000000" w:sz="12" w:space="0"/>
              <w:bottom w:val="single" w:color="000000" w:sz="8" w:space="0"/>
              <w:right w:val="single" w:color="000000" w:sz="8" w:space="0"/>
            </w:tcBorders>
            <w:shd w:val="clear" w:color="auto" w:fill="FFFFFF"/>
            <w:tcMar>
              <w:top w:w="15" w:type="dxa"/>
              <w:left w:w="15" w:type="dxa"/>
              <w:right w:w="15" w:type="dxa"/>
            </w:tcMar>
            <w:vAlign w:val="center"/>
          </w:tcPr>
          <w:p w14:paraId="5A2CCC0F">
            <w:pPr>
              <w:jc w:val="center"/>
              <w:rPr>
                <w:rFonts w:hint="default" w:ascii="Times New Roman" w:hAnsi="Times New Roman" w:eastAsia="宋体" w:cs="Times New Roman"/>
                <w:i w:val="0"/>
                <w:color w:val="000000"/>
                <w:sz w:val="21"/>
                <w:szCs w:val="21"/>
                <w:u w:val="none"/>
              </w:rPr>
            </w:pPr>
          </w:p>
        </w:tc>
        <w:tc>
          <w:tcPr>
            <w:tcW w:w="1060" w:type="dxa"/>
            <w:tcBorders>
              <w:top w:val="nil"/>
              <w:left w:val="nil"/>
              <w:bottom w:val="nil"/>
              <w:right w:val="single" w:color="000000" w:sz="8" w:space="0"/>
            </w:tcBorders>
            <w:shd w:val="clear" w:color="auto" w:fill="FFFFFF"/>
            <w:tcMar>
              <w:top w:w="15" w:type="dxa"/>
              <w:left w:w="15" w:type="dxa"/>
              <w:right w:w="15" w:type="dxa"/>
            </w:tcMar>
            <w:vAlign w:val="center"/>
          </w:tcPr>
          <w:p w14:paraId="3BA6E3ED">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事项</w:t>
            </w:r>
          </w:p>
        </w:tc>
        <w:tc>
          <w:tcPr>
            <w:tcW w:w="470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70B3533">
            <w:pPr>
              <w:keepNext w:val="0"/>
              <w:keepLines w:val="0"/>
              <w:widowControl/>
              <w:suppressLineNumbers w:val="0"/>
              <w:jc w:val="both"/>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4．组织干部职工集体外出考察、学习。</w:t>
            </w:r>
          </w:p>
        </w:tc>
        <w:tc>
          <w:tcPr>
            <w:tcW w:w="1409"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3D39E9C2">
            <w:pPr>
              <w:jc w:val="both"/>
              <w:rPr>
                <w:rFonts w:hint="default" w:ascii="Times New Roman" w:hAnsi="Times New Roman" w:eastAsia="宋体" w:cs="Times New Roman"/>
                <w:i w:val="0"/>
                <w:color w:val="000000"/>
                <w:sz w:val="24"/>
                <w:szCs w:val="24"/>
                <w:u w:val="none"/>
              </w:rPr>
            </w:pPr>
          </w:p>
        </w:tc>
        <w:tc>
          <w:tcPr>
            <w:tcW w:w="1078" w:type="dxa"/>
            <w:vMerge w:val="continue"/>
            <w:tcBorders>
              <w:top w:val="nil"/>
              <w:left w:val="nil"/>
              <w:bottom w:val="single" w:color="000000" w:sz="12" w:space="0"/>
              <w:right w:val="single" w:color="000000" w:sz="12" w:space="0"/>
            </w:tcBorders>
            <w:shd w:val="clear" w:color="auto" w:fill="FFFFFF"/>
            <w:tcMar>
              <w:top w:w="15" w:type="dxa"/>
              <w:left w:w="15" w:type="dxa"/>
              <w:right w:w="15" w:type="dxa"/>
            </w:tcMar>
            <w:vAlign w:val="top"/>
          </w:tcPr>
          <w:p w14:paraId="18F43DE3">
            <w:pPr>
              <w:jc w:val="both"/>
              <w:rPr>
                <w:rFonts w:hint="default" w:ascii="Times New Roman" w:hAnsi="Times New Roman" w:eastAsia="仿宋" w:cs="Times New Roman"/>
                <w:i w:val="0"/>
                <w:color w:val="000000"/>
                <w:sz w:val="24"/>
                <w:szCs w:val="24"/>
                <w:u w:val="none"/>
              </w:rPr>
            </w:pPr>
          </w:p>
        </w:tc>
      </w:tr>
      <w:tr w14:paraId="039A8F31">
        <w:tblPrEx>
          <w:tblCellMar>
            <w:top w:w="0" w:type="dxa"/>
            <w:left w:w="0" w:type="dxa"/>
            <w:bottom w:w="0" w:type="dxa"/>
            <w:right w:w="0" w:type="dxa"/>
          </w:tblCellMar>
        </w:tblPrEx>
        <w:trPr>
          <w:trHeight w:val="1440" w:hRule="atLeast"/>
        </w:trPr>
        <w:tc>
          <w:tcPr>
            <w:tcW w:w="642" w:type="dxa"/>
            <w:vMerge w:val="continue"/>
            <w:tcBorders>
              <w:top w:val="nil"/>
              <w:left w:val="single" w:color="000000" w:sz="12" w:space="0"/>
              <w:bottom w:val="single" w:color="000000" w:sz="8" w:space="0"/>
              <w:right w:val="single" w:color="000000" w:sz="8" w:space="0"/>
            </w:tcBorders>
            <w:shd w:val="clear" w:color="auto" w:fill="FFFFFF"/>
            <w:tcMar>
              <w:top w:w="15" w:type="dxa"/>
              <w:left w:w="15" w:type="dxa"/>
              <w:right w:w="15" w:type="dxa"/>
            </w:tcMar>
            <w:vAlign w:val="center"/>
          </w:tcPr>
          <w:p w14:paraId="1D6BF418">
            <w:pPr>
              <w:jc w:val="center"/>
              <w:rPr>
                <w:rFonts w:hint="default" w:ascii="Times New Roman" w:hAnsi="Times New Roman" w:eastAsia="宋体" w:cs="Times New Roman"/>
                <w:i w:val="0"/>
                <w:color w:val="000000"/>
                <w:sz w:val="21"/>
                <w:szCs w:val="21"/>
                <w:u w:val="none"/>
              </w:rPr>
            </w:pPr>
          </w:p>
        </w:tc>
        <w:tc>
          <w:tcPr>
            <w:tcW w:w="1060" w:type="dxa"/>
            <w:tcBorders>
              <w:top w:val="nil"/>
              <w:left w:val="nil"/>
              <w:bottom w:val="nil"/>
              <w:right w:val="single" w:color="000000" w:sz="8" w:space="0"/>
            </w:tcBorders>
            <w:shd w:val="clear" w:color="auto" w:fill="FFFFFF"/>
            <w:tcMar>
              <w:top w:w="15" w:type="dxa"/>
              <w:left w:w="15" w:type="dxa"/>
              <w:right w:w="15" w:type="dxa"/>
            </w:tcMar>
            <w:vAlign w:val="center"/>
          </w:tcPr>
          <w:p w14:paraId="4069C260">
            <w:pPr>
              <w:jc w:val="center"/>
              <w:rPr>
                <w:rFonts w:hint="default" w:ascii="Times New Roman" w:hAnsi="Times New Roman" w:eastAsia="宋体" w:cs="Times New Roman"/>
                <w:i w:val="0"/>
                <w:color w:val="000000"/>
                <w:sz w:val="21"/>
                <w:szCs w:val="21"/>
                <w:u w:val="none"/>
              </w:rPr>
            </w:pPr>
          </w:p>
        </w:tc>
        <w:tc>
          <w:tcPr>
            <w:tcW w:w="470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ABF9E71">
            <w:pPr>
              <w:keepNext w:val="0"/>
              <w:keepLines w:val="0"/>
              <w:widowControl/>
              <w:suppressLineNumbers w:val="0"/>
              <w:jc w:val="both"/>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5．事关全局和社会稳定的重大事件、事故处理等方面的重大事项。涉及全局性稳定、公共安全的重大信访矛盾化解、重大事故处理和重大群体性事件、重大突发事件应急处置等方面的重大事项。</w:t>
            </w:r>
          </w:p>
        </w:tc>
        <w:tc>
          <w:tcPr>
            <w:tcW w:w="1409"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06FE9A37">
            <w:pPr>
              <w:jc w:val="both"/>
              <w:rPr>
                <w:rFonts w:hint="default" w:ascii="Times New Roman" w:hAnsi="Times New Roman" w:eastAsia="宋体" w:cs="Times New Roman"/>
                <w:i w:val="0"/>
                <w:color w:val="000000"/>
                <w:sz w:val="24"/>
                <w:szCs w:val="24"/>
                <w:u w:val="none"/>
              </w:rPr>
            </w:pPr>
          </w:p>
        </w:tc>
        <w:tc>
          <w:tcPr>
            <w:tcW w:w="1078" w:type="dxa"/>
            <w:vMerge w:val="continue"/>
            <w:tcBorders>
              <w:top w:val="nil"/>
              <w:left w:val="nil"/>
              <w:bottom w:val="single" w:color="000000" w:sz="12" w:space="0"/>
              <w:right w:val="single" w:color="000000" w:sz="12" w:space="0"/>
            </w:tcBorders>
            <w:shd w:val="clear" w:color="auto" w:fill="FFFFFF"/>
            <w:tcMar>
              <w:top w:w="15" w:type="dxa"/>
              <w:left w:w="15" w:type="dxa"/>
              <w:right w:w="15" w:type="dxa"/>
            </w:tcMar>
            <w:vAlign w:val="top"/>
          </w:tcPr>
          <w:p w14:paraId="485B45CC">
            <w:pPr>
              <w:jc w:val="both"/>
              <w:rPr>
                <w:rFonts w:hint="default" w:ascii="Times New Roman" w:hAnsi="Times New Roman" w:eastAsia="仿宋" w:cs="Times New Roman"/>
                <w:i w:val="0"/>
                <w:color w:val="000000"/>
                <w:sz w:val="24"/>
                <w:szCs w:val="24"/>
                <w:u w:val="none"/>
              </w:rPr>
            </w:pPr>
          </w:p>
        </w:tc>
      </w:tr>
      <w:tr w14:paraId="3AE6E519">
        <w:tblPrEx>
          <w:tblCellMar>
            <w:top w:w="0" w:type="dxa"/>
            <w:left w:w="0" w:type="dxa"/>
            <w:bottom w:w="0" w:type="dxa"/>
            <w:right w:w="0" w:type="dxa"/>
          </w:tblCellMar>
        </w:tblPrEx>
        <w:trPr>
          <w:trHeight w:val="330" w:hRule="atLeast"/>
        </w:trPr>
        <w:tc>
          <w:tcPr>
            <w:tcW w:w="642" w:type="dxa"/>
            <w:vMerge w:val="continue"/>
            <w:tcBorders>
              <w:top w:val="nil"/>
              <w:left w:val="single" w:color="000000" w:sz="12" w:space="0"/>
              <w:bottom w:val="single" w:color="000000" w:sz="8" w:space="0"/>
              <w:right w:val="single" w:color="000000" w:sz="8" w:space="0"/>
            </w:tcBorders>
            <w:shd w:val="clear" w:color="auto" w:fill="FFFFFF"/>
            <w:tcMar>
              <w:top w:w="15" w:type="dxa"/>
              <w:left w:w="15" w:type="dxa"/>
              <w:right w:w="15" w:type="dxa"/>
            </w:tcMar>
            <w:vAlign w:val="center"/>
          </w:tcPr>
          <w:p w14:paraId="43AB46B4">
            <w:pPr>
              <w:jc w:val="center"/>
              <w:rPr>
                <w:rFonts w:hint="default" w:ascii="Times New Roman" w:hAnsi="Times New Roman" w:eastAsia="宋体" w:cs="Times New Roman"/>
                <w:i w:val="0"/>
                <w:color w:val="000000"/>
                <w:sz w:val="21"/>
                <w:szCs w:val="21"/>
                <w:u w:val="none"/>
              </w:rPr>
            </w:pPr>
          </w:p>
        </w:tc>
        <w:tc>
          <w:tcPr>
            <w:tcW w:w="1060" w:type="dxa"/>
            <w:tcBorders>
              <w:top w:val="nil"/>
              <w:left w:val="nil"/>
              <w:bottom w:val="nil"/>
              <w:right w:val="single" w:color="000000" w:sz="8" w:space="0"/>
            </w:tcBorders>
            <w:shd w:val="clear" w:color="auto" w:fill="FFFFFF"/>
            <w:tcMar>
              <w:top w:w="15" w:type="dxa"/>
              <w:left w:w="15" w:type="dxa"/>
              <w:right w:w="15" w:type="dxa"/>
            </w:tcMar>
            <w:vAlign w:val="center"/>
          </w:tcPr>
          <w:p w14:paraId="450EC945">
            <w:pPr>
              <w:jc w:val="center"/>
              <w:rPr>
                <w:rFonts w:hint="default" w:ascii="Times New Roman" w:hAnsi="Times New Roman" w:eastAsia="宋体" w:cs="Times New Roman"/>
                <w:i w:val="0"/>
                <w:color w:val="000000"/>
                <w:sz w:val="21"/>
                <w:szCs w:val="21"/>
                <w:u w:val="none"/>
              </w:rPr>
            </w:pPr>
          </w:p>
        </w:tc>
        <w:tc>
          <w:tcPr>
            <w:tcW w:w="470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4CCFEF2">
            <w:pPr>
              <w:keepNext w:val="0"/>
              <w:keepLines w:val="0"/>
              <w:widowControl/>
              <w:suppressLineNumbers w:val="0"/>
              <w:jc w:val="both"/>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6．党风廉政建设中的重大问题；</w:t>
            </w:r>
          </w:p>
        </w:tc>
        <w:tc>
          <w:tcPr>
            <w:tcW w:w="1409"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1492CE04">
            <w:pPr>
              <w:jc w:val="both"/>
              <w:rPr>
                <w:rFonts w:hint="default" w:ascii="Times New Roman" w:hAnsi="Times New Roman" w:eastAsia="宋体" w:cs="Times New Roman"/>
                <w:i w:val="0"/>
                <w:color w:val="000000"/>
                <w:sz w:val="24"/>
                <w:szCs w:val="24"/>
                <w:u w:val="none"/>
              </w:rPr>
            </w:pPr>
          </w:p>
        </w:tc>
        <w:tc>
          <w:tcPr>
            <w:tcW w:w="1078" w:type="dxa"/>
            <w:vMerge w:val="continue"/>
            <w:tcBorders>
              <w:top w:val="nil"/>
              <w:left w:val="nil"/>
              <w:bottom w:val="single" w:color="000000" w:sz="12" w:space="0"/>
              <w:right w:val="single" w:color="000000" w:sz="12" w:space="0"/>
            </w:tcBorders>
            <w:shd w:val="clear" w:color="auto" w:fill="FFFFFF"/>
            <w:tcMar>
              <w:top w:w="15" w:type="dxa"/>
              <w:left w:w="15" w:type="dxa"/>
              <w:right w:w="15" w:type="dxa"/>
            </w:tcMar>
            <w:vAlign w:val="top"/>
          </w:tcPr>
          <w:p w14:paraId="74E05132">
            <w:pPr>
              <w:jc w:val="both"/>
              <w:rPr>
                <w:rFonts w:hint="default" w:ascii="Times New Roman" w:hAnsi="Times New Roman" w:eastAsia="仿宋" w:cs="Times New Roman"/>
                <w:i w:val="0"/>
                <w:color w:val="000000"/>
                <w:sz w:val="24"/>
                <w:szCs w:val="24"/>
                <w:u w:val="none"/>
              </w:rPr>
            </w:pPr>
          </w:p>
        </w:tc>
      </w:tr>
      <w:tr w14:paraId="4C27561C">
        <w:tblPrEx>
          <w:tblCellMar>
            <w:top w:w="0" w:type="dxa"/>
            <w:left w:w="0" w:type="dxa"/>
            <w:bottom w:w="0" w:type="dxa"/>
            <w:right w:w="0" w:type="dxa"/>
          </w:tblCellMar>
        </w:tblPrEx>
        <w:trPr>
          <w:trHeight w:val="1155" w:hRule="atLeast"/>
        </w:trPr>
        <w:tc>
          <w:tcPr>
            <w:tcW w:w="642" w:type="dxa"/>
            <w:vMerge w:val="continue"/>
            <w:tcBorders>
              <w:top w:val="nil"/>
              <w:left w:val="single" w:color="000000" w:sz="12" w:space="0"/>
              <w:bottom w:val="single" w:color="000000" w:sz="8" w:space="0"/>
              <w:right w:val="single" w:color="000000" w:sz="8" w:space="0"/>
            </w:tcBorders>
            <w:shd w:val="clear" w:color="auto" w:fill="FFFFFF"/>
            <w:tcMar>
              <w:top w:w="15" w:type="dxa"/>
              <w:left w:w="15" w:type="dxa"/>
              <w:right w:w="15" w:type="dxa"/>
            </w:tcMar>
            <w:vAlign w:val="center"/>
          </w:tcPr>
          <w:p w14:paraId="72461F76">
            <w:pPr>
              <w:jc w:val="center"/>
              <w:rPr>
                <w:rFonts w:hint="default" w:ascii="Times New Roman" w:hAnsi="Times New Roman" w:eastAsia="宋体" w:cs="Times New Roman"/>
                <w:i w:val="0"/>
                <w:color w:val="000000"/>
                <w:sz w:val="21"/>
                <w:szCs w:val="21"/>
                <w:u w:val="none"/>
              </w:rPr>
            </w:pPr>
          </w:p>
        </w:tc>
        <w:tc>
          <w:tcPr>
            <w:tcW w:w="1060" w:type="dxa"/>
            <w:tcBorders>
              <w:top w:val="nil"/>
              <w:left w:val="nil"/>
              <w:bottom w:val="nil"/>
              <w:right w:val="single" w:color="000000" w:sz="8" w:space="0"/>
            </w:tcBorders>
            <w:shd w:val="clear" w:color="auto" w:fill="FFFFFF"/>
            <w:tcMar>
              <w:top w:w="15" w:type="dxa"/>
              <w:left w:w="15" w:type="dxa"/>
              <w:right w:w="15" w:type="dxa"/>
            </w:tcMar>
            <w:vAlign w:val="center"/>
          </w:tcPr>
          <w:p w14:paraId="027AFBA4">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决策</w:t>
            </w:r>
          </w:p>
        </w:tc>
        <w:tc>
          <w:tcPr>
            <w:tcW w:w="470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E61EB85">
            <w:pPr>
              <w:keepNext w:val="0"/>
              <w:keepLines w:val="0"/>
              <w:widowControl/>
              <w:suppressLineNumbers w:val="0"/>
              <w:jc w:val="both"/>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7．行政许可、行政处罚、行政强制等方面的重大事项。</w:t>
            </w:r>
          </w:p>
        </w:tc>
        <w:tc>
          <w:tcPr>
            <w:tcW w:w="1409"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1B243EA7">
            <w:pPr>
              <w:keepNext w:val="0"/>
              <w:keepLines w:val="0"/>
              <w:widowControl/>
              <w:suppressLineNumbers w:val="0"/>
              <w:jc w:val="both"/>
              <w:textAlignment w:val="top"/>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对单位处以2万元上、个人1000元以上罚款。</w:t>
            </w:r>
          </w:p>
        </w:tc>
        <w:tc>
          <w:tcPr>
            <w:tcW w:w="1078" w:type="dxa"/>
            <w:vMerge w:val="continue"/>
            <w:tcBorders>
              <w:top w:val="nil"/>
              <w:left w:val="nil"/>
              <w:bottom w:val="single" w:color="000000" w:sz="12" w:space="0"/>
              <w:right w:val="single" w:color="000000" w:sz="12" w:space="0"/>
            </w:tcBorders>
            <w:shd w:val="clear" w:color="auto" w:fill="FFFFFF"/>
            <w:tcMar>
              <w:top w:w="15" w:type="dxa"/>
              <w:left w:w="15" w:type="dxa"/>
              <w:right w:w="15" w:type="dxa"/>
            </w:tcMar>
            <w:vAlign w:val="top"/>
          </w:tcPr>
          <w:p w14:paraId="16A77AA3">
            <w:pPr>
              <w:jc w:val="both"/>
              <w:rPr>
                <w:rFonts w:hint="default" w:ascii="Times New Roman" w:hAnsi="Times New Roman" w:eastAsia="仿宋" w:cs="Times New Roman"/>
                <w:i w:val="0"/>
                <w:color w:val="000000"/>
                <w:sz w:val="24"/>
                <w:szCs w:val="24"/>
                <w:u w:val="none"/>
              </w:rPr>
            </w:pPr>
          </w:p>
        </w:tc>
      </w:tr>
      <w:tr w14:paraId="46D62767">
        <w:tblPrEx>
          <w:tblCellMar>
            <w:top w:w="0" w:type="dxa"/>
            <w:left w:w="0" w:type="dxa"/>
            <w:bottom w:w="0" w:type="dxa"/>
            <w:right w:w="0" w:type="dxa"/>
          </w:tblCellMar>
        </w:tblPrEx>
        <w:trPr>
          <w:trHeight w:val="585" w:hRule="atLeast"/>
        </w:trPr>
        <w:tc>
          <w:tcPr>
            <w:tcW w:w="642" w:type="dxa"/>
            <w:vMerge w:val="continue"/>
            <w:tcBorders>
              <w:top w:val="nil"/>
              <w:left w:val="single" w:color="000000" w:sz="12" w:space="0"/>
              <w:bottom w:val="single" w:color="000000" w:sz="8" w:space="0"/>
              <w:right w:val="single" w:color="000000" w:sz="8" w:space="0"/>
            </w:tcBorders>
            <w:shd w:val="clear" w:color="auto" w:fill="FFFFFF"/>
            <w:tcMar>
              <w:top w:w="15" w:type="dxa"/>
              <w:left w:w="15" w:type="dxa"/>
              <w:right w:w="15" w:type="dxa"/>
            </w:tcMar>
            <w:vAlign w:val="center"/>
          </w:tcPr>
          <w:p w14:paraId="175CDA2C">
            <w:pPr>
              <w:jc w:val="center"/>
              <w:rPr>
                <w:rFonts w:hint="default" w:ascii="Times New Roman" w:hAnsi="Times New Roman" w:eastAsia="宋体" w:cs="Times New Roman"/>
                <w:i w:val="0"/>
                <w:color w:val="000000"/>
                <w:sz w:val="21"/>
                <w:szCs w:val="21"/>
                <w:u w:val="none"/>
              </w:rPr>
            </w:pPr>
          </w:p>
        </w:tc>
        <w:tc>
          <w:tcPr>
            <w:tcW w:w="0" w:type="auto"/>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30898736">
            <w:pPr>
              <w:rPr>
                <w:rFonts w:hint="default" w:ascii="Times New Roman" w:hAnsi="Times New Roman" w:eastAsia="宋体" w:cs="Times New Roman"/>
                <w:i w:val="0"/>
                <w:color w:val="000000"/>
                <w:sz w:val="22"/>
                <w:szCs w:val="22"/>
                <w:u w:val="none"/>
              </w:rPr>
            </w:pPr>
          </w:p>
        </w:tc>
        <w:tc>
          <w:tcPr>
            <w:tcW w:w="470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0BDF636">
            <w:pPr>
              <w:keepNext w:val="0"/>
              <w:keepLines w:val="0"/>
              <w:widowControl/>
              <w:suppressLineNumbers w:val="0"/>
              <w:jc w:val="both"/>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8．其他各项工作中需要集体决策的重大事项。</w:t>
            </w:r>
          </w:p>
        </w:tc>
        <w:tc>
          <w:tcPr>
            <w:tcW w:w="1409"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04BBF678">
            <w:pPr>
              <w:jc w:val="both"/>
              <w:rPr>
                <w:rFonts w:hint="default" w:ascii="Times New Roman" w:hAnsi="Times New Roman" w:eastAsia="宋体" w:cs="Times New Roman"/>
                <w:i w:val="0"/>
                <w:color w:val="000000"/>
                <w:sz w:val="24"/>
                <w:szCs w:val="24"/>
                <w:u w:val="none"/>
              </w:rPr>
            </w:pPr>
          </w:p>
        </w:tc>
        <w:tc>
          <w:tcPr>
            <w:tcW w:w="1078" w:type="dxa"/>
            <w:vMerge w:val="continue"/>
            <w:tcBorders>
              <w:top w:val="nil"/>
              <w:left w:val="nil"/>
              <w:bottom w:val="single" w:color="000000" w:sz="12" w:space="0"/>
              <w:right w:val="single" w:color="000000" w:sz="12" w:space="0"/>
            </w:tcBorders>
            <w:shd w:val="clear" w:color="auto" w:fill="FFFFFF"/>
            <w:tcMar>
              <w:top w:w="15" w:type="dxa"/>
              <w:left w:w="15" w:type="dxa"/>
              <w:right w:w="15" w:type="dxa"/>
            </w:tcMar>
            <w:vAlign w:val="top"/>
          </w:tcPr>
          <w:p w14:paraId="3D981F53">
            <w:pPr>
              <w:jc w:val="both"/>
              <w:rPr>
                <w:rFonts w:hint="default" w:ascii="Times New Roman" w:hAnsi="Times New Roman" w:eastAsia="仿宋" w:cs="Times New Roman"/>
                <w:i w:val="0"/>
                <w:color w:val="000000"/>
                <w:sz w:val="24"/>
                <w:szCs w:val="24"/>
                <w:u w:val="none"/>
              </w:rPr>
            </w:pPr>
          </w:p>
        </w:tc>
      </w:tr>
      <w:tr w14:paraId="016BE6FE">
        <w:tblPrEx>
          <w:tblCellMar>
            <w:top w:w="0" w:type="dxa"/>
            <w:left w:w="0" w:type="dxa"/>
            <w:bottom w:w="0" w:type="dxa"/>
            <w:right w:w="0" w:type="dxa"/>
          </w:tblCellMar>
        </w:tblPrEx>
        <w:trPr>
          <w:trHeight w:val="330" w:hRule="atLeast"/>
        </w:trPr>
        <w:tc>
          <w:tcPr>
            <w:tcW w:w="642" w:type="dxa"/>
            <w:vMerge w:val="restart"/>
            <w:tcBorders>
              <w:top w:val="nil"/>
              <w:left w:val="single" w:color="000000" w:sz="12" w:space="0"/>
              <w:bottom w:val="single" w:color="000000" w:sz="8" w:space="0"/>
              <w:right w:val="single" w:color="000000" w:sz="8" w:space="0"/>
            </w:tcBorders>
            <w:shd w:val="clear" w:color="auto" w:fill="FFFFFF"/>
            <w:tcMar>
              <w:top w:w="15" w:type="dxa"/>
              <w:left w:w="15" w:type="dxa"/>
              <w:right w:w="15" w:type="dxa"/>
            </w:tcMar>
            <w:vAlign w:val="center"/>
          </w:tcPr>
          <w:p w14:paraId="2887F243">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060" w:type="dxa"/>
            <w:tcBorders>
              <w:top w:val="nil"/>
              <w:left w:val="nil"/>
              <w:bottom w:val="nil"/>
              <w:right w:val="single" w:color="000000" w:sz="8" w:space="0"/>
            </w:tcBorders>
            <w:shd w:val="clear" w:color="auto" w:fill="FFFFFF"/>
            <w:tcMar>
              <w:top w:w="15" w:type="dxa"/>
              <w:left w:w="15" w:type="dxa"/>
              <w:right w:w="15" w:type="dxa"/>
            </w:tcMar>
            <w:vAlign w:val="center"/>
          </w:tcPr>
          <w:p w14:paraId="32F927EF">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重要</w:t>
            </w:r>
          </w:p>
        </w:tc>
        <w:tc>
          <w:tcPr>
            <w:tcW w:w="4706"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02EFB52">
            <w:pPr>
              <w:keepNext w:val="0"/>
              <w:keepLines w:val="0"/>
              <w:widowControl/>
              <w:suppressLineNumbers w:val="0"/>
              <w:jc w:val="both"/>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9．局管干部的推荐、提名、录用、任免、奖惩和后备干部人选、人才引进使用政策的确定等。</w:t>
            </w:r>
          </w:p>
        </w:tc>
        <w:tc>
          <w:tcPr>
            <w:tcW w:w="1409"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7D645688">
            <w:pPr>
              <w:jc w:val="both"/>
              <w:rPr>
                <w:rFonts w:hint="default" w:ascii="Times New Roman" w:hAnsi="Times New Roman" w:eastAsia="宋体" w:cs="Times New Roman"/>
                <w:i w:val="0"/>
                <w:color w:val="000000"/>
                <w:sz w:val="24"/>
                <w:szCs w:val="24"/>
                <w:u w:val="none"/>
              </w:rPr>
            </w:pPr>
          </w:p>
        </w:tc>
        <w:tc>
          <w:tcPr>
            <w:tcW w:w="1078" w:type="dxa"/>
            <w:vMerge w:val="continue"/>
            <w:tcBorders>
              <w:top w:val="nil"/>
              <w:left w:val="nil"/>
              <w:bottom w:val="single" w:color="000000" w:sz="12" w:space="0"/>
              <w:right w:val="single" w:color="000000" w:sz="12" w:space="0"/>
            </w:tcBorders>
            <w:shd w:val="clear" w:color="auto" w:fill="FFFFFF"/>
            <w:tcMar>
              <w:top w:w="15" w:type="dxa"/>
              <w:left w:w="15" w:type="dxa"/>
              <w:right w:w="15" w:type="dxa"/>
            </w:tcMar>
            <w:vAlign w:val="top"/>
          </w:tcPr>
          <w:p w14:paraId="4778D148">
            <w:pPr>
              <w:jc w:val="both"/>
              <w:rPr>
                <w:rFonts w:hint="default" w:ascii="Times New Roman" w:hAnsi="Times New Roman" w:eastAsia="仿宋" w:cs="Times New Roman"/>
                <w:i w:val="0"/>
                <w:color w:val="000000"/>
                <w:sz w:val="24"/>
                <w:szCs w:val="24"/>
                <w:u w:val="none"/>
              </w:rPr>
            </w:pPr>
          </w:p>
        </w:tc>
      </w:tr>
      <w:tr w14:paraId="6719BF2B">
        <w:tblPrEx>
          <w:tblCellMar>
            <w:top w:w="0" w:type="dxa"/>
            <w:left w:w="0" w:type="dxa"/>
            <w:bottom w:w="0" w:type="dxa"/>
            <w:right w:w="0" w:type="dxa"/>
          </w:tblCellMar>
        </w:tblPrEx>
        <w:trPr>
          <w:trHeight w:val="270" w:hRule="atLeast"/>
        </w:trPr>
        <w:tc>
          <w:tcPr>
            <w:tcW w:w="642" w:type="dxa"/>
            <w:vMerge w:val="continue"/>
            <w:tcBorders>
              <w:top w:val="nil"/>
              <w:left w:val="single" w:color="000000" w:sz="12" w:space="0"/>
              <w:bottom w:val="single" w:color="000000" w:sz="8" w:space="0"/>
              <w:right w:val="single" w:color="000000" w:sz="8" w:space="0"/>
            </w:tcBorders>
            <w:shd w:val="clear" w:color="auto" w:fill="FFFFFF"/>
            <w:tcMar>
              <w:top w:w="15" w:type="dxa"/>
              <w:left w:w="15" w:type="dxa"/>
              <w:right w:w="15" w:type="dxa"/>
            </w:tcMar>
            <w:vAlign w:val="center"/>
          </w:tcPr>
          <w:p w14:paraId="4F0AC9F4">
            <w:pPr>
              <w:jc w:val="center"/>
              <w:rPr>
                <w:rFonts w:hint="default" w:ascii="Times New Roman" w:hAnsi="Times New Roman" w:eastAsia="宋体" w:cs="Times New Roman"/>
                <w:i w:val="0"/>
                <w:color w:val="000000"/>
                <w:sz w:val="21"/>
                <w:szCs w:val="21"/>
                <w:u w:val="none"/>
              </w:rPr>
            </w:pPr>
          </w:p>
        </w:tc>
        <w:tc>
          <w:tcPr>
            <w:tcW w:w="1060" w:type="dxa"/>
            <w:tcBorders>
              <w:top w:val="nil"/>
              <w:left w:val="nil"/>
              <w:bottom w:val="nil"/>
              <w:right w:val="single" w:color="000000" w:sz="8" w:space="0"/>
            </w:tcBorders>
            <w:shd w:val="clear" w:color="auto" w:fill="FFFFFF"/>
            <w:tcMar>
              <w:top w:w="15" w:type="dxa"/>
              <w:left w:w="15" w:type="dxa"/>
              <w:right w:w="15" w:type="dxa"/>
            </w:tcMar>
            <w:vAlign w:val="center"/>
          </w:tcPr>
          <w:p w14:paraId="06C27182">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人事</w:t>
            </w:r>
          </w:p>
        </w:tc>
        <w:tc>
          <w:tcPr>
            <w:tcW w:w="4706"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B0D37C0">
            <w:pPr>
              <w:jc w:val="both"/>
              <w:rPr>
                <w:rFonts w:hint="default" w:ascii="Times New Roman" w:hAnsi="Times New Roman" w:eastAsia="仿宋" w:cs="Times New Roman"/>
                <w:i w:val="0"/>
                <w:color w:val="000000"/>
                <w:sz w:val="24"/>
                <w:szCs w:val="24"/>
                <w:u w:val="none"/>
              </w:rPr>
            </w:pPr>
          </w:p>
        </w:tc>
        <w:tc>
          <w:tcPr>
            <w:tcW w:w="140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04491A2F">
            <w:pPr>
              <w:jc w:val="both"/>
              <w:rPr>
                <w:rFonts w:hint="default" w:ascii="Times New Roman" w:hAnsi="Times New Roman" w:eastAsia="宋体" w:cs="Times New Roman"/>
                <w:i w:val="0"/>
                <w:color w:val="000000"/>
                <w:sz w:val="24"/>
                <w:szCs w:val="24"/>
                <w:u w:val="none"/>
              </w:rPr>
            </w:pPr>
          </w:p>
        </w:tc>
        <w:tc>
          <w:tcPr>
            <w:tcW w:w="1078" w:type="dxa"/>
            <w:vMerge w:val="continue"/>
            <w:tcBorders>
              <w:top w:val="nil"/>
              <w:left w:val="nil"/>
              <w:bottom w:val="single" w:color="000000" w:sz="12" w:space="0"/>
              <w:right w:val="single" w:color="000000" w:sz="12" w:space="0"/>
            </w:tcBorders>
            <w:shd w:val="clear" w:color="auto" w:fill="FFFFFF"/>
            <w:tcMar>
              <w:top w:w="15" w:type="dxa"/>
              <w:left w:w="15" w:type="dxa"/>
              <w:right w:w="15" w:type="dxa"/>
            </w:tcMar>
            <w:vAlign w:val="top"/>
          </w:tcPr>
          <w:p w14:paraId="5667AFBB">
            <w:pPr>
              <w:jc w:val="both"/>
              <w:rPr>
                <w:rFonts w:hint="default" w:ascii="Times New Roman" w:hAnsi="Times New Roman" w:eastAsia="仿宋" w:cs="Times New Roman"/>
                <w:i w:val="0"/>
                <w:color w:val="000000"/>
                <w:sz w:val="24"/>
                <w:szCs w:val="24"/>
                <w:u w:val="none"/>
              </w:rPr>
            </w:pPr>
          </w:p>
        </w:tc>
      </w:tr>
      <w:tr w14:paraId="3E21203E">
        <w:tblPrEx>
          <w:tblCellMar>
            <w:top w:w="0" w:type="dxa"/>
            <w:left w:w="0" w:type="dxa"/>
            <w:bottom w:w="0" w:type="dxa"/>
            <w:right w:w="0" w:type="dxa"/>
          </w:tblCellMar>
        </w:tblPrEx>
        <w:trPr>
          <w:trHeight w:val="270" w:hRule="atLeast"/>
        </w:trPr>
        <w:tc>
          <w:tcPr>
            <w:tcW w:w="642" w:type="dxa"/>
            <w:vMerge w:val="continue"/>
            <w:tcBorders>
              <w:top w:val="nil"/>
              <w:left w:val="single" w:color="000000" w:sz="12" w:space="0"/>
              <w:bottom w:val="single" w:color="000000" w:sz="8" w:space="0"/>
              <w:right w:val="single" w:color="000000" w:sz="8" w:space="0"/>
            </w:tcBorders>
            <w:shd w:val="clear" w:color="auto" w:fill="FFFFFF"/>
            <w:tcMar>
              <w:top w:w="15" w:type="dxa"/>
              <w:left w:w="15" w:type="dxa"/>
              <w:right w:w="15" w:type="dxa"/>
            </w:tcMar>
            <w:vAlign w:val="center"/>
          </w:tcPr>
          <w:p w14:paraId="10BE9D4B">
            <w:pPr>
              <w:jc w:val="center"/>
              <w:rPr>
                <w:rFonts w:hint="default" w:ascii="Times New Roman" w:hAnsi="Times New Roman" w:eastAsia="宋体" w:cs="Times New Roman"/>
                <w:i w:val="0"/>
                <w:color w:val="000000"/>
                <w:sz w:val="21"/>
                <w:szCs w:val="21"/>
                <w:u w:val="none"/>
              </w:rPr>
            </w:pPr>
          </w:p>
        </w:tc>
        <w:tc>
          <w:tcPr>
            <w:tcW w:w="1060" w:type="dxa"/>
            <w:tcBorders>
              <w:top w:val="nil"/>
              <w:left w:val="nil"/>
              <w:bottom w:val="nil"/>
              <w:right w:val="single" w:color="000000" w:sz="8" w:space="0"/>
            </w:tcBorders>
            <w:shd w:val="clear" w:color="auto" w:fill="FFFFFF"/>
            <w:tcMar>
              <w:top w:w="15" w:type="dxa"/>
              <w:left w:w="15" w:type="dxa"/>
              <w:right w:w="15" w:type="dxa"/>
            </w:tcMar>
            <w:vAlign w:val="center"/>
          </w:tcPr>
          <w:p w14:paraId="11576B9B">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任免</w:t>
            </w:r>
          </w:p>
        </w:tc>
        <w:tc>
          <w:tcPr>
            <w:tcW w:w="4706"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6A5AAE06">
            <w:pPr>
              <w:jc w:val="both"/>
              <w:rPr>
                <w:rFonts w:hint="default" w:ascii="Times New Roman" w:hAnsi="Times New Roman" w:eastAsia="仿宋" w:cs="Times New Roman"/>
                <w:i w:val="0"/>
                <w:color w:val="000000"/>
                <w:sz w:val="24"/>
                <w:szCs w:val="24"/>
                <w:u w:val="none"/>
              </w:rPr>
            </w:pPr>
          </w:p>
        </w:tc>
        <w:tc>
          <w:tcPr>
            <w:tcW w:w="140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59CE9A0F">
            <w:pPr>
              <w:jc w:val="both"/>
              <w:rPr>
                <w:rFonts w:hint="default" w:ascii="Times New Roman" w:hAnsi="Times New Roman" w:eastAsia="宋体" w:cs="Times New Roman"/>
                <w:i w:val="0"/>
                <w:color w:val="000000"/>
                <w:sz w:val="24"/>
                <w:szCs w:val="24"/>
                <w:u w:val="none"/>
              </w:rPr>
            </w:pPr>
          </w:p>
        </w:tc>
        <w:tc>
          <w:tcPr>
            <w:tcW w:w="1078" w:type="dxa"/>
            <w:vMerge w:val="continue"/>
            <w:tcBorders>
              <w:top w:val="nil"/>
              <w:left w:val="nil"/>
              <w:bottom w:val="single" w:color="000000" w:sz="12" w:space="0"/>
              <w:right w:val="single" w:color="000000" w:sz="12" w:space="0"/>
            </w:tcBorders>
            <w:shd w:val="clear" w:color="auto" w:fill="FFFFFF"/>
            <w:tcMar>
              <w:top w:w="15" w:type="dxa"/>
              <w:left w:w="15" w:type="dxa"/>
              <w:right w:w="15" w:type="dxa"/>
            </w:tcMar>
            <w:vAlign w:val="top"/>
          </w:tcPr>
          <w:p w14:paraId="4D622C1F">
            <w:pPr>
              <w:jc w:val="both"/>
              <w:rPr>
                <w:rFonts w:hint="default" w:ascii="Times New Roman" w:hAnsi="Times New Roman" w:eastAsia="仿宋" w:cs="Times New Roman"/>
                <w:i w:val="0"/>
                <w:color w:val="000000"/>
                <w:sz w:val="24"/>
                <w:szCs w:val="24"/>
                <w:u w:val="none"/>
              </w:rPr>
            </w:pPr>
          </w:p>
        </w:tc>
      </w:tr>
      <w:tr w14:paraId="67183A87">
        <w:tblPrEx>
          <w:tblCellMar>
            <w:top w:w="0" w:type="dxa"/>
            <w:left w:w="0" w:type="dxa"/>
            <w:bottom w:w="0" w:type="dxa"/>
            <w:right w:w="0" w:type="dxa"/>
          </w:tblCellMar>
        </w:tblPrEx>
        <w:trPr>
          <w:trHeight w:val="330" w:hRule="atLeast"/>
        </w:trPr>
        <w:tc>
          <w:tcPr>
            <w:tcW w:w="642" w:type="dxa"/>
            <w:vMerge w:val="continue"/>
            <w:tcBorders>
              <w:top w:val="nil"/>
              <w:left w:val="single" w:color="000000" w:sz="12" w:space="0"/>
              <w:bottom w:val="single" w:color="000000" w:sz="8" w:space="0"/>
              <w:right w:val="single" w:color="000000" w:sz="8" w:space="0"/>
            </w:tcBorders>
            <w:shd w:val="clear" w:color="auto" w:fill="FFFFFF"/>
            <w:tcMar>
              <w:top w:w="15" w:type="dxa"/>
              <w:left w:w="15" w:type="dxa"/>
              <w:right w:w="15" w:type="dxa"/>
            </w:tcMar>
            <w:vAlign w:val="center"/>
          </w:tcPr>
          <w:p w14:paraId="2C896F81">
            <w:pPr>
              <w:jc w:val="center"/>
              <w:rPr>
                <w:rFonts w:hint="default" w:ascii="Times New Roman" w:hAnsi="Times New Roman" w:eastAsia="宋体" w:cs="Times New Roman"/>
                <w:i w:val="0"/>
                <w:color w:val="000000"/>
                <w:sz w:val="21"/>
                <w:szCs w:val="21"/>
                <w:u w:val="none"/>
              </w:rPr>
            </w:pPr>
          </w:p>
        </w:tc>
        <w:tc>
          <w:tcPr>
            <w:tcW w:w="1060" w:type="dxa"/>
            <w:tcBorders>
              <w:top w:val="nil"/>
              <w:left w:val="nil"/>
              <w:bottom w:val="nil"/>
              <w:right w:val="single" w:color="000000" w:sz="8" w:space="0"/>
            </w:tcBorders>
            <w:shd w:val="clear" w:color="auto" w:fill="FFFFFF"/>
            <w:tcMar>
              <w:top w:w="15" w:type="dxa"/>
              <w:left w:w="15" w:type="dxa"/>
              <w:right w:w="15" w:type="dxa"/>
            </w:tcMar>
            <w:vAlign w:val="center"/>
          </w:tcPr>
          <w:p w14:paraId="507B91CD">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其他</w:t>
            </w:r>
          </w:p>
        </w:tc>
        <w:tc>
          <w:tcPr>
            <w:tcW w:w="470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3405C7B">
            <w:pPr>
              <w:keepNext w:val="0"/>
              <w:keepLines w:val="0"/>
              <w:widowControl/>
              <w:suppressLineNumbers w:val="0"/>
              <w:jc w:val="both"/>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10．市管干部及后备干部的推荐、提名。</w:t>
            </w:r>
          </w:p>
        </w:tc>
        <w:tc>
          <w:tcPr>
            <w:tcW w:w="1409"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7E115634">
            <w:pPr>
              <w:jc w:val="both"/>
              <w:rPr>
                <w:rFonts w:hint="default" w:ascii="Times New Roman" w:hAnsi="Times New Roman" w:eastAsia="宋体" w:cs="Times New Roman"/>
                <w:i w:val="0"/>
                <w:color w:val="000000"/>
                <w:sz w:val="24"/>
                <w:szCs w:val="24"/>
                <w:u w:val="none"/>
              </w:rPr>
            </w:pPr>
          </w:p>
        </w:tc>
        <w:tc>
          <w:tcPr>
            <w:tcW w:w="1078" w:type="dxa"/>
            <w:vMerge w:val="continue"/>
            <w:tcBorders>
              <w:top w:val="nil"/>
              <w:left w:val="nil"/>
              <w:bottom w:val="single" w:color="000000" w:sz="12" w:space="0"/>
              <w:right w:val="single" w:color="000000" w:sz="12" w:space="0"/>
            </w:tcBorders>
            <w:shd w:val="clear" w:color="auto" w:fill="FFFFFF"/>
            <w:tcMar>
              <w:top w:w="15" w:type="dxa"/>
              <w:left w:w="15" w:type="dxa"/>
              <w:right w:w="15" w:type="dxa"/>
            </w:tcMar>
            <w:vAlign w:val="top"/>
          </w:tcPr>
          <w:p w14:paraId="098DDE98">
            <w:pPr>
              <w:jc w:val="both"/>
              <w:rPr>
                <w:rFonts w:hint="default" w:ascii="Times New Roman" w:hAnsi="Times New Roman" w:eastAsia="仿宋" w:cs="Times New Roman"/>
                <w:i w:val="0"/>
                <w:color w:val="000000"/>
                <w:sz w:val="24"/>
                <w:szCs w:val="24"/>
                <w:u w:val="none"/>
              </w:rPr>
            </w:pPr>
          </w:p>
        </w:tc>
      </w:tr>
      <w:tr w14:paraId="21CA71B8">
        <w:tblPrEx>
          <w:tblCellMar>
            <w:top w:w="0" w:type="dxa"/>
            <w:left w:w="0" w:type="dxa"/>
            <w:bottom w:w="0" w:type="dxa"/>
            <w:right w:w="0" w:type="dxa"/>
          </w:tblCellMar>
        </w:tblPrEx>
        <w:trPr>
          <w:trHeight w:val="585" w:hRule="atLeast"/>
        </w:trPr>
        <w:tc>
          <w:tcPr>
            <w:tcW w:w="642" w:type="dxa"/>
            <w:vMerge w:val="continue"/>
            <w:tcBorders>
              <w:top w:val="nil"/>
              <w:left w:val="single" w:color="000000" w:sz="12" w:space="0"/>
              <w:bottom w:val="single" w:color="000000" w:sz="8" w:space="0"/>
              <w:right w:val="single" w:color="000000" w:sz="8" w:space="0"/>
            </w:tcBorders>
            <w:shd w:val="clear" w:color="auto" w:fill="FFFFFF"/>
            <w:tcMar>
              <w:top w:w="15" w:type="dxa"/>
              <w:left w:w="15" w:type="dxa"/>
              <w:right w:w="15" w:type="dxa"/>
            </w:tcMar>
            <w:vAlign w:val="center"/>
          </w:tcPr>
          <w:p w14:paraId="51CDDF52">
            <w:pPr>
              <w:jc w:val="center"/>
              <w:rPr>
                <w:rFonts w:hint="default" w:ascii="Times New Roman" w:hAnsi="Times New Roman" w:eastAsia="宋体" w:cs="Times New Roman"/>
                <w:i w:val="0"/>
                <w:color w:val="000000"/>
                <w:sz w:val="21"/>
                <w:szCs w:val="21"/>
                <w:u w:val="none"/>
              </w:rPr>
            </w:pPr>
          </w:p>
        </w:tc>
        <w:tc>
          <w:tcPr>
            <w:tcW w:w="1060" w:type="dxa"/>
            <w:tcBorders>
              <w:top w:val="nil"/>
              <w:left w:val="nil"/>
              <w:bottom w:val="nil"/>
              <w:right w:val="single" w:color="000000" w:sz="8" w:space="0"/>
            </w:tcBorders>
            <w:shd w:val="clear" w:color="auto" w:fill="FFFFFF"/>
            <w:tcMar>
              <w:top w:w="15" w:type="dxa"/>
              <w:left w:w="15" w:type="dxa"/>
              <w:right w:w="15" w:type="dxa"/>
            </w:tcMar>
            <w:vAlign w:val="center"/>
          </w:tcPr>
          <w:p w14:paraId="327128E6">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重要</w:t>
            </w:r>
          </w:p>
        </w:tc>
        <w:tc>
          <w:tcPr>
            <w:tcW w:w="470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66A97BFE">
            <w:pPr>
              <w:keepNext w:val="0"/>
              <w:keepLines w:val="0"/>
              <w:widowControl/>
              <w:suppressLineNumbers w:val="0"/>
              <w:jc w:val="both"/>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11．各级党代表、人大代表、政协委员的推荐和提名。</w:t>
            </w:r>
          </w:p>
        </w:tc>
        <w:tc>
          <w:tcPr>
            <w:tcW w:w="1409"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7F359E71">
            <w:pPr>
              <w:jc w:val="both"/>
              <w:rPr>
                <w:rFonts w:hint="default" w:ascii="Times New Roman" w:hAnsi="Times New Roman" w:eastAsia="宋体" w:cs="Times New Roman"/>
                <w:i w:val="0"/>
                <w:color w:val="000000"/>
                <w:sz w:val="24"/>
                <w:szCs w:val="24"/>
                <w:u w:val="none"/>
              </w:rPr>
            </w:pPr>
          </w:p>
        </w:tc>
        <w:tc>
          <w:tcPr>
            <w:tcW w:w="1078" w:type="dxa"/>
            <w:vMerge w:val="continue"/>
            <w:tcBorders>
              <w:top w:val="nil"/>
              <w:left w:val="nil"/>
              <w:bottom w:val="single" w:color="000000" w:sz="12" w:space="0"/>
              <w:right w:val="single" w:color="000000" w:sz="12" w:space="0"/>
            </w:tcBorders>
            <w:shd w:val="clear" w:color="auto" w:fill="FFFFFF"/>
            <w:tcMar>
              <w:top w:w="15" w:type="dxa"/>
              <w:left w:w="15" w:type="dxa"/>
              <w:right w:w="15" w:type="dxa"/>
            </w:tcMar>
            <w:vAlign w:val="top"/>
          </w:tcPr>
          <w:p w14:paraId="4DD49624">
            <w:pPr>
              <w:jc w:val="both"/>
              <w:rPr>
                <w:rFonts w:hint="default" w:ascii="Times New Roman" w:hAnsi="Times New Roman" w:eastAsia="仿宋" w:cs="Times New Roman"/>
                <w:i w:val="0"/>
                <w:color w:val="000000"/>
                <w:sz w:val="24"/>
                <w:szCs w:val="24"/>
                <w:u w:val="none"/>
              </w:rPr>
            </w:pPr>
          </w:p>
        </w:tc>
      </w:tr>
      <w:tr w14:paraId="7C319D11">
        <w:tblPrEx>
          <w:tblCellMar>
            <w:top w:w="0" w:type="dxa"/>
            <w:left w:w="0" w:type="dxa"/>
            <w:bottom w:w="0" w:type="dxa"/>
            <w:right w:w="0" w:type="dxa"/>
          </w:tblCellMar>
        </w:tblPrEx>
        <w:trPr>
          <w:trHeight w:val="585" w:hRule="atLeast"/>
        </w:trPr>
        <w:tc>
          <w:tcPr>
            <w:tcW w:w="642" w:type="dxa"/>
            <w:vMerge w:val="continue"/>
            <w:tcBorders>
              <w:top w:val="nil"/>
              <w:left w:val="single" w:color="000000" w:sz="12" w:space="0"/>
              <w:bottom w:val="single" w:color="000000" w:sz="8" w:space="0"/>
              <w:right w:val="single" w:color="000000" w:sz="8" w:space="0"/>
            </w:tcBorders>
            <w:shd w:val="clear" w:color="auto" w:fill="FFFFFF"/>
            <w:tcMar>
              <w:top w:w="15" w:type="dxa"/>
              <w:left w:w="15" w:type="dxa"/>
              <w:right w:w="15" w:type="dxa"/>
            </w:tcMar>
            <w:vAlign w:val="center"/>
          </w:tcPr>
          <w:p w14:paraId="50CEB7B5">
            <w:pPr>
              <w:jc w:val="center"/>
              <w:rPr>
                <w:rFonts w:hint="default" w:ascii="Times New Roman" w:hAnsi="Times New Roman" w:eastAsia="宋体" w:cs="Times New Roman"/>
                <w:i w:val="0"/>
                <w:color w:val="000000"/>
                <w:sz w:val="21"/>
                <w:szCs w:val="21"/>
                <w:u w:val="none"/>
              </w:rPr>
            </w:pPr>
          </w:p>
        </w:tc>
        <w:tc>
          <w:tcPr>
            <w:tcW w:w="1060" w:type="dxa"/>
            <w:tcBorders>
              <w:top w:val="nil"/>
              <w:left w:val="nil"/>
              <w:bottom w:val="nil"/>
              <w:right w:val="single" w:color="000000" w:sz="8" w:space="0"/>
            </w:tcBorders>
            <w:shd w:val="clear" w:color="auto" w:fill="FFFFFF"/>
            <w:tcMar>
              <w:top w:w="15" w:type="dxa"/>
              <w:left w:w="15" w:type="dxa"/>
              <w:right w:w="15" w:type="dxa"/>
            </w:tcMar>
            <w:vAlign w:val="center"/>
          </w:tcPr>
          <w:p w14:paraId="0EFBD625">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人事</w:t>
            </w:r>
          </w:p>
        </w:tc>
        <w:tc>
          <w:tcPr>
            <w:tcW w:w="470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49ED6EF">
            <w:pPr>
              <w:keepNext w:val="0"/>
              <w:keepLines w:val="0"/>
              <w:widowControl/>
              <w:suppressLineNumbers w:val="0"/>
              <w:jc w:val="both"/>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12．上级劳动模范及享受上级劳动模范待遇的先进典型推荐。</w:t>
            </w:r>
          </w:p>
        </w:tc>
        <w:tc>
          <w:tcPr>
            <w:tcW w:w="1409"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4550611A">
            <w:pPr>
              <w:jc w:val="both"/>
              <w:rPr>
                <w:rFonts w:hint="default" w:ascii="Times New Roman" w:hAnsi="Times New Roman" w:eastAsia="宋体" w:cs="Times New Roman"/>
                <w:i w:val="0"/>
                <w:color w:val="000000"/>
                <w:sz w:val="24"/>
                <w:szCs w:val="24"/>
                <w:u w:val="none"/>
              </w:rPr>
            </w:pPr>
          </w:p>
        </w:tc>
        <w:tc>
          <w:tcPr>
            <w:tcW w:w="1078" w:type="dxa"/>
            <w:vMerge w:val="continue"/>
            <w:tcBorders>
              <w:top w:val="nil"/>
              <w:left w:val="nil"/>
              <w:bottom w:val="single" w:color="000000" w:sz="12" w:space="0"/>
              <w:right w:val="single" w:color="000000" w:sz="12" w:space="0"/>
            </w:tcBorders>
            <w:shd w:val="clear" w:color="auto" w:fill="FFFFFF"/>
            <w:tcMar>
              <w:top w:w="15" w:type="dxa"/>
              <w:left w:w="15" w:type="dxa"/>
              <w:right w:w="15" w:type="dxa"/>
            </w:tcMar>
            <w:vAlign w:val="top"/>
          </w:tcPr>
          <w:p w14:paraId="719172E5">
            <w:pPr>
              <w:jc w:val="both"/>
              <w:rPr>
                <w:rFonts w:hint="default" w:ascii="Times New Roman" w:hAnsi="Times New Roman" w:eastAsia="仿宋" w:cs="Times New Roman"/>
                <w:i w:val="0"/>
                <w:color w:val="000000"/>
                <w:sz w:val="24"/>
                <w:szCs w:val="24"/>
                <w:u w:val="none"/>
              </w:rPr>
            </w:pPr>
          </w:p>
        </w:tc>
      </w:tr>
      <w:tr w14:paraId="62F1BF6A">
        <w:tblPrEx>
          <w:tblCellMar>
            <w:top w:w="0" w:type="dxa"/>
            <w:left w:w="0" w:type="dxa"/>
            <w:bottom w:w="0" w:type="dxa"/>
            <w:right w:w="0" w:type="dxa"/>
          </w:tblCellMar>
        </w:tblPrEx>
        <w:trPr>
          <w:trHeight w:val="585" w:hRule="atLeast"/>
        </w:trPr>
        <w:tc>
          <w:tcPr>
            <w:tcW w:w="642" w:type="dxa"/>
            <w:vMerge w:val="continue"/>
            <w:tcBorders>
              <w:top w:val="nil"/>
              <w:left w:val="single" w:color="000000" w:sz="12" w:space="0"/>
              <w:bottom w:val="single" w:color="000000" w:sz="8" w:space="0"/>
              <w:right w:val="single" w:color="000000" w:sz="8" w:space="0"/>
            </w:tcBorders>
            <w:shd w:val="clear" w:color="auto" w:fill="FFFFFF"/>
            <w:tcMar>
              <w:top w:w="15" w:type="dxa"/>
              <w:left w:w="15" w:type="dxa"/>
              <w:right w:w="15" w:type="dxa"/>
            </w:tcMar>
            <w:vAlign w:val="center"/>
          </w:tcPr>
          <w:p w14:paraId="64702ED3">
            <w:pPr>
              <w:jc w:val="center"/>
              <w:rPr>
                <w:rFonts w:hint="default" w:ascii="Times New Roman" w:hAnsi="Times New Roman" w:eastAsia="宋体" w:cs="Times New Roman"/>
                <w:i w:val="0"/>
                <w:color w:val="000000"/>
                <w:sz w:val="21"/>
                <w:szCs w:val="21"/>
                <w:u w:val="none"/>
              </w:rPr>
            </w:pPr>
          </w:p>
        </w:tc>
        <w:tc>
          <w:tcPr>
            <w:tcW w:w="106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BB15E83">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工作</w:t>
            </w:r>
          </w:p>
        </w:tc>
        <w:tc>
          <w:tcPr>
            <w:tcW w:w="470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0A01A63">
            <w:pPr>
              <w:keepNext w:val="0"/>
              <w:keepLines w:val="0"/>
              <w:widowControl/>
              <w:suppressLineNumbers w:val="0"/>
              <w:jc w:val="both"/>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13．其他需要集体决策的重要人事任免和重要人事工作。</w:t>
            </w:r>
          </w:p>
        </w:tc>
        <w:tc>
          <w:tcPr>
            <w:tcW w:w="1409"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158AFEDA">
            <w:pPr>
              <w:jc w:val="both"/>
              <w:rPr>
                <w:rFonts w:hint="default" w:ascii="Times New Roman" w:hAnsi="Times New Roman" w:eastAsia="宋体" w:cs="Times New Roman"/>
                <w:i w:val="0"/>
                <w:color w:val="000000"/>
                <w:sz w:val="24"/>
                <w:szCs w:val="24"/>
                <w:u w:val="none"/>
              </w:rPr>
            </w:pPr>
          </w:p>
        </w:tc>
        <w:tc>
          <w:tcPr>
            <w:tcW w:w="1078" w:type="dxa"/>
            <w:vMerge w:val="continue"/>
            <w:tcBorders>
              <w:top w:val="nil"/>
              <w:left w:val="nil"/>
              <w:bottom w:val="single" w:color="000000" w:sz="12" w:space="0"/>
              <w:right w:val="single" w:color="000000" w:sz="12" w:space="0"/>
            </w:tcBorders>
            <w:shd w:val="clear" w:color="auto" w:fill="FFFFFF"/>
            <w:tcMar>
              <w:top w:w="15" w:type="dxa"/>
              <w:left w:w="15" w:type="dxa"/>
              <w:right w:w="15" w:type="dxa"/>
            </w:tcMar>
            <w:vAlign w:val="top"/>
          </w:tcPr>
          <w:p w14:paraId="4FD65465">
            <w:pPr>
              <w:jc w:val="both"/>
              <w:rPr>
                <w:rFonts w:hint="default" w:ascii="Times New Roman" w:hAnsi="Times New Roman" w:eastAsia="仿宋" w:cs="Times New Roman"/>
                <w:i w:val="0"/>
                <w:color w:val="000000"/>
                <w:sz w:val="24"/>
                <w:szCs w:val="24"/>
                <w:u w:val="none"/>
              </w:rPr>
            </w:pPr>
          </w:p>
        </w:tc>
      </w:tr>
      <w:tr w14:paraId="139D9899">
        <w:tblPrEx>
          <w:tblCellMar>
            <w:top w:w="0" w:type="dxa"/>
            <w:left w:w="0" w:type="dxa"/>
            <w:bottom w:w="0" w:type="dxa"/>
            <w:right w:w="0" w:type="dxa"/>
          </w:tblCellMar>
        </w:tblPrEx>
        <w:trPr>
          <w:trHeight w:val="870" w:hRule="atLeast"/>
        </w:trPr>
        <w:tc>
          <w:tcPr>
            <w:tcW w:w="642" w:type="dxa"/>
            <w:vMerge w:val="restart"/>
            <w:tcBorders>
              <w:top w:val="nil"/>
              <w:left w:val="single" w:color="000000" w:sz="12" w:space="0"/>
              <w:bottom w:val="single" w:color="000000" w:sz="8" w:space="0"/>
              <w:right w:val="single" w:color="000000" w:sz="8" w:space="0"/>
            </w:tcBorders>
            <w:shd w:val="clear" w:color="auto" w:fill="FFFFFF"/>
            <w:tcMar>
              <w:top w:w="15" w:type="dxa"/>
              <w:left w:w="15" w:type="dxa"/>
              <w:right w:w="15" w:type="dxa"/>
            </w:tcMar>
            <w:vAlign w:val="center"/>
          </w:tcPr>
          <w:p w14:paraId="15630035">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w:t>
            </w:r>
          </w:p>
        </w:tc>
        <w:tc>
          <w:tcPr>
            <w:tcW w:w="1060" w:type="dxa"/>
            <w:tcBorders>
              <w:top w:val="nil"/>
              <w:left w:val="nil"/>
              <w:bottom w:val="nil"/>
              <w:right w:val="single" w:color="000000" w:sz="8" w:space="0"/>
            </w:tcBorders>
            <w:shd w:val="clear" w:color="auto" w:fill="FFFFFF"/>
            <w:tcMar>
              <w:top w:w="15" w:type="dxa"/>
              <w:left w:w="15" w:type="dxa"/>
              <w:right w:w="15" w:type="dxa"/>
            </w:tcMar>
            <w:vAlign w:val="center"/>
          </w:tcPr>
          <w:p w14:paraId="05F91FF1">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重大</w:t>
            </w:r>
          </w:p>
        </w:tc>
        <w:tc>
          <w:tcPr>
            <w:tcW w:w="470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97AF149">
            <w:pPr>
              <w:keepNext w:val="0"/>
              <w:keepLines w:val="0"/>
              <w:widowControl/>
              <w:suppressLineNumbers w:val="0"/>
              <w:jc w:val="both"/>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14．重大建设项目、重大投资项目、重大活动项目安排、重点工程项目的确定和招投标等。</w:t>
            </w:r>
          </w:p>
        </w:tc>
        <w:tc>
          <w:tcPr>
            <w:tcW w:w="1409"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2BE678DC">
            <w:pPr>
              <w:keepNext w:val="0"/>
              <w:keepLines w:val="0"/>
              <w:widowControl/>
              <w:suppressLineNumbers w:val="0"/>
              <w:jc w:val="both"/>
              <w:textAlignment w:val="top"/>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按照国家、省、市有关规定执行。</w:t>
            </w:r>
          </w:p>
        </w:tc>
        <w:tc>
          <w:tcPr>
            <w:tcW w:w="1078" w:type="dxa"/>
            <w:vMerge w:val="continue"/>
            <w:tcBorders>
              <w:top w:val="nil"/>
              <w:left w:val="nil"/>
              <w:bottom w:val="single" w:color="000000" w:sz="12" w:space="0"/>
              <w:right w:val="single" w:color="000000" w:sz="12" w:space="0"/>
            </w:tcBorders>
            <w:shd w:val="clear" w:color="auto" w:fill="FFFFFF"/>
            <w:tcMar>
              <w:top w:w="15" w:type="dxa"/>
              <w:left w:w="15" w:type="dxa"/>
              <w:right w:w="15" w:type="dxa"/>
            </w:tcMar>
            <w:vAlign w:val="top"/>
          </w:tcPr>
          <w:p w14:paraId="54481977">
            <w:pPr>
              <w:jc w:val="both"/>
              <w:rPr>
                <w:rFonts w:hint="default" w:ascii="Times New Roman" w:hAnsi="Times New Roman" w:eastAsia="仿宋" w:cs="Times New Roman"/>
                <w:i w:val="0"/>
                <w:color w:val="000000"/>
                <w:sz w:val="24"/>
                <w:szCs w:val="24"/>
                <w:u w:val="none"/>
              </w:rPr>
            </w:pPr>
          </w:p>
        </w:tc>
      </w:tr>
      <w:tr w14:paraId="43E3E8BE">
        <w:tblPrEx>
          <w:tblCellMar>
            <w:top w:w="0" w:type="dxa"/>
            <w:left w:w="0" w:type="dxa"/>
            <w:bottom w:w="0" w:type="dxa"/>
            <w:right w:w="0" w:type="dxa"/>
          </w:tblCellMar>
        </w:tblPrEx>
        <w:trPr>
          <w:trHeight w:val="870" w:hRule="atLeast"/>
        </w:trPr>
        <w:tc>
          <w:tcPr>
            <w:tcW w:w="642" w:type="dxa"/>
            <w:vMerge w:val="continue"/>
            <w:tcBorders>
              <w:top w:val="nil"/>
              <w:left w:val="single" w:color="000000" w:sz="12" w:space="0"/>
              <w:bottom w:val="single" w:color="000000" w:sz="8" w:space="0"/>
              <w:right w:val="single" w:color="000000" w:sz="8" w:space="0"/>
            </w:tcBorders>
            <w:shd w:val="clear" w:color="auto" w:fill="FFFFFF"/>
            <w:tcMar>
              <w:top w:w="15" w:type="dxa"/>
              <w:left w:w="15" w:type="dxa"/>
              <w:right w:w="15" w:type="dxa"/>
            </w:tcMar>
            <w:vAlign w:val="center"/>
          </w:tcPr>
          <w:p w14:paraId="7E2495D4">
            <w:pPr>
              <w:jc w:val="center"/>
              <w:rPr>
                <w:rFonts w:hint="default" w:ascii="Times New Roman" w:hAnsi="Times New Roman" w:eastAsia="宋体" w:cs="Times New Roman"/>
                <w:i w:val="0"/>
                <w:color w:val="000000"/>
                <w:sz w:val="21"/>
                <w:szCs w:val="21"/>
                <w:u w:val="none"/>
              </w:rPr>
            </w:pPr>
          </w:p>
        </w:tc>
        <w:tc>
          <w:tcPr>
            <w:tcW w:w="1060" w:type="dxa"/>
            <w:tcBorders>
              <w:top w:val="nil"/>
              <w:left w:val="nil"/>
              <w:bottom w:val="nil"/>
              <w:right w:val="single" w:color="000000" w:sz="8" w:space="0"/>
            </w:tcBorders>
            <w:shd w:val="clear" w:color="auto" w:fill="FFFFFF"/>
            <w:tcMar>
              <w:top w:w="15" w:type="dxa"/>
              <w:left w:w="15" w:type="dxa"/>
              <w:right w:w="15" w:type="dxa"/>
            </w:tcMar>
            <w:vAlign w:val="center"/>
          </w:tcPr>
          <w:p w14:paraId="65E386E6">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项目</w:t>
            </w:r>
          </w:p>
        </w:tc>
        <w:tc>
          <w:tcPr>
            <w:tcW w:w="470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6088E02E">
            <w:pPr>
              <w:keepNext w:val="0"/>
              <w:keepLines w:val="0"/>
              <w:widowControl/>
              <w:suppressLineNumbers w:val="0"/>
              <w:jc w:val="both"/>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15．大宗办公设施、设备的购置或新建、资产处置等按相关规定须提交党组会研究确定的事项。</w:t>
            </w:r>
          </w:p>
        </w:tc>
        <w:tc>
          <w:tcPr>
            <w:tcW w:w="1409"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27CE2982">
            <w:pPr>
              <w:jc w:val="both"/>
              <w:rPr>
                <w:rFonts w:hint="default" w:ascii="Times New Roman" w:hAnsi="Times New Roman" w:eastAsia="宋体" w:cs="Times New Roman"/>
                <w:i w:val="0"/>
                <w:color w:val="000000"/>
                <w:sz w:val="24"/>
                <w:szCs w:val="24"/>
                <w:u w:val="none"/>
              </w:rPr>
            </w:pPr>
          </w:p>
        </w:tc>
        <w:tc>
          <w:tcPr>
            <w:tcW w:w="1078" w:type="dxa"/>
            <w:vMerge w:val="continue"/>
            <w:tcBorders>
              <w:top w:val="nil"/>
              <w:left w:val="nil"/>
              <w:bottom w:val="single" w:color="000000" w:sz="12" w:space="0"/>
              <w:right w:val="single" w:color="000000" w:sz="12" w:space="0"/>
            </w:tcBorders>
            <w:shd w:val="clear" w:color="auto" w:fill="FFFFFF"/>
            <w:tcMar>
              <w:top w:w="15" w:type="dxa"/>
              <w:left w:w="15" w:type="dxa"/>
              <w:right w:w="15" w:type="dxa"/>
            </w:tcMar>
            <w:vAlign w:val="top"/>
          </w:tcPr>
          <w:p w14:paraId="2F284862">
            <w:pPr>
              <w:jc w:val="both"/>
              <w:rPr>
                <w:rFonts w:hint="default" w:ascii="Times New Roman" w:hAnsi="Times New Roman" w:eastAsia="仿宋" w:cs="Times New Roman"/>
                <w:i w:val="0"/>
                <w:color w:val="000000"/>
                <w:sz w:val="24"/>
                <w:szCs w:val="24"/>
                <w:u w:val="none"/>
              </w:rPr>
            </w:pPr>
          </w:p>
        </w:tc>
      </w:tr>
      <w:tr w14:paraId="546C43D6">
        <w:tblPrEx>
          <w:tblCellMar>
            <w:top w:w="0" w:type="dxa"/>
            <w:left w:w="0" w:type="dxa"/>
            <w:bottom w:w="0" w:type="dxa"/>
            <w:right w:w="0" w:type="dxa"/>
          </w:tblCellMar>
        </w:tblPrEx>
        <w:trPr>
          <w:trHeight w:val="330" w:hRule="atLeast"/>
        </w:trPr>
        <w:tc>
          <w:tcPr>
            <w:tcW w:w="642" w:type="dxa"/>
            <w:vMerge w:val="continue"/>
            <w:tcBorders>
              <w:top w:val="nil"/>
              <w:left w:val="single" w:color="000000" w:sz="12" w:space="0"/>
              <w:bottom w:val="single" w:color="000000" w:sz="8" w:space="0"/>
              <w:right w:val="single" w:color="000000" w:sz="8" w:space="0"/>
            </w:tcBorders>
            <w:shd w:val="clear" w:color="auto" w:fill="FFFFFF"/>
            <w:tcMar>
              <w:top w:w="15" w:type="dxa"/>
              <w:left w:w="15" w:type="dxa"/>
              <w:right w:w="15" w:type="dxa"/>
            </w:tcMar>
            <w:vAlign w:val="center"/>
          </w:tcPr>
          <w:p w14:paraId="5FC738C5">
            <w:pPr>
              <w:jc w:val="center"/>
              <w:rPr>
                <w:rFonts w:hint="default" w:ascii="Times New Roman" w:hAnsi="Times New Roman" w:eastAsia="宋体" w:cs="Times New Roman"/>
                <w:i w:val="0"/>
                <w:color w:val="000000"/>
                <w:sz w:val="21"/>
                <w:szCs w:val="21"/>
                <w:u w:val="none"/>
              </w:rPr>
            </w:pPr>
          </w:p>
        </w:tc>
        <w:tc>
          <w:tcPr>
            <w:tcW w:w="106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6E6BB1E6">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安排</w:t>
            </w:r>
          </w:p>
        </w:tc>
        <w:tc>
          <w:tcPr>
            <w:tcW w:w="470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E10BF71">
            <w:pPr>
              <w:keepNext w:val="0"/>
              <w:keepLines w:val="0"/>
              <w:widowControl/>
              <w:suppressLineNumbers w:val="0"/>
              <w:jc w:val="both"/>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16．其他需要集体决策的重大项目安排。</w:t>
            </w:r>
          </w:p>
        </w:tc>
        <w:tc>
          <w:tcPr>
            <w:tcW w:w="1409"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2A3F9608">
            <w:pPr>
              <w:jc w:val="both"/>
              <w:rPr>
                <w:rFonts w:hint="default" w:ascii="Times New Roman" w:hAnsi="Times New Roman" w:eastAsia="宋体" w:cs="Times New Roman"/>
                <w:i w:val="0"/>
                <w:color w:val="000000"/>
                <w:sz w:val="24"/>
                <w:szCs w:val="24"/>
                <w:u w:val="none"/>
              </w:rPr>
            </w:pPr>
          </w:p>
        </w:tc>
        <w:tc>
          <w:tcPr>
            <w:tcW w:w="1078" w:type="dxa"/>
            <w:vMerge w:val="continue"/>
            <w:tcBorders>
              <w:top w:val="nil"/>
              <w:left w:val="nil"/>
              <w:bottom w:val="single" w:color="000000" w:sz="12" w:space="0"/>
              <w:right w:val="single" w:color="000000" w:sz="12" w:space="0"/>
            </w:tcBorders>
            <w:shd w:val="clear" w:color="auto" w:fill="FFFFFF"/>
            <w:tcMar>
              <w:top w:w="15" w:type="dxa"/>
              <w:left w:w="15" w:type="dxa"/>
              <w:right w:w="15" w:type="dxa"/>
            </w:tcMar>
            <w:vAlign w:val="top"/>
          </w:tcPr>
          <w:p w14:paraId="5540FFA1">
            <w:pPr>
              <w:jc w:val="both"/>
              <w:rPr>
                <w:rFonts w:hint="default" w:ascii="Times New Roman" w:hAnsi="Times New Roman" w:eastAsia="仿宋" w:cs="Times New Roman"/>
                <w:i w:val="0"/>
                <w:color w:val="000000"/>
                <w:sz w:val="24"/>
                <w:szCs w:val="24"/>
                <w:u w:val="none"/>
              </w:rPr>
            </w:pPr>
          </w:p>
        </w:tc>
      </w:tr>
      <w:tr w14:paraId="2D6777B6">
        <w:tblPrEx>
          <w:tblCellMar>
            <w:top w:w="0" w:type="dxa"/>
            <w:left w:w="0" w:type="dxa"/>
            <w:bottom w:w="0" w:type="dxa"/>
            <w:right w:w="0" w:type="dxa"/>
          </w:tblCellMar>
        </w:tblPrEx>
        <w:trPr>
          <w:trHeight w:val="570" w:hRule="atLeast"/>
        </w:trPr>
        <w:tc>
          <w:tcPr>
            <w:tcW w:w="642" w:type="dxa"/>
            <w:vMerge w:val="restart"/>
            <w:tcBorders>
              <w:top w:val="nil"/>
              <w:left w:val="single" w:color="000000" w:sz="12" w:space="0"/>
              <w:bottom w:val="single" w:color="000000" w:sz="12" w:space="0"/>
              <w:right w:val="single" w:color="000000" w:sz="8" w:space="0"/>
            </w:tcBorders>
            <w:shd w:val="clear" w:color="auto" w:fill="FFFFFF"/>
            <w:tcMar>
              <w:top w:w="15" w:type="dxa"/>
              <w:left w:w="15" w:type="dxa"/>
              <w:right w:w="15" w:type="dxa"/>
            </w:tcMar>
            <w:vAlign w:val="center"/>
          </w:tcPr>
          <w:p w14:paraId="35E39AB5">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w:t>
            </w:r>
          </w:p>
        </w:tc>
        <w:tc>
          <w:tcPr>
            <w:tcW w:w="1060" w:type="dxa"/>
            <w:tcBorders>
              <w:top w:val="nil"/>
              <w:left w:val="nil"/>
              <w:bottom w:val="nil"/>
              <w:right w:val="single" w:color="000000" w:sz="8" w:space="0"/>
            </w:tcBorders>
            <w:shd w:val="clear" w:color="auto" w:fill="FFFFFF"/>
            <w:tcMar>
              <w:top w:w="15" w:type="dxa"/>
              <w:left w:w="15" w:type="dxa"/>
              <w:right w:w="15" w:type="dxa"/>
            </w:tcMar>
            <w:vAlign w:val="center"/>
          </w:tcPr>
          <w:p w14:paraId="31023D16">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大额</w:t>
            </w:r>
          </w:p>
        </w:tc>
        <w:tc>
          <w:tcPr>
            <w:tcW w:w="4706"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29017F4">
            <w:pPr>
              <w:keepNext w:val="0"/>
              <w:keepLines w:val="0"/>
              <w:widowControl/>
              <w:suppressLineNumbers w:val="0"/>
              <w:jc w:val="both"/>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17．货物和服务项目采购金额达到需通过政府集中采购的，采购货物或服务数额达到需公开招标的。</w:t>
            </w:r>
          </w:p>
        </w:tc>
        <w:tc>
          <w:tcPr>
            <w:tcW w:w="1409"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196E0133">
            <w:pPr>
              <w:keepNext w:val="0"/>
              <w:keepLines w:val="0"/>
              <w:widowControl/>
              <w:suppressLineNumbers w:val="0"/>
              <w:jc w:val="both"/>
              <w:textAlignment w:val="top"/>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按照市有关文件执行。</w:t>
            </w:r>
          </w:p>
        </w:tc>
        <w:tc>
          <w:tcPr>
            <w:tcW w:w="1078" w:type="dxa"/>
            <w:vMerge w:val="continue"/>
            <w:tcBorders>
              <w:top w:val="nil"/>
              <w:left w:val="nil"/>
              <w:bottom w:val="single" w:color="000000" w:sz="12" w:space="0"/>
              <w:right w:val="single" w:color="000000" w:sz="12" w:space="0"/>
            </w:tcBorders>
            <w:shd w:val="clear" w:color="auto" w:fill="FFFFFF"/>
            <w:tcMar>
              <w:top w:w="15" w:type="dxa"/>
              <w:left w:w="15" w:type="dxa"/>
              <w:right w:w="15" w:type="dxa"/>
            </w:tcMar>
            <w:vAlign w:val="top"/>
          </w:tcPr>
          <w:p w14:paraId="0AE97E96">
            <w:pPr>
              <w:jc w:val="both"/>
              <w:rPr>
                <w:rFonts w:hint="default" w:ascii="Times New Roman" w:hAnsi="Times New Roman" w:eastAsia="仿宋" w:cs="Times New Roman"/>
                <w:i w:val="0"/>
                <w:color w:val="000000"/>
                <w:sz w:val="24"/>
                <w:szCs w:val="24"/>
                <w:u w:val="none"/>
              </w:rPr>
            </w:pPr>
          </w:p>
        </w:tc>
      </w:tr>
      <w:tr w14:paraId="639FEE39">
        <w:tblPrEx>
          <w:tblCellMar>
            <w:top w:w="0" w:type="dxa"/>
            <w:left w:w="0" w:type="dxa"/>
            <w:bottom w:w="0" w:type="dxa"/>
            <w:right w:w="0" w:type="dxa"/>
          </w:tblCellMar>
        </w:tblPrEx>
        <w:trPr>
          <w:trHeight w:val="300" w:hRule="atLeast"/>
        </w:trPr>
        <w:tc>
          <w:tcPr>
            <w:tcW w:w="642" w:type="dxa"/>
            <w:vMerge w:val="continue"/>
            <w:tcBorders>
              <w:top w:val="nil"/>
              <w:left w:val="single" w:color="000000" w:sz="12" w:space="0"/>
              <w:bottom w:val="single" w:color="000000" w:sz="12" w:space="0"/>
              <w:right w:val="single" w:color="000000" w:sz="8" w:space="0"/>
            </w:tcBorders>
            <w:shd w:val="clear" w:color="auto" w:fill="FFFFFF"/>
            <w:tcMar>
              <w:top w:w="15" w:type="dxa"/>
              <w:left w:w="15" w:type="dxa"/>
              <w:right w:w="15" w:type="dxa"/>
            </w:tcMar>
            <w:vAlign w:val="center"/>
          </w:tcPr>
          <w:p w14:paraId="6E2102C9">
            <w:pPr>
              <w:jc w:val="center"/>
              <w:rPr>
                <w:rFonts w:hint="default" w:ascii="Times New Roman" w:hAnsi="Times New Roman" w:eastAsia="宋体" w:cs="Times New Roman"/>
                <w:i w:val="0"/>
                <w:color w:val="000000"/>
                <w:sz w:val="21"/>
                <w:szCs w:val="21"/>
                <w:u w:val="none"/>
              </w:rPr>
            </w:pPr>
          </w:p>
        </w:tc>
        <w:tc>
          <w:tcPr>
            <w:tcW w:w="1060" w:type="dxa"/>
            <w:tcBorders>
              <w:top w:val="nil"/>
              <w:left w:val="nil"/>
              <w:bottom w:val="nil"/>
              <w:right w:val="single" w:color="000000" w:sz="8" w:space="0"/>
            </w:tcBorders>
            <w:shd w:val="clear" w:color="auto" w:fill="FFFFFF"/>
            <w:tcMar>
              <w:top w:w="15" w:type="dxa"/>
              <w:left w:w="15" w:type="dxa"/>
              <w:right w:w="15" w:type="dxa"/>
            </w:tcMar>
            <w:vAlign w:val="center"/>
          </w:tcPr>
          <w:p w14:paraId="7E96C141">
            <w:pPr>
              <w:jc w:val="center"/>
              <w:rPr>
                <w:rFonts w:hint="default" w:ascii="Times New Roman" w:hAnsi="Times New Roman" w:eastAsia="宋体" w:cs="Times New Roman"/>
                <w:i w:val="0"/>
                <w:color w:val="000000"/>
                <w:sz w:val="21"/>
                <w:szCs w:val="21"/>
                <w:u w:val="none"/>
              </w:rPr>
            </w:pPr>
          </w:p>
        </w:tc>
        <w:tc>
          <w:tcPr>
            <w:tcW w:w="4706"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DBE601B">
            <w:pPr>
              <w:jc w:val="both"/>
              <w:rPr>
                <w:rFonts w:hint="default" w:ascii="Times New Roman" w:hAnsi="Times New Roman" w:eastAsia="仿宋" w:cs="Times New Roman"/>
                <w:i w:val="0"/>
                <w:color w:val="000000"/>
                <w:sz w:val="24"/>
                <w:szCs w:val="24"/>
                <w:u w:val="none"/>
              </w:rPr>
            </w:pPr>
          </w:p>
        </w:tc>
        <w:tc>
          <w:tcPr>
            <w:tcW w:w="140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230BC9A6">
            <w:pPr>
              <w:jc w:val="both"/>
              <w:rPr>
                <w:rFonts w:hint="default" w:ascii="Times New Roman" w:hAnsi="Times New Roman" w:eastAsia="仿宋" w:cs="Times New Roman"/>
                <w:i w:val="0"/>
                <w:color w:val="000000"/>
                <w:sz w:val="24"/>
                <w:szCs w:val="24"/>
                <w:u w:val="none"/>
              </w:rPr>
            </w:pPr>
          </w:p>
        </w:tc>
        <w:tc>
          <w:tcPr>
            <w:tcW w:w="1078" w:type="dxa"/>
            <w:vMerge w:val="continue"/>
            <w:tcBorders>
              <w:top w:val="nil"/>
              <w:left w:val="nil"/>
              <w:bottom w:val="single" w:color="000000" w:sz="12" w:space="0"/>
              <w:right w:val="single" w:color="000000" w:sz="12" w:space="0"/>
            </w:tcBorders>
            <w:shd w:val="clear" w:color="auto" w:fill="FFFFFF"/>
            <w:tcMar>
              <w:top w:w="15" w:type="dxa"/>
              <w:left w:w="15" w:type="dxa"/>
              <w:right w:w="15" w:type="dxa"/>
            </w:tcMar>
            <w:vAlign w:val="top"/>
          </w:tcPr>
          <w:p w14:paraId="72F5F759">
            <w:pPr>
              <w:jc w:val="both"/>
              <w:rPr>
                <w:rFonts w:hint="default" w:ascii="Times New Roman" w:hAnsi="Times New Roman" w:eastAsia="仿宋" w:cs="Times New Roman"/>
                <w:i w:val="0"/>
                <w:color w:val="000000"/>
                <w:sz w:val="24"/>
                <w:szCs w:val="24"/>
                <w:u w:val="none"/>
              </w:rPr>
            </w:pPr>
          </w:p>
        </w:tc>
      </w:tr>
      <w:tr w14:paraId="17090F06">
        <w:tblPrEx>
          <w:tblCellMar>
            <w:top w:w="0" w:type="dxa"/>
            <w:left w:w="0" w:type="dxa"/>
            <w:bottom w:w="0" w:type="dxa"/>
            <w:right w:w="0" w:type="dxa"/>
          </w:tblCellMar>
        </w:tblPrEx>
        <w:trPr>
          <w:trHeight w:val="285" w:hRule="atLeast"/>
        </w:trPr>
        <w:tc>
          <w:tcPr>
            <w:tcW w:w="642" w:type="dxa"/>
            <w:vMerge w:val="continue"/>
            <w:tcBorders>
              <w:top w:val="nil"/>
              <w:left w:val="single" w:color="000000" w:sz="12" w:space="0"/>
              <w:bottom w:val="single" w:color="000000" w:sz="12" w:space="0"/>
              <w:right w:val="single" w:color="000000" w:sz="8" w:space="0"/>
            </w:tcBorders>
            <w:shd w:val="clear" w:color="auto" w:fill="FFFFFF"/>
            <w:tcMar>
              <w:top w:w="15" w:type="dxa"/>
              <w:left w:w="15" w:type="dxa"/>
              <w:right w:w="15" w:type="dxa"/>
            </w:tcMar>
            <w:vAlign w:val="center"/>
          </w:tcPr>
          <w:p w14:paraId="12D4208A">
            <w:pPr>
              <w:jc w:val="center"/>
              <w:rPr>
                <w:rFonts w:hint="default" w:ascii="Times New Roman" w:hAnsi="Times New Roman" w:eastAsia="宋体" w:cs="Times New Roman"/>
                <w:i w:val="0"/>
                <w:color w:val="000000"/>
                <w:sz w:val="21"/>
                <w:szCs w:val="21"/>
                <w:u w:val="none"/>
              </w:rPr>
            </w:pPr>
          </w:p>
        </w:tc>
        <w:tc>
          <w:tcPr>
            <w:tcW w:w="1060" w:type="dxa"/>
            <w:tcBorders>
              <w:top w:val="nil"/>
              <w:left w:val="nil"/>
              <w:bottom w:val="nil"/>
              <w:right w:val="single" w:color="000000" w:sz="8" w:space="0"/>
            </w:tcBorders>
            <w:shd w:val="clear" w:color="auto" w:fill="FFFFFF"/>
            <w:tcMar>
              <w:top w:w="15" w:type="dxa"/>
              <w:left w:w="15" w:type="dxa"/>
              <w:right w:w="15" w:type="dxa"/>
            </w:tcMar>
            <w:vAlign w:val="center"/>
          </w:tcPr>
          <w:p w14:paraId="48B7B10A">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资金</w:t>
            </w:r>
          </w:p>
        </w:tc>
        <w:tc>
          <w:tcPr>
            <w:tcW w:w="4706"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F879D18">
            <w:pPr>
              <w:jc w:val="both"/>
              <w:rPr>
                <w:rFonts w:hint="default" w:ascii="Times New Roman" w:hAnsi="Times New Roman" w:eastAsia="仿宋" w:cs="Times New Roman"/>
                <w:i w:val="0"/>
                <w:color w:val="000000"/>
                <w:sz w:val="24"/>
                <w:szCs w:val="24"/>
                <w:u w:val="none"/>
              </w:rPr>
            </w:pPr>
          </w:p>
        </w:tc>
        <w:tc>
          <w:tcPr>
            <w:tcW w:w="140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3A32D2EA">
            <w:pPr>
              <w:jc w:val="both"/>
              <w:rPr>
                <w:rFonts w:hint="default" w:ascii="Times New Roman" w:hAnsi="Times New Roman" w:eastAsia="仿宋" w:cs="Times New Roman"/>
                <w:i w:val="0"/>
                <w:color w:val="000000"/>
                <w:sz w:val="24"/>
                <w:szCs w:val="24"/>
                <w:u w:val="none"/>
              </w:rPr>
            </w:pPr>
          </w:p>
        </w:tc>
        <w:tc>
          <w:tcPr>
            <w:tcW w:w="1078" w:type="dxa"/>
            <w:vMerge w:val="continue"/>
            <w:tcBorders>
              <w:top w:val="nil"/>
              <w:left w:val="nil"/>
              <w:bottom w:val="single" w:color="000000" w:sz="12" w:space="0"/>
              <w:right w:val="single" w:color="000000" w:sz="12" w:space="0"/>
            </w:tcBorders>
            <w:shd w:val="clear" w:color="auto" w:fill="FFFFFF"/>
            <w:tcMar>
              <w:top w:w="15" w:type="dxa"/>
              <w:left w:w="15" w:type="dxa"/>
              <w:right w:w="15" w:type="dxa"/>
            </w:tcMar>
            <w:vAlign w:val="top"/>
          </w:tcPr>
          <w:p w14:paraId="3F3CCD99">
            <w:pPr>
              <w:jc w:val="both"/>
              <w:rPr>
                <w:rFonts w:hint="default" w:ascii="Times New Roman" w:hAnsi="Times New Roman" w:eastAsia="仿宋" w:cs="Times New Roman"/>
                <w:i w:val="0"/>
                <w:color w:val="000000"/>
                <w:sz w:val="24"/>
                <w:szCs w:val="24"/>
                <w:u w:val="none"/>
              </w:rPr>
            </w:pPr>
          </w:p>
        </w:tc>
      </w:tr>
      <w:tr w14:paraId="1843EA94">
        <w:tblPrEx>
          <w:tblCellMar>
            <w:top w:w="0" w:type="dxa"/>
            <w:left w:w="0" w:type="dxa"/>
            <w:bottom w:w="0" w:type="dxa"/>
            <w:right w:w="0" w:type="dxa"/>
          </w:tblCellMar>
        </w:tblPrEx>
        <w:trPr>
          <w:trHeight w:val="1740" w:hRule="atLeast"/>
        </w:trPr>
        <w:tc>
          <w:tcPr>
            <w:tcW w:w="642" w:type="dxa"/>
            <w:vMerge w:val="continue"/>
            <w:tcBorders>
              <w:top w:val="nil"/>
              <w:left w:val="single" w:color="000000" w:sz="12" w:space="0"/>
              <w:bottom w:val="single" w:color="000000" w:sz="12" w:space="0"/>
              <w:right w:val="single" w:color="000000" w:sz="8" w:space="0"/>
            </w:tcBorders>
            <w:shd w:val="clear" w:color="auto" w:fill="FFFFFF"/>
            <w:tcMar>
              <w:top w:w="15" w:type="dxa"/>
              <w:left w:w="15" w:type="dxa"/>
              <w:right w:w="15" w:type="dxa"/>
            </w:tcMar>
            <w:vAlign w:val="center"/>
          </w:tcPr>
          <w:p w14:paraId="671AFCEB">
            <w:pPr>
              <w:jc w:val="center"/>
              <w:rPr>
                <w:rFonts w:hint="default" w:ascii="Times New Roman" w:hAnsi="Times New Roman" w:eastAsia="宋体" w:cs="Times New Roman"/>
                <w:i w:val="0"/>
                <w:color w:val="000000"/>
                <w:sz w:val="21"/>
                <w:szCs w:val="21"/>
                <w:u w:val="none"/>
              </w:rPr>
            </w:pPr>
          </w:p>
        </w:tc>
        <w:tc>
          <w:tcPr>
            <w:tcW w:w="1060" w:type="dxa"/>
            <w:tcBorders>
              <w:top w:val="nil"/>
              <w:left w:val="nil"/>
              <w:bottom w:val="nil"/>
              <w:right w:val="single" w:color="000000" w:sz="8" w:space="0"/>
            </w:tcBorders>
            <w:shd w:val="clear" w:color="auto" w:fill="FFFFFF"/>
            <w:tcMar>
              <w:top w:w="15" w:type="dxa"/>
              <w:left w:w="15" w:type="dxa"/>
              <w:right w:w="15" w:type="dxa"/>
            </w:tcMar>
            <w:vAlign w:val="center"/>
          </w:tcPr>
          <w:p w14:paraId="16517127">
            <w:pPr>
              <w:jc w:val="center"/>
              <w:rPr>
                <w:rFonts w:hint="default" w:ascii="Times New Roman" w:hAnsi="Times New Roman" w:eastAsia="宋体" w:cs="Times New Roman"/>
                <w:i w:val="0"/>
                <w:color w:val="000000"/>
                <w:sz w:val="21"/>
                <w:szCs w:val="21"/>
                <w:u w:val="none"/>
              </w:rPr>
            </w:pPr>
          </w:p>
        </w:tc>
        <w:tc>
          <w:tcPr>
            <w:tcW w:w="470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ABCA216">
            <w:pPr>
              <w:keepNext w:val="0"/>
              <w:keepLines w:val="0"/>
              <w:widowControl/>
              <w:suppressLineNumbers w:val="0"/>
              <w:jc w:val="both"/>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18．职责范围内财务预算的编制原则以及年度财务预算的编制、调整和大额度资金的使用原则。</w:t>
            </w:r>
          </w:p>
        </w:tc>
        <w:tc>
          <w:tcPr>
            <w:tcW w:w="1409"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0AADBE12">
            <w:pPr>
              <w:keepNext w:val="0"/>
              <w:keepLines w:val="0"/>
              <w:widowControl/>
              <w:suppressLineNumbers w:val="0"/>
              <w:jc w:val="both"/>
              <w:textAlignment w:val="top"/>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单项支出数额1万元以上的公共性资金安排、大额规费的减免等。</w:t>
            </w:r>
          </w:p>
        </w:tc>
        <w:tc>
          <w:tcPr>
            <w:tcW w:w="1078" w:type="dxa"/>
            <w:vMerge w:val="continue"/>
            <w:tcBorders>
              <w:top w:val="nil"/>
              <w:left w:val="nil"/>
              <w:bottom w:val="single" w:color="000000" w:sz="12" w:space="0"/>
              <w:right w:val="single" w:color="000000" w:sz="12" w:space="0"/>
            </w:tcBorders>
            <w:shd w:val="clear" w:color="auto" w:fill="FFFFFF"/>
            <w:tcMar>
              <w:top w:w="15" w:type="dxa"/>
              <w:left w:w="15" w:type="dxa"/>
              <w:right w:w="15" w:type="dxa"/>
            </w:tcMar>
            <w:vAlign w:val="top"/>
          </w:tcPr>
          <w:p w14:paraId="6F1B4D11">
            <w:pPr>
              <w:jc w:val="both"/>
              <w:rPr>
                <w:rFonts w:hint="default" w:ascii="Times New Roman" w:hAnsi="Times New Roman" w:eastAsia="仿宋" w:cs="Times New Roman"/>
                <w:i w:val="0"/>
                <w:color w:val="000000"/>
                <w:sz w:val="24"/>
                <w:szCs w:val="24"/>
                <w:u w:val="none"/>
              </w:rPr>
            </w:pPr>
          </w:p>
        </w:tc>
      </w:tr>
      <w:tr w14:paraId="6471E1DC">
        <w:tblPrEx>
          <w:tblCellMar>
            <w:top w:w="0" w:type="dxa"/>
            <w:left w:w="0" w:type="dxa"/>
            <w:bottom w:w="0" w:type="dxa"/>
            <w:right w:w="0" w:type="dxa"/>
          </w:tblCellMar>
        </w:tblPrEx>
        <w:trPr>
          <w:trHeight w:val="345" w:hRule="atLeast"/>
        </w:trPr>
        <w:tc>
          <w:tcPr>
            <w:tcW w:w="642" w:type="dxa"/>
            <w:vMerge w:val="continue"/>
            <w:tcBorders>
              <w:top w:val="nil"/>
              <w:left w:val="single" w:color="000000" w:sz="12" w:space="0"/>
              <w:bottom w:val="single" w:color="000000" w:sz="12" w:space="0"/>
              <w:right w:val="single" w:color="000000" w:sz="8" w:space="0"/>
            </w:tcBorders>
            <w:shd w:val="clear" w:color="auto" w:fill="FFFFFF"/>
            <w:tcMar>
              <w:top w:w="15" w:type="dxa"/>
              <w:left w:w="15" w:type="dxa"/>
              <w:right w:w="15" w:type="dxa"/>
            </w:tcMar>
            <w:vAlign w:val="center"/>
          </w:tcPr>
          <w:p w14:paraId="2F91C22D">
            <w:pPr>
              <w:jc w:val="center"/>
              <w:rPr>
                <w:rFonts w:hint="default" w:ascii="Times New Roman" w:hAnsi="Times New Roman" w:eastAsia="宋体" w:cs="Times New Roman"/>
                <w:i w:val="0"/>
                <w:color w:val="000000"/>
                <w:sz w:val="21"/>
                <w:szCs w:val="21"/>
                <w:u w:val="none"/>
              </w:rPr>
            </w:pPr>
          </w:p>
        </w:tc>
        <w:tc>
          <w:tcPr>
            <w:tcW w:w="1060" w:type="dxa"/>
            <w:tcBorders>
              <w:top w:val="nil"/>
              <w:left w:val="nil"/>
              <w:bottom w:val="single" w:color="000000" w:sz="12" w:space="0"/>
              <w:right w:val="single" w:color="000000" w:sz="8" w:space="0"/>
            </w:tcBorders>
            <w:shd w:val="clear" w:color="auto" w:fill="FFFFFF"/>
            <w:tcMar>
              <w:top w:w="15" w:type="dxa"/>
              <w:left w:w="15" w:type="dxa"/>
              <w:right w:w="15" w:type="dxa"/>
            </w:tcMar>
            <w:vAlign w:val="center"/>
          </w:tcPr>
          <w:p w14:paraId="34E9A83B">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使用</w:t>
            </w:r>
          </w:p>
        </w:tc>
        <w:tc>
          <w:tcPr>
            <w:tcW w:w="4706" w:type="dxa"/>
            <w:tcBorders>
              <w:top w:val="nil"/>
              <w:left w:val="nil"/>
              <w:bottom w:val="single" w:color="000000" w:sz="12" w:space="0"/>
              <w:right w:val="single" w:color="000000" w:sz="8" w:space="0"/>
            </w:tcBorders>
            <w:shd w:val="clear" w:color="auto" w:fill="FFFFFF"/>
            <w:tcMar>
              <w:top w:w="15" w:type="dxa"/>
              <w:left w:w="15" w:type="dxa"/>
              <w:right w:w="15" w:type="dxa"/>
            </w:tcMar>
            <w:vAlign w:val="center"/>
          </w:tcPr>
          <w:p w14:paraId="1E2CF40F">
            <w:pPr>
              <w:keepNext w:val="0"/>
              <w:keepLines w:val="0"/>
              <w:widowControl/>
              <w:suppressLineNumbers w:val="0"/>
              <w:jc w:val="both"/>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19．其他需要集体决策的大额度资金使用。</w:t>
            </w:r>
          </w:p>
        </w:tc>
        <w:tc>
          <w:tcPr>
            <w:tcW w:w="1409" w:type="dxa"/>
            <w:tcBorders>
              <w:top w:val="nil"/>
              <w:left w:val="nil"/>
              <w:bottom w:val="single" w:color="000000" w:sz="12" w:space="0"/>
              <w:right w:val="single" w:color="000000" w:sz="8" w:space="0"/>
            </w:tcBorders>
            <w:shd w:val="clear" w:color="auto" w:fill="FFFFFF"/>
            <w:tcMar>
              <w:top w:w="15" w:type="dxa"/>
              <w:left w:w="15" w:type="dxa"/>
              <w:right w:w="15" w:type="dxa"/>
            </w:tcMar>
            <w:vAlign w:val="top"/>
          </w:tcPr>
          <w:p w14:paraId="58598CC4">
            <w:pPr>
              <w:jc w:val="both"/>
              <w:rPr>
                <w:rFonts w:hint="default" w:ascii="Times New Roman" w:hAnsi="Times New Roman" w:eastAsia="宋体" w:cs="Times New Roman"/>
                <w:i w:val="0"/>
                <w:color w:val="000000"/>
                <w:sz w:val="24"/>
                <w:szCs w:val="24"/>
                <w:u w:val="none"/>
              </w:rPr>
            </w:pPr>
          </w:p>
        </w:tc>
        <w:tc>
          <w:tcPr>
            <w:tcW w:w="1078" w:type="dxa"/>
            <w:vMerge w:val="continue"/>
            <w:tcBorders>
              <w:top w:val="nil"/>
              <w:left w:val="nil"/>
              <w:bottom w:val="single" w:color="000000" w:sz="12" w:space="0"/>
              <w:right w:val="single" w:color="000000" w:sz="12" w:space="0"/>
            </w:tcBorders>
            <w:shd w:val="clear" w:color="auto" w:fill="FFFFFF"/>
            <w:tcMar>
              <w:top w:w="15" w:type="dxa"/>
              <w:left w:w="15" w:type="dxa"/>
              <w:right w:w="15" w:type="dxa"/>
            </w:tcMar>
            <w:vAlign w:val="top"/>
          </w:tcPr>
          <w:p w14:paraId="239FC73E">
            <w:pPr>
              <w:jc w:val="both"/>
              <w:rPr>
                <w:rFonts w:hint="default" w:ascii="Times New Roman" w:hAnsi="Times New Roman" w:eastAsia="仿宋" w:cs="Times New Roman"/>
                <w:i w:val="0"/>
                <w:color w:val="000000"/>
                <w:sz w:val="24"/>
                <w:szCs w:val="24"/>
                <w:u w:val="none"/>
              </w:rPr>
            </w:pPr>
          </w:p>
        </w:tc>
      </w:tr>
    </w:tbl>
    <w:p w14:paraId="097EC47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瀹嬩綋">
    <w:altName w:val="魂心"/>
    <w:panose1 w:val="00000000000000000000"/>
    <w:charset w:val="00"/>
    <w:family w:val="auto"/>
    <w:pitch w:val="default"/>
    <w:sig w:usb0="00000000" w:usb1="00000000" w:usb2="00000000" w:usb3="00000000" w:csb0="00000000" w:csb1="00000000"/>
  </w:font>
  <w:font w:name="汉仪旗黑-55">
    <w:altName w:val="黑体"/>
    <w:panose1 w:val="00020600040101010101"/>
    <w:charset w:val="86"/>
    <w:family w:val="auto"/>
    <w:pitch w:val="default"/>
    <w:sig w:usb0="00000000" w:usb1="00000000" w:usb2="00000016" w:usb3="00000000" w:csb0="00040000" w:csb1="00000000"/>
  </w:font>
  <w:font w:name="仿宋">
    <w:panose1 w:val="02010609060101010101"/>
    <w:charset w:val="86"/>
    <w:family w:val="auto"/>
    <w:pitch w:val="default"/>
    <w:sig w:usb0="800002BF" w:usb1="38CF7CFA" w:usb2="00000016" w:usb3="00000000" w:csb0="00040001" w:csb1="00000000"/>
  </w:font>
  <w:font w:name="魂心">
    <w:panose1 w:val="02000009000000000000"/>
    <w:charset w:val="80"/>
    <w:family w:val="auto"/>
    <w:pitch w:val="default"/>
    <w:sig w:usb0="A1007AEF" w:usb1="F9DF7CFB" w:usb2="0000001E" w:usb3="00000000" w:csb0="2002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7751DD"/>
    <w:rsid w:val="157751DD"/>
    <w:rsid w:val="28384613"/>
    <w:rsid w:val="76FBE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831</Words>
  <Characters>847</Characters>
  <Lines>0</Lines>
  <Paragraphs>0</Paragraphs>
  <TotalTime>5</TotalTime>
  <ScaleCrop>false</ScaleCrop>
  <LinksUpToDate>false</LinksUpToDate>
  <CharactersWithSpaces>847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2020-08-04T10:00:00Z</dcterms:created>
  <dc:creator>Tsia</dc:creator>
  <cp:lastModifiedBy>WPS_1530503930</cp:lastModifiedBy>
  <dcterms:modified xsi:type="dcterms:W3CDTF">2025-05-14T01:42:56Z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eyJoZGlkIjoiOTQ5YTlhMGRiOThkNjg4NjkxYWVlMjU1ZWIxMzdiNWEiLCJ1c2VySWQiOiIzODI5MzA2MjkifQ==</vt:lpwstr>
  </property>
  <property fmtid="{D5CDD505-2E9C-101B-9397-08002B2CF9AE}" pid="4" name="ICV">
    <vt:lpwstr>464EA9E6E3D440F69BD1B690137509D1_13</vt:lpwstr>
  </property>
</Properties>
</file>