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年度株洲市医保基金财务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分析报告</w:t>
      </w:r>
    </w:p>
    <w:p>
      <w:pPr>
        <w:pStyle w:val="3"/>
        <w:spacing w:line="530" w:lineRule="exact"/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年度基金年报数据，现将</w:t>
      </w:r>
      <w:r>
        <w:rPr>
          <w:rFonts w:hint="eastAsia" w:eastAsia="仿宋_GB2312"/>
          <w:sz w:val="32"/>
          <w:szCs w:val="32"/>
        </w:rPr>
        <w:t>株洲市</w:t>
      </w:r>
      <w:r>
        <w:rPr>
          <w:rFonts w:eastAsia="仿宋_GB2312"/>
          <w:sz w:val="32"/>
          <w:szCs w:val="32"/>
        </w:rPr>
        <w:t>医保基金</w:t>
      </w:r>
      <w:r>
        <w:rPr>
          <w:rFonts w:hint="eastAsia" w:eastAsia="仿宋_GB2312"/>
          <w:sz w:val="32"/>
          <w:szCs w:val="32"/>
        </w:rPr>
        <w:t>财务</w:t>
      </w:r>
      <w:r>
        <w:rPr>
          <w:rFonts w:eastAsia="仿宋_GB2312"/>
          <w:sz w:val="32"/>
          <w:szCs w:val="32"/>
        </w:rPr>
        <w:t>情况简要</w:t>
      </w:r>
      <w:r>
        <w:rPr>
          <w:rFonts w:hint="eastAsia" w:eastAsia="仿宋_GB2312"/>
          <w:sz w:val="32"/>
          <w:szCs w:val="32"/>
        </w:rPr>
        <w:t>汇报</w:t>
      </w:r>
      <w:r>
        <w:rPr>
          <w:rFonts w:eastAsia="仿宋_GB2312"/>
          <w:sz w:val="32"/>
          <w:szCs w:val="32"/>
        </w:rPr>
        <w:t>如下：</w:t>
      </w:r>
    </w:p>
    <w:p>
      <w:pPr>
        <w:spacing w:line="53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、基金收支余情况</w:t>
      </w:r>
    </w:p>
    <w:p>
      <w:pPr>
        <w:pStyle w:val="4"/>
        <w:spacing w:line="53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（一）职工医保基金</w:t>
      </w:r>
    </w:p>
    <w:p>
      <w:pPr>
        <w:spacing w:line="530" w:lineRule="exact"/>
        <w:ind w:firstLine="643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b/>
          <w:sz w:val="32"/>
          <w:szCs w:val="32"/>
        </w:rPr>
        <w:t>1.全市医保基金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年全市职工基本医疗保险基金总收入（不含上解下拨收入，支出同）</w:t>
      </w:r>
      <w:r>
        <w:rPr>
          <w:rFonts w:hint="eastAsia" w:eastAsia="仿宋_GB2312"/>
          <w:sz w:val="32"/>
          <w:szCs w:val="32"/>
          <w:lang w:val="en-US" w:eastAsia="zh-CN"/>
        </w:rPr>
        <w:t>41.24</w:t>
      </w:r>
      <w:r>
        <w:rPr>
          <w:rFonts w:eastAsia="仿宋_GB2312"/>
          <w:sz w:val="32"/>
          <w:szCs w:val="32"/>
        </w:rPr>
        <w:t>亿元，同比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21.12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eastAsia="仿宋_GB2312"/>
          <w:sz w:val="32"/>
          <w:szCs w:val="32"/>
          <w:highlight w:val="none"/>
        </w:rPr>
        <w:t>，</w:t>
      </w:r>
      <w:r>
        <w:rPr>
          <w:rFonts w:eastAsia="仿宋_GB2312"/>
          <w:sz w:val="32"/>
          <w:szCs w:val="32"/>
        </w:rPr>
        <w:t>其中统筹基金</w:t>
      </w:r>
      <w:r>
        <w:rPr>
          <w:rFonts w:hint="eastAsia" w:eastAsia="仿宋_GB2312"/>
          <w:sz w:val="32"/>
          <w:szCs w:val="32"/>
          <w:lang w:val="en-US" w:eastAsia="zh-CN"/>
        </w:rPr>
        <w:t>26.92</w:t>
      </w:r>
      <w:r>
        <w:rPr>
          <w:rFonts w:eastAsia="仿宋_GB2312"/>
          <w:sz w:val="32"/>
          <w:szCs w:val="32"/>
        </w:rPr>
        <w:t>亿元，个人账户基金</w:t>
      </w:r>
      <w:r>
        <w:rPr>
          <w:rFonts w:hint="eastAsia" w:eastAsia="仿宋_GB2312"/>
          <w:sz w:val="32"/>
          <w:szCs w:val="32"/>
          <w:lang w:val="en-US" w:eastAsia="zh-CN"/>
        </w:rPr>
        <w:t>14.32</w:t>
      </w:r>
      <w:r>
        <w:rPr>
          <w:rFonts w:eastAsia="仿宋_GB2312"/>
          <w:sz w:val="32"/>
          <w:szCs w:val="32"/>
        </w:rPr>
        <w:t>亿元；基金总支出</w:t>
      </w:r>
      <w:r>
        <w:rPr>
          <w:rFonts w:hint="eastAsia" w:eastAsia="仿宋_GB2312"/>
          <w:sz w:val="32"/>
          <w:szCs w:val="32"/>
          <w:lang w:val="en-US" w:eastAsia="zh-CN"/>
        </w:rPr>
        <w:t>34.12</w:t>
      </w:r>
      <w:r>
        <w:rPr>
          <w:rFonts w:eastAsia="仿宋_GB2312"/>
          <w:sz w:val="32"/>
          <w:szCs w:val="32"/>
        </w:rPr>
        <w:t>亿元（含生育医疗费支出</w:t>
      </w:r>
      <w:r>
        <w:rPr>
          <w:rFonts w:hint="eastAsia" w:eastAsia="仿宋_GB2312"/>
          <w:sz w:val="32"/>
          <w:szCs w:val="32"/>
          <w:lang w:val="en-US" w:eastAsia="zh-CN"/>
        </w:rPr>
        <w:t>0.32</w:t>
      </w:r>
      <w:r>
        <w:rPr>
          <w:rFonts w:eastAsia="仿宋_GB2312"/>
          <w:sz w:val="32"/>
          <w:szCs w:val="32"/>
        </w:rPr>
        <w:t>亿元、生育津贴支出</w:t>
      </w:r>
      <w:r>
        <w:rPr>
          <w:rFonts w:hint="eastAsia" w:eastAsia="仿宋_GB2312"/>
          <w:sz w:val="32"/>
          <w:szCs w:val="32"/>
          <w:lang w:val="en-US" w:eastAsia="zh-CN"/>
        </w:rPr>
        <w:t>1.2</w:t>
      </w:r>
      <w:r>
        <w:rPr>
          <w:rFonts w:eastAsia="仿宋_GB2312"/>
          <w:sz w:val="32"/>
          <w:szCs w:val="32"/>
        </w:rPr>
        <w:t>亿元），</w:t>
      </w:r>
      <w:r>
        <w:rPr>
          <w:rFonts w:eastAsia="仿宋_GB2312"/>
          <w:sz w:val="32"/>
          <w:szCs w:val="32"/>
          <w:highlight w:val="none"/>
        </w:rPr>
        <w:t>同比增长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8.35</w:t>
      </w:r>
      <w:r>
        <w:rPr>
          <w:rFonts w:eastAsia="仿宋_GB2312"/>
          <w:sz w:val="32"/>
          <w:szCs w:val="32"/>
          <w:highlight w:val="none"/>
        </w:rPr>
        <w:t>%，</w:t>
      </w:r>
      <w:r>
        <w:rPr>
          <w:rFonts w:eastAsia="仿宋_GB2312"/>
          <w:sz w:val="32"/>
          <w:szCs w:val="32"/>
        </w:rPr>
        <w:t>其中统筹基金</w:t>
      </w:r>
      <w:r>
        <w:rPr>
          <w:rFonts w:hint="eastAsia" w:eastAsia="仿宋_GB2312"/>
          <w:sz w:val="32"/>
          <w:szCs w:val="32"/>
          <w:lang w:val="en-US" w:eastAsia="zh-CN"/>
        </w:rPr>
        <w:t>21.63</w:t>
      </w:r>
      <w:r>
        <w:rPr>
          <w:rFonts w:eastAsia="仿宋_GB2312"/>
          <w:sz w:val="32"/>
          <w:szCs w:val="32"/>
        </w:rPr>
        <w:t>亿元，个人账户基金</w:t>
      </w:r>
      <w:r>
        <w:rPr>
          <w:rFonts w:hint="eastAsia" w:eastAsia="仿宋_GB2312"/>
          <w:sz w:val="32"/>
          <w:szCs w:val="32"/>
          <w:lang w:val="en-US" w:eastAsia="zh-CN"/>
        </w:rPr>
        <w:t>12.49</w:t>
      </w:r>
      <w:r>
        <w:rPr>
          <w:rFonts w:eastAsia="仿宋_GB2312"/>
          <w:sz w:val="32"/>
          <w:szCs w:val="32"/>
        </w:rPr>
        <w:t>亿元，当期结余</w:t>
      </w:r>
      <w:r>
        <w:rPr>
          <w:rFonts w:hint="eastAsia" w:eastAsia="仿宋_GB2312"/>
          <w:sz w:val="32"/>
          <w:szCs w:val="32"/>
          <w:lang w:val="en-US" w:eastAsia="zh-CN"/>
        </w:rPr>
        <w:t>7.12</w:t>
      </w:r>
      <w:r>
        <w:rPr>
          <w:rFonts w:eastAsia="仿宋_GB2312"/>
          <w:sz w:val="32"/>
          <w:szCs w:val="32"/>
        </w:rPr>
        <w:t>亿元（不含上解下拨收入，支出同），基金累计结余</w:t>
      </w:r>
      <w:r>
        <w:rPr>
          <w:rFonts w:hint="eastAsia" w:eastAsia="仿宋_GB2312"/>
          <w:sz w:val="32"/>
          <w:szCs w:val="32"/>
          <w:lang w:val="en-US" w:eastAsia="zh-CN"/>
        </w:rPr>
        <w:t>65.01</w:t>
      </w:r>
      <w:r>
        <w:rPr>
          <w:rFonts w:eastAsia="仿宋_GB2312"/>
          <w:sz w:val="32"/>
          <w:szCs w:val="32"/>
        </w:rPr>
        <w:t>亿元，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其中统筹基金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32.85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亿元，占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50.53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%；</w:t>
      </w:r>
      <w:r>
        <w:rPr>
          <w:rFonts w:eastAsia="仿宋_GB2312"/>
          <w:sz w:val="32"/>
          <w:szCs w:val="32"/>
        </w:rPr>
        <w:t>个人账户基金</w:t>
      </w:r>
      <w:r>
        <w:rPr>
          <w:rFonts w:hint="eastAsia" w:eastAsia="仿宋_GB2312"/>
          <w:sz w:val="32"/>
          <w:szCs w:val="32"/>
          <w:lang w:val="en-US" w:eastAsia="zh-CN"/>
        </w:rPr>
        <w:t>27.92</w:t>
      </w:r>
      <w:r>
        <w:rPr>
          <w:rFonts w:eastAsia="仿宋_GB2312"/>
          <w:sz w:val="32"/>
          <w:szCs w:val="32"/>
        </w:rPr>
        <w:t>亿元，占</w:t>
      </w:r>
      <w:r>
        <w:rPr>
          <w:rFonts w:hint="eastAsia"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>2.95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风险储备金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4.24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占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6.52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%。</w:t>
      </w:r>
    </w:p>
    <w:p>
      <w:pPr>
        <w:spacing w:line="53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按202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年月平均统筹基金支出水平（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1.8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亿元/月）计算，全市职工医保统筹基金累计可支付月数为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21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个月（按数分析）。</w:t>
      </w:r>
    </w:p>
    <w:p>
      <w:pPr>
        <w:spacing w:line="530" w:lineRule="exact"/>
        <w:ind w:firstLine="643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2.市本级医保基金。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年市</w:t>
      </w:r>
      <w:r>
        <w:rPr>
          <w:rFonts w:hint="eastAsia" w:eastAsia="仿宋_GB2312"/>
          <w:sz w:val="32"/>
          <w:szCs w:val="32"/>
        </w:rPr>
        <w:t>本级</w:t>
      </w:r>
      <w:r>
        <w:rPr>
          <w:rFonts w:eastAsia="仿宋_GB2312"/>
          <w:sz w:val="32"/>
          <w:szCs w:val="32"/>
        </w:rPr>
        <w:t>职工基本医疗保险基金总收入（不含上解下拨收入，支出同）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>32.73</w:t>
      </w:r>
      <w:r>
        <w:rPr>
          <w:rFonts w:eastAsia="仿宋_GB2312"/>
          <w:sz w:val="32"/>
          <w:szCs w:val="32"/>
        </w:rPr>
        <w:t>亿元，</w:t>
      </w:r>
      <w:r>
        <w:rPr>
          <w:rFonts w:eastAsia="仿宋_GB2312"/>
          <w:sz w:val="32"/>
          <w:szCs w:val="32"/>
          <w:highlight w:val="none"/>
        </w:rPr>
        <w:t>同比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增加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21.09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eastAsia="仿宋_GB2312"/>
          <w:sz w:val="32"/>
          <w:szCs w:val="32"/>
          <w:highlight w:val="none"/>
        </w:rPr>
        <w:t>，其</w:t>
      </w:r>
      <w:r>
        <w:rPr>
          <w:rFonts w:eastAsia="仿宋_GB2312"/>
          <w:sz w:val="32"/>
          <w:szCs w:val="32"/>
        </w:rPr>
        <w:t>中统筹基金</w:t>
      </w:r>
      <w:r>
        <w:rPr>
          <w:rFonts w:hint="eastAsia" w:eastAsia="仿宋_GB2312"/>
          <w:sz w:val="32"/>
          <w:szCs w:val="32"/>
          <w:lang w:val="en-US" w:eastAsia="zh-CN"/>
        </w:rPr>
        <w:t>21.1</w:t>
      </w:r>
      <w:r>
        <w:rPr>
          <w:rFonts w:eastAsia="仿宋_GB2312"/>
          <w:sz w:val="32"/>
          <w:szCs w:val="32"/>
        </w:rPr>
        <w:t>亿元，个人账户基金</w:t>
      </w:r>
      <w:r>
        <w:rPr>
          <w:rFonts w:hint="eastAsia" w:eastAsia="仿宋_GB2312"/>
          <w:sz w:val="32"/>
          <w:szCs w:val="32"/>
          <w:lang w:val="en-US" w:eastAsia="zh-CN"/>
        </w:rPr>
        <w:t>11.63</w:t>
      </w:r>
      <w:r>
        <w:rPr>
          <w:rFonts w:eastAsia="仿宋_GB2312"/>
          <w:sz w:val="32"/>
          <w:szCs w:val="32"/>
        </w:rPr>
        <w:t>亿元；基金总支出</w:t>
      </w:r>
      <w:r>
        <w:rPr>
          <w:rFonts w:hint="eastAsia" w:eastAsia="仿宋_GB2312"/>
          <w:sz w:val="32"/>
          <w:szCs w:val="32"/>
          <w:lang w:val="en-US" w:eastAsia="zh-CN"/>
        </w:rPr>
        <w:t>26.24</w:t>
      </w:r>
      <w:r>
        <w:rPr>
          <w:rFonts w:eastAsia="仿宋_GB2312"/>
          <w:sz w:val="32"/>
          <w:szCs w:val="32"/>
        </w:rPr>
        <w:t>亿元（含生育医疗费支出</w:t>
      </w:r>
      <w:r>
        <w:rPr>
          <w:rFonts w:hint="eastAsia" w:eastAsia="仿宋_GB2312"/>
          <w:sz w:val="32"/>
          <w:szCs w:val="32"/>
          <w:lang w:val="en-US" w:eastAsia="zh-CN"/>
        </w:rPr>
        <w:t>0.25</w:t>
      </w:r>
      <w:r>
        <w:rPr>
          <w:rFonts w:eastAsia="仿宋_GB2312"/>
          <w:sz w:val="32"/>
          <w:szCs w:val="32"/>
        </w:rPr>
        <w:t>亿元、生育津贴支出</w:t>
      </w:r>
      <w:r>
        <w:rPr>
          <w:rFonts w:hint="eastAsia" w:eastAsia="仿宋_GB2312"/>
          <w:sz w:val="32"/>
          <w:szCs w:val="32"/>
          <w:lang w:val="en-US" w:eastAsia="zh-CN"/>
        </w:rPr>
        <w:t>0.96</w:t>
      </w:r>
      <w:r>
        <w:rPr>
          <w:rFonts w:eastAsia="仿宋_GB2312"/>
          <w:sz w:val="32"/>
          <w:szCs w:val="32"/>
        </w:rPr>
        <w:t>亿元），</w:t>
      </w:r>
      <w:r>
        <w:rPr>
          <w:rFonts w:eastAsia="仿宋_GB2312"/>
          <w:sz w:val="32"/>
          <w:szCs w:val="32"/>
          <w:highlight w:val="none"/>
        </w:rPr>
        <w:t>同比增长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5.68</w:t>
      </w:r>
      <w:r>
        <w:rPr>
          <w:rFonts w:eastAsia="仿宋_GB2312"/>
          <w:sz w:val="32"/>
          <w:szCs w:val="32"/>
          <w:highlight w:val="none"/>
        </w:rPr>
        <w:t>%，其中统筹基</w:t>
      </w:r>
      <w:r>
        <w:rPr>
          <w:rFonts w:eastAsia="仿宋_GB2312"/>
          <w:sz w:val="32"/>
          <w:szCs w:val="32"/>
        </w:rPr>
        <w:t>金</w:t>
      </w:r>
      <w:r>
        <w:rPr>
          <w:rFonts w:hint="eastAsia" w:eastAsia="仿宋_GB2312"/>
          <w:sz w:val="32"/>
          <w:szCs w:val="32"/>
          <w:lang w:val="en-US" w:eastAsia="zh-CN"/>
        </w:rPr>
        <w:t>16.79</w:t>
      </w:r>
      <w:r>
        <w:rPr>
          <w:rFonts w:eastAsia="仿宋_GB2312"/>
          <w:sz w:val="32"/>
          <w:szCs w:val="32"/>
        </w:rPr>
        <w:t>亿元，个人账户基金</w:t>
      </w:r>
      <w:r>
        <w:rPr>
          <w:rFonts w:hint="eastAsia" w:eastAsia="仿宋_GB2312"/>
          <w:sz w:val="32"/>
          <w:szCs w:val="32"/>
          <w:lang w:val="en-US" w:eastAsia="zh-CN"/>
        </w:rPr>
        <w:t>9.45</w:t>
      </w:r>
      <w:r>
        <w:rPr>
          <w:rFonts w:eastAsia="仿宋_GB2312"/>
          <w:sz w:val="32"/>
          <w:szCs w:val="32"/>
        </w:rPr>
        <w:t>亿元，当期结余</w:t>
      </w:r>
      <w:r>
        <w:rPr>
          <w:rFonts w:hint="eastAsia" w:eastAsia="仿宋_GB2312"/>
          <w:sz w:val="32"/>
          <w:szCs w:val="32"/>
          <w:lang w:val="en-US" w:eastAsia="zh-CN"/>
        </w:rPr>
        <w:t>6.49</w:t>
      </w:r>
      <w:r>
        <w:rPr>
          <w:rFonts w:eastAsia="仿宋_GB2312"/>
          <w:sz w:val="32"/>
          <w:szCs w:val="32"/>
        </w:rPr>
        <w:t>亿元（不含上解下拨收入，支出同），基金累计结余</w:t>
      </w:r>
      <w:r>
        <w:rPr>
          <w:rFonts w:hint="eastAsia" w:eastAsia="仿宋_GB2312"/>
          <w:sz w:val="32"/>
          <w:szCs w:val="32"/>
          <w:lang w:val="en-US" w:eastAsia="zh-CN"/>
        </w:rPr>
        <w:t>54.56</w:t>
      </w:r>
      <w:r>
        <w:rPr>
          <w:rFonts w:eastAsia="仿宋_GB2312"/>
          <w:sz w:val="32"/>
          <w:szCs w:val="32"/>
        </w:rPr>
        <w:t>亿元，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其中统筹基金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7.98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亿元，占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51.28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%；个人账户基金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22.34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</w:t>
      </w:r>
      <w:r>
        <w:rPr>
          <w:rFonts w:eastAsia="仿宋_GB2312"/>
          <w:sz w:val="32"/>
          <w:szCs w:val="32"/>
        </w:rPr>
        <w:t>元，占</w:t>
      </w:r>
      <w:r>
        <w:rPr>
          <w:rFonts w:hint="eastAsia" w:eastAsia="仿宋_GB2312"/>
          <w:sz w:val="32"/>
          <w:szCs w:val="32"/>
          <w:lang w:val="en-US" w:eastAsia="zh-CN"/>
        </w:rPr>
        <w:t>40.95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风险储备金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4.24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亿元，占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7.77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spacing w:line="53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按202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年月平均统筹基金支出水平（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1.4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亿元/月）计算，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市本级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职工医保统筹基金累计可支付月数为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个月。</w:t>
      </w:r>
    </w:p>
    <w:p>
      <w:pPr>
        <w:pStyle w:val="4"/>
        <w:spacing w:line="530" w:lineRule="exact"/>
        <w:ind w:firstLine="480" w:firstLineChars="150"/>
        <w:jc w:val="both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（二）居民医保基金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1．全市医保基金。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年全市城乡居民基本医疗保险基金总收入</w:t>
      </w:r>
      <w:r>
        <w:rPr>
          <w:rFonts w:hint="eastAsia" w:eastAsia="仿宋_GB2312"/>
          <w:sz w:val="32"/>
          <w:szCs w:val="32"/>
          <w:lang w:val="en-US" w:eastAsia="zh-CN"/>
        </w:rPr>
        <w:t>30.45</w:t>
      </w:r>
      <w:r>
        <w:rPr>
          <w:rFonts w:eastAsia="仿宋_GB2312"/>
          <w:sz w:val="32"/>
          <w:szCs w:val="32"/>
        </w:rPr>
        <w:t>亿元（不含上解下拨收入，支出同），同比</w:t>
      </w:r>
      <w:r>
        <w:rPr>
          <w:rFonts w:eastAsia="仿宋_GB2312"/>
          <w:sz w:val="32"/>
          <w:szCs w:val="32"/>
          <w:highlight w:val="none"/>
        </w:rPr>
        <w:t>增长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4.39</w:t>
      </w:r>
      <w:r>
        <w:rPr>
          <w:rFonts w:eastAsia="仿宋_GB2312"/>
          <w:sz w:val="32"/>
          <w:szCs w:val="32"/>
          <w:highlight w:val="none"/>
        </w:rPr>
        <w:t>%，</w:t>
      </w:r>
      <w:r>
        <w:rPr>
          <w:rFonts w:eastAsia="仿宋_GB2312"/>
          <w:sz w:val="32"/>
          <w:szCs w:val="32"/>
        </w:rPr>
        <w:t>基金总支出</w:t>
      </w:r>
      <w:r>
        <w:rPr>
          <w:rFonts w:hint="eastAsia" w:eastAsia="仿宋_GB2312"/>
          <w:sz w:val="32"/>
          <w:szCs w:val="32"/>
          <w:lang w:val="en-US" w:eastAsia="zh-CN"/>
        </w:rPr>
        <w:t>29.48</w:t>
      </w:r>
      <w:r>
        <w:rPr>
          <w:rFonts w:eastAsia="仿宋_GB2312"/>
          <w:sz w:val="32"/>
          <w:szCs w:val="32"/>
        </w:rPr>
        <w:t>亿元，同比增长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10.21</w:t>
      </w:r>
      <w:r>
        <w:rPr>
          <w:rFonts w:eastAsia="仿宋_GB2312"/>
          <w:sz w:val="32"/>
          <w:szCs w:val="32"/>
          <w:highlight w:val="none"/>
        </w:rPr>
        <w:t>%，</w:t>
      </w:r>
      <w:r>
        <w:rPr>
          <w:rFonts w:eastAsia="仿宋_GB2312"/>
          <w:sz w:val="32"/>
          <w:szCs w:val="32"/>
        </w:rPr>
        <w:t>当期结余</w:t>
      </w:r>
      <w:r>
        <w:rPr>
          <w:rFonts w:hint="eastAsia" w:eastAsia="仿宋_GB2312"/>
          <w:sz w:val="32"/>
          <w:szCs w:val="32"/>
          <w:lang w:val="en-US" w:eastAsia="zh-CN"/>
        </w:rPr>
        <w:t>0.97</w:t>
      </w:r>
      <w:r>
        <w:rPr>
          <w:rFonts w:eastAsia="仿宋_GB2312"/>
          <w:sz w:val="32"/>
          <w:szCs w:val="32"/>
        </w:rPr>
        <w:t>亿元（不含上解下拨收入，支出同），基金累计结余</w:t>
      </w:r>
      <w:r>
        <w:rPr>
          <w:rFonts w:hint="eastAsia" w:eastAsia="仿宋_GB2312"/>
          <w:sz w:val="32"/>
          <w:szCs w:val="32"/>
          <w:lang w:val="en-US" w:eastAsia="zh-CN"/>
        </w:rPr>
        <w:t>26.52</w:t>
      </w:r>
      <w:r>
        <w:rPr>
          <w:rFonts w:eastAsia="仿宋_GB2312"/>
          <w:sz w:val="32"/>
          <w:szCs w:val="32"/>
        </w:rPr>
        <w:t>亿元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（其中风险储备金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6.4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亿元，占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24.13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%）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spacing w:line="53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按202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年月平均统筹基金支出水平（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2.46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亿元/月）计算，全市居民医保基金累计可支付月数为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个月。</w:t>
      </w:r>
    </w:p>
    <w:p>
      <w:pPr>
        <w:numPr>
          <w:ilvl w:val="0"/>
          <w:numId w:val="0"/>
        </w:numPr>
        <w:spacing w:line="53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hint="eastAsia" w:eastAsia="仿宋_GB2312"/>
          <w:sz w:val="32"/>
          <w:szCs w:val="32"/>
        </w:rPr>
        <w:t>市城区医保基金。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年市</w:t>
      </w:r>
      <w:r>
        <w:rPr>
          <w:rFonts w:hint="eastAsia" w:eastAsia="仿宋_GB2312"/>
          <w:sz w:val="32"/>
          <w:szCs w:val="32"/>
        </w:rPr>
        <w:t>本级</w:t>
      </w:r>
      <w:r>
        <w:rPr>
          <w:rFonts w:eastAsia="仿宋_GB2312"/>
          <w:sz w:val="32"/>
          <w:szCs w:val="32"/>
        </w:rPr>
        <w:t>城乡居民基本医疗保</w:t>
      </w:r>
      <w:bookmarkStart w:id="0" w:name="_GoBack"/>
      <w:bookmarkEnd w:id="0"/>
      <w:r>
        <w:rPr>
          <w:rFonts w:eastAsia="仿宋_GB2312"/>
          <w:sz w:val="32"/>
          <w:szCs w:val="32"/>
        </w:rPr>
        <w:t>险基金总收入</w:t>
      </w:r>
      <w:r>
        <w:rPr>
          <w:rFonts w:hint="eastAsia" w:eastAsia="仿宋_GB2312"/>
          <w:sz w:val="32"/>
          <w:szCs w:val="32"/>
          <w:lang w:val="en-US" w:eastAsia="zh-CN"/>
        </w:rPr>
        <w:t>8.22</w:t>
      </w:r>
      <w:r>
        <w:rPr>
          <w:rFonts w:eastAsia="仿宋_GB2312"/>
          <w:sz w:val="32"/>
          <w:szCs w:val="32"/>
        </w:rPr>
        <w:t>亿元，</w:t>
      </w:r>
      <w:r>
        <w:rPr>
          <w:rFonts w:eastAsia="仿宋_GB2312"/>
          <w:sz w:val="32"/>
          <w:szCs w:val="32"/>
          <w:highlight w:val="none"/>
        </w:rPr>
        <w:t>同比增长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6.06</w:t>
      </w:r>
      <w:r>
        <w:rPr>
          <w:rFonts w:hint="eastAsia" w:eastAsia="仿宋_GB2312"/>
          <w:sz w:val="32"/>
          <w:szCs w:val="32"/>
          <w:highlight w:val="none"/>
        </w:rPr>
        <w:t>%</w:t>
      </w:r>
      <w:r>
        <w:rPr>
          <w:rFonts w:eastAsia="仿宋_GB2312"/>
          <w:sz w:val="32"/>
          <w:szCs w:val="32"/>
          <w:highlight w:val="none"/>
        </w:rPr>
        <w:t>，</w:t>
      </w:r>
      <w:r>
        <w:rPr>
          <w:rFonts w:eastAsia="仿宋_GB2312"/>
          <w:sz w:val="32"/>
          <w:szCs w:val="32"/>
        </w:rPr>
        <w:t>基金总支出</w:t>
      </w:r>
      <w:r>
        <w:rPr>
          <w:rFonts w:hint="eastAsia" w:eastAsia="仿宋_GB2312"/>
          <w:sz w:val="32"/>
          <w:szCs w:val="32"/>
          <w:lang w:val="en-US" w:eastAsia="zh-CN"/>
        </w:rPr>
        <w:t>8.5</w:t>
      </w:r>
      <w:r>
        <w:rPr>
          <w:rFonts w:eastAsia="仿宋_GB2312"/>
          <w:sz w:val="32"/>
          <w:szCs w:val="32"/>
        </w:rPr>
        <w:t>亿元，</w:t>
      </w:r>
      <w:r>
        <w:rPr>
          <w:rFonts w:eastAsia="仿宋_GB2312"/>
          <w:sz w:val="32"/>
          <w:szCs w:val="32"/>
          <w:highlight w:val="none"/>
        </w:rPr>
        <w:t>同比增长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28.21</w:t>
      </w:r>
      <w:r>
        <w:rPr>
          <w:rFonts w:hint="eastAsia" w:eastAsia="仿宋_GB2312"/>
          <w:sz w:val="32"/>
          <w:szCs w:val="32"/>
          <w:highlight w:val="none"/>
        </w:rPr>
        <w:t>%</w:t>
      </w:r>
      <w:r>
        <w:rPr>
          <w:rFonts w:eastAsia="仿宋_GB2312"/>
          <w:sz w:val="32"/>
          <w:szCs w:val="32"/>
          <w:highlight w:val="none"/>
        </w:rPr>
        <w:t>，</w:t>
      </w:r>
      <w:r>
        <w:rPr>
          <w:rFonts w:eastAsia="仿宋_GB2312"/>
          <w:sz w:val="32"/>
          <w:szCs w:val="32"/>
        </w:rPr>
        <w:t>当期结余</w:t>
      </w:r>
      <w:r>
        <w:rPr>
          <w:rFonts w:hint="eastAsia" w:eastAsia="仿宋_GB2312"/>
          <w:sz w:val="32"/>
          <w:szCs w:val="32"/>
          <w:lang w:val="en-US" w:eastAsia="zh-CN"/>
        </w:rPr>
        <w:t>-0.28</w:t>
      </w:r>
      <w:r>
        <w:rPr>
          <w:rFonts w:eastAsia="仿宋_GB2312"/>
          <w:sz w:val="32"/>
          <w:szCs w:val="32"/>
        </w:rPr>
        <w:t>亿元，基金累计结余</w:t>
      </w:r>
      <w:r>
        <w:rPr>
          <w:rFonts w:hint="eastAsia" w:eastAsia="仿宋_GB2312"/>
          <w:sz w:val="32"/>
          <w:szCs w:val="32"/>
          <w:lang w:val="en-US" w:eastAsia="zh-CN"/>
        </w:rPr>
        <w:t>15.85</w:t>
      </w:r>
      <w:r>
        <w:rPr>
          <w:rFonts w:eastAsia="仿宋_GB2312"/>
          <w:sz w:val="32"/>
          <w:szCs w:val="32"/>
        </w:rPr>
        <w:t>亿元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（其中风险储备金</w:t>
      </w:r>
      <w:r>
        <w:rPr>
          <w:rFonts w:hint="eastAsia" w:eastAsia="仿宋_GB2312"/>
          <w:sz w:val="32"/>
          <w:szCs w:val="32"/>
          <w:lang w:val="en-US" w:eastAsia="zh-CN"/>
        </w:rPr>
        <w:t>6.</w:t>
      </w:r>
      <w:r>
        <w:rPr>
          <w:rFonts w:hint="eastAsia" w:eastAsia="仿宋_GB2312"/>
          <w:sz w:val="32"/>
          <w:szCs w:val="32"/>
        </w:rPr>
        <w:t>4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亿元，占</w:t>
      </w:r>
      <w:r>
        <w:rPr>
          <w:rFonts w:hint="eastAsia" w:eastAsia="仿宋_GB2312"/>
          <w:sz w:val="32"/>
          <w:szCs w:val="32"/>
          <w:lang w:val="en-US" w:eastAsia="zh-CN"/>
        </w:rPr>
        <w:t>40.38</w:t>
      </w:r>
      <w:r>
        <w:rPr>
          <w:rFonts w:hint="eastAsia" w:eastAsia="仿宋_GB2312"/>
          <w:sz w:val="32"/>
          <w:szCs w:val="32"/>
        </w:rPr>
        <w:t>%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spacing w:line="53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按202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年月平均统筹基金支出水平（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0.71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亿元/月）计算，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市本级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居民医保基金累计可支付月数为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22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个月。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30" w:lineRule="exact"/>
        <w:rPr>
          <w:rFonts w:eastAsia="仿宋_GB2312"/>
          <w:sz w:val="32"/>
          <w:szCs w:val="32"/>
        </w:rPr>
      </w:pPr>
    </w:p>
    <w:p>
      <w:pPr>
        <w:spacing w:line="530" w:lineRule="exact"/>
        <w:ind w:firstLine="1280" w:firstLineChars="4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sz w:val="32"/>
          <w:szCs w:val="32"/>
        </w:rPr>
        <w:t>年全市基本医疗基金收支余额</w:t>
      </w:r>
    </w:p>
    <w:tbl>
      <w:tblPr>
        <w:tblStyle w:val="7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23"/>
        <w:gridCol w:w="1131"/>
        <w:gridCol w:w="1131"/>
        <w:gridCol w:w="1410"/>
        <w:gridCol w:w="1414"/>
        <w:gridCol w:w="1131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87" w:type="dxa"/>
            <w:gridSpan w:val="2"/>
            <w:vMerge w:val="restart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</w:t>
            </w:r>
          </w:p>
        </w:tc>
        <w:tc>
          <w:tcPr>
            <w:tcW w:w="5086" w:type="dxa"/>
            <w:gridSpan w:val="4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职工</w:t>
            </w:r>
            <w:r>
              <w:rPr>
                <w:rFonts w:hint="eastAsia" w:eastAsia="仿宋_GB2312"/>
                <w:szCs w:val="21"/>
              </w:rPr>
              <w:t>（亿元）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居民</w:t>
            </w:r>
            <w:r>
              <w:rPr>
                <w:rFonts w:hint="eastAsia" w:eastAsia="仿宋_GB2312"/>
                <w:szCs w:val="21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687" w:type="dxa"/>
            <w:gridSpan w:val="2"/>
            <w:vMerge w:val="continue"/>
          </w:tcPr>
          <w:p>
            <w:pPr>
              <w:spacing w:line="53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统筹基金</w:t>
            </w:r>
          </w:p>
        </w:tc>
        <w:tc>
          <w:tcPr>
            <w:tcW w:w="1131" w:type="dxa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个人账户</w:t>
            </w:r>
          </w:p>
        </w:tc>
        <w:tc>
          <w:tcPr>
            <w:tcW w:w="1410" w:type="dxa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小计</w:t>
            </w:r>
          </w:p>
        </w:tc>
        <w:tc>
          <w:tcPr>
            <w:tcW w:w="1414" w:type="dxa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较上年增减</w:t>
            </w:r>
          </w:p>
        </w:tc>
        <w:tc>
          <w:tcPr>
            <w:tcW w:w="1131" w:type="dxa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统筹基金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Cs w:val="21"/>
              </w:rPr>
              <w:t>同比增减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restart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全市</w:t>
            </w:r>
          </w:p>
        </w:tc>
        <w:tc>
          <w:tcPr>
            <w:tcW w:w="1123" w:type="dxa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收入</w:t>
            </w:r>
          </w:p>
        </w:tc>
        <w:tc>
          <w:tcPr>
            <w:tcW w:w="1131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26.92</w:t>
            </w:r>
          </w:p>
        </w:tc>
        <w:tc>
          <w:tcPr>
            <w:tcW w:w="1131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14.32</w:t>
            </w:r>
          </w:p>
        </w:tc>
        <w:tc>
          <w:tcPr>
            <w:tcW w:w="1410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41.24</w:t>
            </w:r>
          </w:p>
        </w:tc>
        <w:tc>
          <w:tcPr>
            <w:tcW w:w="1414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21.12</w:t>
            </w:r>
            <w:r>
              <w:rPr>
                <w:rFonts w:eastAsia="仿宋_GB2312"/>
                <w:sz w:val="32"/>
                <w:szCs w:val="32"/>
              </w:rPr>
              <w:t>%</w:t>
            </w:r>
          </w:p>
        </w:tc>
        <w:tc>
          <w:tcPr>
            <w:tcW w:w="1131" w:type="dxa"/>
          </w:tcPr>
          <w:p>
            <w:pPr>
              <w:spacing w:line="530" w:lineRule="exact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30.45</w:t>
            </w:r>
          </w:p>
        </w:tc>
        <w:tc>
          <w:tcPr>
            <w:tcW w:w="1310" w:type="dxa"/>
          </w:tcPr>
          <w:p>
            <w:pPr>
              <w:spacing w:line="53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4.39</w:t>
            </w:r>
            <w:r>
              <w:rPr>
                <w:rFonts w:eastAsia="仿宋_GB2312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</w:p>
        </w:tc>
        <w:tc>
          <w:tcPr>
            <w:tcW w:w="1123" w:type="dxa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支出</w:t>
            </w:r>
          </w:p>
        </w:tc>
        <w:tc>
          <w:tcPr>
            <w:tcW w:w="1131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21.63</w:t>
            </w:r>
          </w:p>
        </w:tc>
        <w:tc>
          <w:tcPr>
            <w:tcW w:w="1131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12.49</w:t>
            </w:r>
          </w:p>
        </w:tc>
        <w:tc>
          <w:tcPr>
            <w:tcW w:w="1410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4.12</w:t>
            </w:r>
          </w:p>
        </w:tc>
        <w:tc>
          <w:tcPr>
            <w:tcW w:w="1414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8.35</w:t>
            </w:r>
            <w:r>
              <w:rPr>
                <w:rFonts w:hint="eastAsia" w:eastAsia="仿宋_GB2312"/>
                <w:sz w:val="32"/>
                <w:szCs w:val="32"/>
              </w:rPr>
              <w:t>%</w:t>
            </w:r>
          </w:p>
        </w:tc>
        <w:tc>
          <w:tcPr>
            <w:tcW w:w="1131" w:type="dxa"/>
          </w:tcPr>
          <w:p>
            <w:pPr>
              <w:spacing w:line="530" w:lineRule="exact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29.48</w:t>
            </w:r>
          </w:p>
        </w:tc>
        <w:tc>
          <w:tcPr>
            <w:tcW w:w="1310" w:type="dxa"/>
          </w:tcPr>
          <w:p>
            <w:pPr>
              <w:spacing w:line="53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10.21</w:t>
            </w:r>
            <w:r>
              <w:rPr>
                <w:rFonts w:eastAsia="仿宋_GB2312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</w:p>
        </w:tc>
        <w:tc>
          <w:tcPr>
            <w:tcW w:w="1123" w:type="dxa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累计结余</w:t>
            </w:r>
          </w:p>
        </w:tc>
        <w:tc>
          <w:tcPr>
            <w:tcW w:w="1131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37.09</w:t>
            </w:r>
          </w:p>
        </w:tc>
        <w:tc>
          <w:tcPr>
            <w:tcW w:w="1131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27.92</w:t>
            </w:r>
          </w:p>
        </w:tc>
        <w:tc>
          <w:tcPr>
            <w:tcW w:w="1410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65.01</w:t>
            </w:r>
          </w:p>
        </w:tc>
        <w:tc>
          <w:tcPr>
            <w:tcW w:w="1414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10.88</w:t>
            </w:r>
            <w:r>
              <w:rPr>
                <w:rFonts w:hint="eastAsia" w:eastAsia="仿宋_GB2312"/>
                <w:sz w:val="32"/>
                <w:szCs w:val="32"/>
              </w:rPr>
              <w:t>%</w:t>
            </w:r>
          </w:p>
        </w:tc>
        <w:tc>
          <w:tcPr>
            <w:tcW w:w="1131" w:type="dxa"/>
          </w:tcPr>
          <w:p>
            <w:pPr>
              <w:spacing w:line="530" w:lineRule="exact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26.52</w:t>
            </w:r>
          </w:p>
        </w:tc>
        <w:tc>
          <w:tcPr>
            <w:tcW w:w="1310" w:type="dxa"/>
          </w:tcPr>
          <w:p>
            <w:pPr>
              <w:spacing w:line="53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0.34</w:t>
            </w:r>
            <w:r>
              <w:rPr>
                <w:rFonts w:hint="eastAsia" w:eastAsia="仿宋_GB2312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restart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</w:t>
            </w:r>
          </w:p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</w:t>
            </w:r>
          </w:p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级</w:t>
            </w:r>
          </w:p>
        </w:tc>
        <w:tc>
          <w:tcPr>
            <w:tcW w:w="1123" w:type="dxa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收入</w:t>
            </w:r>
          </w:p>
        </w:tc>
        <w:tc>
          <w:tcPr>
            <w:tcW w:w="1131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21.1</w:t>
            </w:r>
          </w:p>
        </w:tc>
        <w:tc>
          <w:tcPr>
            <w:tcW w:w="1131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11.63</w:t>
            </w:r>
          </w:p>
        </w:tc>
        <w:tc>
          <w:tcPr>
            <w:tcW w:w="1410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32.73</w:t>
            </w:r>
          </w:p>
        </w:tc>
        <w:tc>
          <w:tcPr>
            <w:tcW w:w="1414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21.09</w:t>
            </w:r>
            <w:r>
              <w:rPr>
                <w:rFonts w:hint="eastAsia" w:eastAsia="仿宋_GB2312"/>
                <w:sz w:val="32"/>
                <w:szCs w:val="32"/>
              </w:rPr>
              <w:t>%</w:t>
            </w:r>
          </w:p>
        </w:tc>
        <w:tc>
          <w:tcPr>
            <w:tcW w:w="1131" w:type="dxa"/>
          </w:tcPr>
          <w:p>
            <w:pPr>
              <w:spacing w:line="530" w:lineRule="exact"/>
              <w:rPr>
                <w:rFonts w:hint="default" w:eastAsia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8.22</w:t>
            </w:r>
          </w:p>
        </w:tc>
        <w:tc>
          <w:tcPr>
            <w:tcW w:w="1310" w:type="dxa"/>
          </w:tcPr>
          <w:p>
            <w:pPr>
              <w:spacing w:line="530" w:lineRule="exact"/>
              <w:rPr>
                <w:rFonts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6.06</w:t>
            </w:r>
            <w:r>
              <w:rPr>
                <w:rFonts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</w:p>
        </w:tc>
        <w:tc>
          <w:tcPr>
            <w:tcW w:w="1123" w:type="dxa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支出</w:t>
            </w:r>
          </w:p>
        </w:tc>
        <w:tc>
          <w:tcPr>
            <w:tcW w:w="1131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16.79</w:t>
            </w:r>
          </w:p>
        </w:tc>
        <w:tc>
          <w:tcPr>
            <w:tcW w:w="1131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9.45</w:t>
            </w:r>
          </w:p>
        </w:tc>
        <w:tc>
          <w:tcPr>
            <w:tcW w:w="1410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26.24</w:t>
            </w:r>
          </w:p>
        </w:tc>
        <w:tc>
          <w:tcPr>
            <w:tcW w:w="1414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5.68</w:t>
            </w:r>
            <w:r>
              <w:rPr>
                <w:rFonts w:hint="eastAsia" w:eastAsia="仿宋_GB2312"/>
                <w:sz w:val="32"/>
                <w:szCs w:val="32"/>
              </w:rPr>
              <w:t>%</w:t>
            </w:r>
          </w:p>
        </w:tc>
        <w:tc>
          <w:tcPr>
            <w:tcW w:w="1131" w:type="dxa"/>
          </w:tcPr>
          <w:p>
            <w:pPr>
              <w:spacing w:line="530" w:lineRule="exact"/>
              <w:rPr>
                <w:rFonts w:hint="default" w:eastAsia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8.5</w:t>
            </w:r>
          </w:p>
        </w:tc>
        <w:tc>
          <w:tcPr>
            <w:tcW w:w="1310" w:type="dxa"/>
          </w:tcPr>
          <w:p>
            <w:pPr>
              <w:spacing w:line="530" w:lineRule="exact"/>
              <w:rPr>
                <w:rFonts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28.21</w:t>
            </w:r>
            <w:r>
              <w:rPr>
                <w:rFonts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</w:p>
        </w:tc>
        <w:tc>
          <w:tcPr>
            <w:tcW w:w="1123" w:type="dxa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累计结余</w:t>
            </w:r>
          </w:p>
        </w:tc>
        <w:tc>
          <w:tcPr>
            <w:tcW w:w="1131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32.22</w:t>
            </w:r>
          </w:p>
        </w:tc>
        <w:tc>
          <w:tcPr>
            <w:tcW w:w="1131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22.34</w:t>
            </w:r>
          </w:p>
        </w:tc>
        <w:tc>
          <w:tcPr>
            <w:tcW w:w="1410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54.56</w:t>
            </w:r>
          </w:p>
        </w:tc>
        <w:tc>
          <w:tcPr>
            <w:tcW w:w="1414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11.8</w:t>
            </w:r>
            <w:r>
              <w:rPr>
                <w:rFonts w:hint="eastAsia" w:eastAsia="仿宋_GB2312"/>
                <w:sz w:val="32"/>
                <w:szCs w:val="32"/>
              </w:rPr>
              <w:t>%</w:t>
            </w:r>
          </w:p>
        </w:tc>
        <w:tc>
          <w:tcPr>
            <w:tcW w:w="1131" w:type="dxa"/>
          </w:tcPr>
          <w:p>
            <w:pPr>
              <w:spacing w:line="530" w:lineRule="exact"/>
              <w:rPr>
                <w:rFonts w:hint="default" w:eastAsia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15.85</w:t>
            </w:r>
          </w:p>
        </w:tc>
        <w:tc>
          <w:tcPr>
            <w:tcW w:w="1310" w:type="dxa"/>
          </w:tcPr>
          <w:p>
            <w:pPr>
              <w:spacing w:line="530" w:lineRule="exact"/>
              <w:rPr>
                <w:rFonts w:hint="default" w:eastAsia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-7.85%</w:t>
            </w:r>
          </w:p>
        </w:tc>
      </w:tr>
    </w:tbl>
    <w:p>
      <w:pPr>
        <w:pStyle w:val="4"/>
        <w:spacing w:line="53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二、各县市区</w:t>
      </w:r>
      <w:r>
        <w:rPr>
          <w:rFonts w:ascii="黑体" w:hAnsi="黑体" w:eastAsia="黑体"/>
          <w:sz w:val="32"/>
          <w:szCs w:val="32"/>
        </w:rPr>
        <w:t>医保基金累计支撑能力</w:t>
      </w:r>
    </w:p>
    <w:p>
      <w:pPr>
        <w:pStyle w:val="2"/>
        <w:spacing w:line="53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年全市职工医保统筹基金累计结余</w:t>
      </w:r>
      <w:r>
        <w:rPr>
          <w:rFonts w:hint="eastAsia" w:eastAsia="仿宋_GB2312"/>
          <w:sz w:val="32"/>
          <w:szCs w:val="32"/>
          <w:lang w:val="en-US" w:eastAsia="zh-CN"/>
        </w:rPr>
        <w:t>37.09</w:t>
      </w:r>
      <w:r>
        <w:rPr>
          <w:rFonts w:hint="eastAsia" w:eastAsia="仿宋_GB2312"/>
          <w:sz w:val="32"/>
          <w:szCs w:val="32"/>
        </w:rPr>
        <w:t>亿元，同比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14.02</w:t>
      </w:r>
      <w:r>
        <w:rPr>
          <w:rFonts w:hint="eastAsia" w:eastAsia="仿宋_GB2312"/>
          <w:sz w:val="32"/>
          <w:szCs w:val="32"/>
        </w:rPr>
        <w:t>%，居民医保基金累计结余26.</w:t>
      </w:r>
      <w:r>
        <w:rPr>
          <w:rFonts w:hint="eastAsia" w:eastAsia="仿宋_GB2312"/>
          <w:sz w:val="32"/>
          <w:szCs w:val="32"/>
          <w:lang w:val="en-US" w:eastAsia="zh-CN"/>
        </w:rPr>
        <w:t>52</w:t>
      </w:r>
      <w:r>
        <w:rPr>
          <w:rFonts w:hint="eastAsia" w:eastAsia="仿宋_GB2312"/>
          <w:sz w:val="32"/>
          <w:szCs w:val="32"/>
        </w:rPr>
        <w:t>亿元，同比增长</w:t>
      </w:r>
      <w:r>
        <w:rPr>
          <w:rFonts w:hint="eastAsia" w:eastAsia="仿宋_GB2312"/>
          <w:sz w:val="32"/>
          <w:szCs w:val="32"/>
          <w:lang w:val="en-US" w:eastAsia="zh-CN"/>
        </w:rPr>
        <w:t>0.34</w:t>
      </w:r>
      <w:r>
        <w:rPr>
          <w:rFonts w:hint="eastAsia" w:eastAsia="仿宋_GB2312"/>
          <w:sz w:val="32"/>
          <w:szCs w:val="32"/>
        </w:rPr>
        <w:t>%。</w:t>
      </w:r>
    </w:p>
    <w:p>
      <w:pPr>
        <w:pStyle w:val="2"/>
        <w:spacing w:line="53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年市本级职工医保统筹基金累计结余</w:t>
      </w:r>
      <w:r>
        <w:rPr>
          <w:rFonts w:hint="eastAsia" w:eastAsia="仿宋_GB2312"/>
          <w:sz w:val="32"/>
          <w:szCs w:val="32"/>
          <w:lang w:val="en-US" w:eastAsia="zh-CN"/>
        </w:rPr>
        <w:t>32.22</w:t>
      </w:r>
      <w:r>
        <w:rPr>
          <w:rFonts w:hint="eastAsia" w:eastAsia="仿宋_GB2312"/>
          <w:sz w:val="32"/>
          <w:szCs w:val="32"/>
        </w:rPr>
        <w:t>亿元，同比增长1</w:t>
      </w:r>
      <w:r>
        <w:rPr>
          <w:rFonts w:hint="eastAsia" w:eastAsia="仿宋_GB2312"/>
          <w:sz w:val="32"/>
          <w:szCs w:val="32"/>
          <w:lang w:val="en-US" w:eastAsia="zh-CN"/>
        </w:rPr>
        <w:t>2.5</w:t>
      </w:r>
      <w:r>
        <w:rPr>
          <w:rFonts w:hint="eastAsia" w:eastAsia="仿宋_GB2312"/>
          <w:sz w:val="32"/>
          <w:szCs w:val="32"/>
        </w:rPr>
        <w:t>%，居民医保基金累计结余</w:t>
      </w:r>
      <w:r>
        <w:rPr>
          <w:rFonts w:hint="eastAsia" w:eastAsia="仿宋_GB2312"/>
          <w:sz w:val="32"/>
          <w:szCs w:val="32"/>
          <w:lang w:val="en-US" w:eastAsia="zh-CN"/>
        </w:rPr>
        <w:t>15.85</w:t>
      </w:r>
      <w:r>
        <w:rPr>
          <w:rFonts w:hint="eastAsia" w:eastAsia="仿宋_GB2312"/>
          <w:sz w:val="32"/>
          <w:szCs w:val="32"/>
        </w:rPr>
        <w:t>亿元，同比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7.85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spacing w:line="53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年全</w:t>
      </w:r>
      <w:r>
        <w:rPr>
          <w:rFonts w:hint="eastAsia"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职工医保统筹基金和居民医保基金累计可支付月数分别为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eastAsia="仿宋_GB2312"/>
          <w:sz w:val="32"/>
          <w:szCs w:val="32"/>
        </w:rPr>
        <w:t>个月和</w:t>
      </w: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个月。</w:t>
      </w:r>
    </w:p>
    <w:p>
      <w:pPr>
        <w:rPr>
          <w:rFonts w:ascii="楷体_GB2312" w:eastAsia="楷体_GB2312"/>
          <w:b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hint="eastAsia" w:ascii="楷体_GB2312" w:eastAsia="楷体_GB2312"/>
          <w:b/>
          <w:sz w:val="32"/>
          <w:szCs w:val="32"/>
        </w:rPr>
        <w:t xml:space="preserve"> （一）职工医保统筹基金</w:t>
      </w:r>
    </w:p>
    <w:p>
      <w:pPr>
        <w:pStyle w:val="2"/>
        <w:spacing w:line="53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各县市区</w:t>
      </w:r>
      <w:r>
        <w:rPr>
          <w:rFonts w:eastAsia="仿宋_GB2312"/>
          <w:sz w:val="32"/>
          <w:szCs w:val="32"/>
        </w:rPr>
        <w:t>职工医保统筹基金累计可支付月数最多的为</w:t>
      </w:r>
      <w:r>
        <w:rPr>
          <w:rFonts w:hint="eastAsia" w:eastAsia="仿宋_GB2312"/>
          <w:sz w:val="32"/>
          <w:szCs w:val="32"/>
        </w:rPr>
        <w:t>炎陵县3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个月，最低的是</w:t>
      </w:r>
      <w:r>
        <w:rPr>
          <w:rFonts w:hint="eastAsia" w:eastAsia="仿宋_GB2312"/>
          <w:sz w:val="32"/>
          <w:szCs w:val="32"/>
        </w:rPr>
        <w:t>茶陵县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个月，两者相差</w:t>
      </w:r>
      <w:r>
        <w:rPr>
          <w:rFonts w:hint="eastAsia"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个月。累计可支付月数</w:t>
      </w:r>
      <w:r>
        <w:rPr>
          <w:rFonts w:hint="eastAsia" w:eastAsia="仿宋_GB2312"/>
          <w:sz w:val="32"/>
          <w:szCs w:val="32"/>
        </w:rPr>
        <w:t>等于3</w:t>
      </w:r>
      <w:r>
        <w:rPr>
          <w:rFonts w:eastAsia="仿宋_GB2312"/>
          <w:sz w:val="32"/>
          <w:szCs w:val="32"/>
        </w:rPr>
        <w:t>个月</w:t>
      </w:r>
      <w:r>
        <w:rPr>
          <w:rFonts w:hint="eastAsia" w:eastAsia="仿宋_GB2312"/>
          <w:sz w:val="32"/>
          <w:szCs w:val="32"/>
          <w:lang w:eastAsia="zh-CN"/>
        </w:rPr>
        <w:t>无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累计可支付月数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于6个月高于3个月的是</w:t>
      </w:r>
      <w:r>
        <w:rPr>
          <w:rFonts w:hint="eastAsia" w:eastAsia="仿宋_GB2312"/>
          <w:sz w:val="32"/>
          <w:szCs w:val="32"/>
        </w:rPr>
        <w:t>茶陵县</w:t>
      </w:r>
      <w:r>
        <w:rPr>
          <w:rFonts w:eastAsia="仿宋_GB2312"/>
          <w:sz w:val="32"/>
          <w:szCs w:val="32"/>
        </w:rPr>
        <w:t>。</w:t>
      </w:r>
    </w:p>
    <w:p/>
    <w:p>
      <w:pPr>
        <w:ind w:firstLine="321" w:firstLineChars="1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年全市城镇职工医保基金统筹累计结余分布情况表</w:t>
      </w:r>
    </w:p>
    <w:tbl>
      <w:tblPr>
        <w:tblStyle w:val="6"/>
        <w:tblW w:w="855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92"/>
        <w:gridCol w:w="3584"/>
        <w:gridCol w:w="33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号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6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职工医保统筹基金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期末累计结余</w:t>
            </w:r>
          </w:p>
        </w:tc>
        <w:tc>
          <w:tcPr>
            <w:tcW w:w="3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实际可支付月数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亿元</w:t>
            </w:r>
          </w:p>
        </w:tc>
        <w:tc>
          <w:tcPr>
            <w:tcW w:w="3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茶陵县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mbria Math" w:hAnsi="Cambria Math" w:eastAsia="宋体" w:cs="宋体"/>
                <w:kern w:val="0"/>
                <w:sz w:val="22"/>
                <w:szCs w:val="22"/>
                <w:lang w:eastAsia="zh-CN"/>
                <w:oMath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0.2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攸  县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mbria Math" w:hAnsi="Cambria Math" w:eastAsia="宋体" w:cs="宋体"/>
                <w:kern w:val="0"/>
                <w:sz w:val="22"/>
                <w:szCs w:val="22"/>
                <w:lang w:val="en-US" w:eastAsia="zh-CN"/>
                <w:oMath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1.2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醴陵市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1.03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渌口区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mbria Math" w:hAnsi="Cambria Math" w:eastAsia="宋体" w:cs="宋体"/>
                <w:kern w:val="0"/>
                <w:sz w:val="22"/>
                <w:szCs w:val="22"/>
                <w:lang w:val="en-US" w:eastAsia="zh-CN"/>
                <w:oMath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1.23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市本级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mbria Math" w:hAnsi="Cambria Math" w:eastAsia="宋体" w:cs="宋体"/>
                <w:kern w:val="0"/>
                <w:sz w:val="22"/>
                <w:szCs w:val="22"/>
                <w:lang w:val="en-US" w:eastAsia="zh-CN"/>
                <w:oMath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32.22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炎陵县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mbria Math" w:hAnsi="Cambria Math" w:eastAsia="宋体" w:cs="宋体"/>
                <w:kern w:val="0"/>
                <w:sz w:val="22"/>
                <w:szCs w:val="22"/>
                <w:lang w:val="en-US" w:eastAsia="zh-CN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宋体"/>
                    <w:kern w:val="0"/>
                    <w:sz w:val="22"/>
                    <w:szCs w:val="22"/>
                    <w:lang w:val="en-US" w:eastAsia="zh-CN"/>
                  </w:rPr>
                  <m:t>1.13</m:t>
                </m:r>
              </m:oMath>
            </m:oMathPara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合计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val="en-US" w:eastAsia="zh-CN"/>
              </w:rPr>
              <w:t>37.08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</w:tbl>
    <w:p/>
    <w:p>
      <w:pPr>
        <w:pStyle w:val="2"/>
        <w:spacing w:line="530" w:lineRule="exact"/>
        <w:ind w:left="0"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（二）居民医保基金</w:t>
      </w:r>
    </w:p>
    <w:p>
      <w:pPr>
        <w:pStyle w:val="2"/>
        <w:spacing w:line="53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各县市区</w:t>
      </w:r>
      <w:r>
        <w:rPr>
          <w:rFonts w:eastAsia="仿宋_GB2312"/>
          <w:sz w:val="32"/>
          <w:szCs w:val="32"/>
        </w:rPr>
        <w:t>居民医保基金累计可支付月数最多的为</w:t>
      </w:r>
      <w:r>
        <w:rPr>
          <w:rFonts w:hint="eastAsia" w:eastAsia="仿宋_GB2312"/>
          <w:sz w:val="32"/>
          <w:szCs w:val="32"/>
        </w:rPr>
        <w:t>市城区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个月，最低的是</w:t>
      </w:r>
      <w:r>
        <w:rPr>
          <w:rFonts w:hint="eastAsia" w:eastAsia="仿宋_GB2312"/>
          <w:sz w:val="32"/>
          <w:szCs w:val="32"/>
        </w:rPr>
        <w:t>渌口区2</w:t>
      </w:r>
      <w:r>
        <w:rPr>
          <w:rFonts w:eastAsia="仿宋_GB2312"/>
          <w:sz w:val="32"/>
          <w:szCs w:val="32"/>
        </w:rPr>
        <w:t>个月，两者相差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个月。累计可支付月数低于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个月</w:t>
      </w:r>
      <w:r>
        <w:rPr>
          <w:rFonts w:hint="eastAsia" w:eastAsia="仿宋_GB2312"/>
          <w:sz w:val="32"/>
          <w:szCs w:val="32"/>
        </w:rPr>
        <w:t>为渌口区；</w:t>
      </w:r>
      <w:r>
        <w:rPr>
          <w:rFonts w:eastAsia="仿宋_GB2312"/>
          <w:sz w:val="32"/>
          <w:szCs w:val="32"/>
        </w:rPr>
        <w:t>累计可支付月数低于</w:t>
      </w:r>
      <w:r>
        <w:rPr>
          <w:rFonts w:hint="eastAsia" w:eastAsia="仿宋_GB2312"/>
          <w:sz w:val="32"/>
          <w:szCs w:val="32"/>
        </w:rPr>
        <w:t>等于</w:t>
      </w:r>
      <w:r>
        <w:rPr>
          <w:rFonts w:eastAsia="仿宋_GB2312"/>
          <w:sz w:val="32"/>
          <w:szCs w:val="32"/>
        </w:rPr>
        <w:t>6个月高于3个月的有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个，分别是</w:t>
      </w:r>
      <w:r>
        <w:rPr>
          <w:rFonts w:hint="eastAsia" w:eastAsia="仿宋_GB2312"/>
          <w:sz w:val="32"/>
          <w:szCs w:val="32"/>
          <w:lang w:eastAsia="zh-CN"/>
        </w:rPr>
        <w:t>攸县</w:t>
      </w:r>
      <w:r>
        <w:rPr>
          <w:rFonts w:hint="eastAsia" w:eastAsia="仿宋_GB2312"/>
          <w:sz w:val="32"/>
          <w:szCs w:val="32"/>
          <w:lang w:val="en-US" w:eastAsia="zh-CN"/>
        </w:rPr>
        <w:t>5个月、</w:t>
      </w:r>
      <w:r>
        <w:rPr>
          <w:rFonts w:hint="eastAsia" w:eastAsia="仿宋_GB2312"/>
          <w:sz w:val="32"/>
          <w:szCs w:val="32"/>
        </w:rPr>
        <w:t>醴陵市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个月。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年全市城乡居民保险基金累计结余分布情况表</w:t>
      </w:r>
    </w:p>
    <w:tbl>
      <w:tblPr>
        <w:tblStyle w:val="6"/>
        <w:tblW w:w="7677" w:type="dxa"/>
        <w:tblInd w:w="6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98"/>
        <w:gridCol w:w="2976"/>
        <w:gridCol w:w="25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市县区</w:t>
            </w:r>
          </w:p>
        </w:tc>
        <w:tc>
          <w:tcPr>
            <w:tcW w:w="5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城乡居民医保基金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期末累计结余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实际可支付月数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亿元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渌口区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0.43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攸  县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2.18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醴陵市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3.36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茶陵县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3.29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炎陵县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1.41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市城区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15.85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26.52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12</w:t>
            </w:r>
          </w:p>
        </w:tc>
      </w:tr>
    </w:tbl>
    <w:p>
      <w:pPr>
        <w:pStyle w:val="4"/>
        <w:spacing w:line="53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三、存在的问题和建议</w:t>
      </w:r>
    </w:p>
    <w:p>
      <w:pPr>
        <w:pStyle w:val="4"/>
        <w:spacing w:line="530" w:lineRule="exact"/>
        <w:ind w:firstLine="643" w:firstLineChars="200"/>
        <w:jc w:val="both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</w:rPr>
        <w:t>一</w:t>
      </w:r>
      <w:r>
        <w:rPr>
          <w:rFonts w:eastAsia="楷体_GB2312"/>
          <w:b/>
          <w:sz w:val="32"/>
          <w:szCs w:val="32"/>
        </w:rPr>
        <w:t>）职工医保和居民加强风险预警</w:t>
      </w:r>
    </w:p>
    <w:p>
      <w:pPr>
        <w:pStyle w:val="4"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累计可支付月数较低的统筹区加强对基金的运行监测及风险预警，基金累计结余可支付月数在6个月以下的统筹区，</w:t>
      </w:r>
      <w:r>
        <w:rPr>
          <w:rFonts w:hint="eastAsia" w:eastAsia="仿宋_GB2312"/>
          <w:sz w:val="32"/>
          <w:szCs w:val="32"/>
        </w:rPr>
        <w:t>要求该统筹区</w:t>
      </w:r>
      <w:r>
        <w:rPr>
          <w:rFonts w:eastAsia="仿宋_GB2312"/>
          <w:sz w:val="32"/>
          <w:szCs w:val="32"/>
        </w:rPr>
        <w:t>按月对基本医疗保险基金运行情况进行分析，密切监测基金运行状况，认真查找诱发基金运行风险的原因，及时采取应对措施，通过调整政策、强化监管等措施逐渐消除基金支付风险，确保医保可持续发展。</w:t>
      </w: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eastAsia="仿宋_GB2312"/>
          <w:b/>
          <w:bCs/>
          <w:sz w:val="32"/>
          <w:szCs w:val="32"/>
        </w:rPr>
        <w:t>理顺医保费征管职责。</w:t>
      </w:r>
      <w:r>
        <w:rPr>
          <w:rFonts w:hint="eastAsia" w:ascii="仿宋_GB2312" w:eastAsia="仿宋_GB2312"/>
          <w:sz w:val="32"/>
          <w:szCs w:val="32"/>
        </w:rPr>
        <w:t>建立对账机制，明确数据传送规则、对账截止时点和资金划拨规则，稳步推进医保费征缴职责划转。与税务部门共同做好征缴移交工作，确保在移交过程中工作不断、政策不变，不影响群众参保缴费和待遇享受。</w:t>
      </w: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株洲市医疗保障事务中心</w:t>
      </w:r>
    </w:p>
    <w:p>
      <w:pPr>
        <w:numPr>
          <w:ilvl w:val="0"/>
          <w:numId w:val="0"/>
        </w:num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2025年12月12日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Tg5MWFkZjdiNWVlNzJlYzgwNjMwNjFmNjljNmEifQ=="/>
  </w:docVars>
  <w:rsids>
    <w:rsidRoot w:val="00001035"/>
    <w:rsid w:val="00001035"/>
    <w:rsid w:val="00003A7B"/>
    <w:rsid w:val="000440F6"/>
    <w:rsid w:val="00056288"/>
    <w:rsid w:val="00080C00"/>
    <w:rsid w:val="000B052B"/>
    <w:rsid w:val="000E36CF"/>
    <w:rsid w:val="000E6355"/>
    <w:rsid w:val="000F1045"/>
    <w:rsid w:val="000F4FF2"/>
    <w:rsid w:val="00102223"/>
    <w:rsid w:val="00105AAE"/>
    <w:rsid w:val="00122922"/>
    <w:rsid w:val="00152405"/>
    <w:rsid w:val="00161E77"/>
    <w:rsid w:val="00171681"/>
    <w:rsid w:val="001B6200"/>
    <w:rsid w:val="001D6240"/>
    <w:rsid w:val="00202975"/>
    <w:rsid w:val="002227DA"/>
    <w:rsid w:val="00236398"/>
    <w:rsid w:val="002D088F"/>
    <w:rsid w:val="002F5EDE"/>
    <w:rsid w:val="00320325"/>
    <w:rsid w:val="00345216"/>
    <w:rsid w:val="00362070"/>
    <w:rsid w:val="003B3644"/>
    <w:rsid w:val="003E5AD4"/>
    <w:rsid w:val="003F5A3E"/>
    <w:rsid w:val="00400DF1"/>
    <w:rsid w:val="00427CC6"/>
    <w:rsid w:val="00431195"/>
    <w:rsid w:val="00431AC3"/>
    <w:rsid w:val="00550C0D"/>
    <w:rsid w:val="00553D0F"/>
    <w:rsid w:val="00573161"/>
    <w:rsid w:val="0057537A"/>
    <w:rsid w:val="00576119"/>
    <w:rsid w:val="0059104E"/>
    <w:rsid w:val="005C0BE1"/>
    <w:rsid w:val="005D0272"/>
    <w:rsid w:val="005D71C5"/>
    <w:rsid w:val="00640489"/>
    <w:rsid w:val="006435B6"/>
    <w:rsid w:val="00657434"/>
    <w:rsid w:val="00675809"/>
    <w:rsid w:val="0069152C"/>
    <w:rsid w:val="006A0BAB"/>
    <w:rsid w:val="006B70F0"/>
    <w:rsid w:val="006D692E"/>
    <w:rsid w:val="0071196A"/>
    <w:rsid w:val="0073634B"/>
    <w:rsid w:val="00756108"/>
    <w:rsid w:val="00780F54"/>
    <w:rsid w:val="0078681F"/>
    <w:rsid w:val="00794FD9"/>
    <w:rsid w:val="007A0C13"/>
    <w:rsid w:val="007F71B3"/>
    <w:rsid w:val="00803CD3"/>
    <w:rsid w:val="00813D14"/>
    <w:rsid w:val="008250E8"/>
    <w:rsid w:val="00831AB3"/>
    <w:rsid w:val="008471D4"/>
    <w:rsid w:val="00854DDC"/>
    <w:rsid w:val="00854EC7"/>
    <w:rsid w:val="00860436"/>
    <w:rsid w:val="00877373"/>
    <w:rsid w:val="008850ED"/>
    <w:rsid w:val="00893A5D"/>
    <w:rsid w:val="008C029C"/>
    <w:rsid w:val="008C1C42"/>
    <w:rsid w:val="008D5E01"/>
    <w:rsid w:val="008F79AC"/>
    <w:rsid w:val="009379A4"/>
    <w:rsid w:val="0094422D"/>
    <w:rsid w:val="00946AE7"/>
    <w:rsid w:val="0095793E"/>
    <w:rsid w:val="00A11C3E"/>
    <w:rsid w:val="00A178E6"/>
    <w:rsid w:val="00A325CB"/>
    <w:rsid w:val="00AC3BA2"/>
    <w:rsid w:val="00AD60BB"/>
    <w:rsid w:val="00AE7298"/>
    <w:rsid w:val="00B51659"/>
    <w:rsid w:val="00B54C73"/>
    <w:rsid w:val="00B75439"/>
    <w:rsid w:val="00B76551"/>
    <w:rsid w:val="00B82CED"/>
    <w:rsid w:val="00BA4319"/>
    <w:rsid w:val="00BC2BB4"/>
    <w:rsid w:val="00BC3AEE"/>
    <w:rsid w:val="00BC45DF"/>
    <w:rsid w:val="00C212A3"/>
    <w:rsid w:val="00C532C1"/>
    <w:rsid w:val="00C81523"/>
    <w:rsid w:val="00C824EF"/>
    <w:rsid w:val="00CA3566"/>
    <w:rsid w:val="00CA72C8"/>
    <w:rsid w:val="00CC7226"/>
    <w:rsid w:val="00CE5E4F"/>
    <w:rsid w:val="00CE718F"/>
    <w:rsid w:val="00D04393"/>
    <w:rsid w:val="00D316E5"/>
    <w:rsid w:val="00D660DC"/>
    <w:rsid w:val="00D93044"/>
    <w:rsid w:val="00DE2638"/>
    <w:rsid w:val="00E058F8"/>
    <w:rsid w:val="00E61392"/>
    <w:rsid w:val="00EB2CBF"/>
    <w:rsid w:val="00EF352C"/>
    <w:rsid w:val="00F24C5F"/>
    <w:rsid w:val="00F47444"/>
    <w:rsid w:val="00F54AF8"/>
    <w:rsid w:val="00F84F93"/>
    <w:rsid w:val="00F87332"/>
    <w:rsid w:val="00F94C5C"/>
    <w:rsid w:val="00FB761A"/>
    <w:rsid w:val="00FF0EFC"/>
    <w:rsid w:val="00FF2074"/>
    <w:rsid w:val="02493090"/>
    <w:rsid w:val="02B04EBD"/>
    <w:rsid w:val="02B26E88"/>
    <w:rsid w:val="036274D9"/>
    <w:rsid w:val="06292F10"/>
    <w:rsid w:val="06C929F2"/>
    <w:rsid w:val="082B3EC3"/>
    <w:rsid w:val="098E7E66"/>
    <w:rsid w:val="0BCD4D32"/>
    <w:rsid w:val="0E23219B"/>
    <w:rsid w:val="0F7E011A"/>
    <w:rsid w:val="13482EF0"/>
    <w:rsid w:val="14423DE3"/>
    <w:rsid w:val="164711A3"/>
    <w:rsid w:val="16DB6E00"/>
    <w:rsid w:val="18EE62E8"/>
    <w:rsid w:val="1A8C400A"/>
    <w:rsid w:val="1A937147"/>
    <w:rsid w:val="1B574618"/>
    <w:rsid w:val="1C3B44E9"/>
    <w:rsid w:val="1DC87107"/>
    <w:rsid w:val="1EBB7848"/>
    <w:rsid w:val="1FE168D2"/>
    <w:rsid w:val="1FE30874"/>
    <w:rsid w:val="20037DC8"/>
    <w:rsid w:val="200A6664"/>
    <w:rsid w:val="21817A25"/>
    <w:rsid w:val="21D95D87"/>
    <w:rsid w:val="234E6AB7"/>
    <w:rsid w:val="23B975AE"/>
    <w:rsid w:val="25FA2770"/>
    <w:rsid w:val="26E36D60"/>
    <w:rsid w:val="28671863"/>
    <w:rsid w:val="28E55011"/>
    <w:rsid w:val="295D729E"/>
    <w:rsid w:val="30EC0161"/>
    <w:rsid w:val="31FB7654"/>
    <w:rsid w:val="34DE2AF3"/>
    <w:rsid w:val="35643762"/>
    <w:rsid w:val="3A5F274A"/>
    <w:rsid w:val="3AFB7E12"/>
    <w:rsid w:val="3BB52F69"/>
    <w:rsid w:val="3BC1546A"/>
    <w:rsid w:val="3C8F7316"/>
    <w:rsid w:val="3CC80A7A"/>
    <w:rsid w:val="3D7B5AED"/>
    <w:rsid w:val="3E3D1E58"/>
    <w:rsid w:val="4032514F"/>
    <w:rsid w:val="430B564A"/>
    <w:rsid w:val="44752F60"/>
    <w:rsid w:val="457479F1"/>
    <w:rsid w:val="46933EA7"/>
    <w:rsid w:val="48831CF9"/>
    <w:rsid w:val="48B3438D"/>
    <w:rsid w:val="49204B5B"/>
    <w:rsid w:val="4A892AD5"/>
    <w:rsid w:val="4CA74208"/>
    <w:rsid w:val="4D094EC3"/>
    <w:rsid w:val="4E0E46FE"/>
    <w:rsid w:val="4E2D698F"/>
    <w:rsid w:val="4E5E6F99"/>
    <w:rsid w:val="4F155DA1"/>
    <w:rsid w:val="50766C7A"/>
    <w:rsid w:val="52A75420"/>
    <w:rsid w:val="52E00474"/>
    <w:rsid w:val="53073C53"/>
    <w:rsid w:val="53B536AF"/>
    <w:rsid w:val="54055EFA"/>
    <w:rsid w:val="54B376CA"/>
    <w:rsid w:val="55B06B02"/>
    <w:rsid w:val="55FF3307"/>
    <w:rsid w:val="57174680"/>
    <w:rsid w:val="576A7CAC"/>
    <w:rsid w:val="57860E2A"/>
    <w:rsid w:val="58910F35"/>
    <w:rsid w:val="58C45F54"/>
    <w:rsid w:val="594C6863"/>
    <w:rsid w:val="59771406"/>
    <w:rsid w:val="59835E53"/>
    <w:rsid w:val="5A675B8E"/>
    <w:rsid w:val="5ADE1CCB"/>
    <w:rsid w:val="5AEB5B70"/>
    <w:rsid w:val="5B7977BF"/>
    <w:rsid w:val="5BB93980"/>
    <w:rsid w:val="5CB37382"/>
    <w:rsid w:val="5E3E6996"/>
    <w:rsid w:val="5EC944B2"/>
    <w:rsid w:val="5F4F0E5B"/>
    <w:rsid w:val="5FA665A1"/>
    <w:rsid w:val="62402932"/>
    <w:rsid w:val="6435740C"/>
    <w:rsid w:val="646207B2"/>
    <w:rsid w:val="646E1C35"/>
    <w:rsid w:val="65B478BA"/>
    <w:rsid w:val="67513297"/>
    <w:rsid w:val="69C2047C"/>
    <w:rsid w:val="6B5B3C46"/>
    <w:rsid w:val="6C613F7C"/>
    <w:rsid w:val="6C8639E2"/>
    <w:rsid w:val="6E1B015A"/>
    <w:rsid w:val="720D173A"/>
    <w:rsid w:val="72275320"/>
    <w:rsid w:val="73B47087"/>
    <w:rsid w:val="7B7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link w:val="10"/>
    <w:qFormat/>
    <w:uiPriority w:val="0"/>
    <w:rPr>
      <w:rFonts w:eastAsia="仿宋_GB2312"/>
      <w:sz w:val="32"/>
      <w:szCs w:val="20"/>
    </w:rPr>
  </w:style>
  <w:style w:type="paragraph" w:styleId="4">
    <w:name w:val="footer"/>
    <w:basedOn w:val="1"/>
    <w:next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Char"/>
    <w:basedOn w:val="8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2003</Words>
  <Characters>2718</Characters>
  <Lines>26</Lines>
  <Paragraphs>7</Paragraphs>
  <TotalTime>11</TotalTime>
  <ScaleCrop>false</ScaleCrop>
  <LinksUpToDate>false</LinksUpToDate>
  <CharactersWithSpaces>2903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2024-04-22T08:40:00Z</dcterms:created>
  <dc:creator>Administrator</dc:creator>
  <cp:lastModifiedBy>Administrator</cp:lastModifiedBy>
  <cp:lastPrinted>2025-05-10T08:43:00Z</cp:lastPrinted>
  <dcterms:modified xsi:type="dcterms:W3CDTF">2025-05-10T09:26:32Z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637718B3086141379B29DA312DA65524_12</vt:lpwstr>
  </property>
  <property fmtid="{D5CDD505-2E9C-101B-9397-08002B2CF9AE}" pid="4" name="KSOTemplateDocerSaveRecord">
    <vt:lpwstr>eyJoZGlkIjoiZDY1YTg5MWFkZjdiNWVlNzJlYzgwNjMwNjFmNjljNmEiLCJ1c2VySWQiOiI3Mzk2NDE4NTMifQ==</vt:lpwstr>
  </property>
</Properties>
</file>