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茶陵县202</w:t>
      </w:r>
      <w:r>
        <w:rPr>
          <w:rFonts w:hint="eastAsia" w:ascii="Times New Roman" w:hAnsi="Times New Roman" w:cs="Times New Roman"/>
          <w:color w:val="auto"/>
          <w:highlight w:val="none"/>
          <w:u w:val="none"/>
          <w:lang w:val="en-US" w:eastAsia="zh-CN"/>
        </w:rPr>
        <w:t>4</w:t>
      </w:r>
      <w:r>
        <w:rPr>
          <w:rFonts w:ascii="Times New Roman" w:hAnsi="Times New Roman" w:cs="Times New Roman"/>
          <w:color w:val="auto"/>
          <w:highlight w:val="none"/>
          <w:u w:val="none"/>
        </w:rPr>
        <w:t>年财政预算执行情况</w:t>
      </w:r>
    </w:p>
    <w:p>
      <w:pPr>
        <w:pStyle w:val="2"/>
        <w:spacing w:line="570" w:lineRule="exact"/>
        <w:rPr>
          <w:rFonts w:ascii="Times New Roman" w:hAnsi="Times New Roman" w:cs="Times New Roman"/>
          <w:color w:val="auto"/>
          <w:highlight w:val="none"/>
          <w:u w:val="none"/>
        </w:rPr>
      </w:pPr>
      <w:r>
        <w:rPr>
          <w:rFonts w:ascii="Times New Roman" w:hAnsi="Times New Roman" w:cs="Times New Roman"/>
          <w:color w:val="auto"/>
          <w:highlight w:val="none"/>
          <w:u w:val="none"/>
        </w:rPr>
        <w:t>及202</w:t>
      </w:r>
      <w:r>
        <w:rPr>
          <w:rFonts w:hint="eastAsia" w:ascii="Times New Roman" w:hAnsi="Times New Roman" w:cs="Times New Roman"/>
          <w:color w:val="auto"/>
          <w:highlight w:val="none"/>
          <w:u w:val="none"/>
          <w:lang w:val="en-US" w:eastAsia="zh-CN"/>
        </w:rPr>
        <w:t>5</w:t>
      </w:r>
      <w:r>
        <w:rPr>
          <w:rFonts w:ascii="Times New Roman" w:hAnsi="Times New Roman" w:cs="Times New Roman"/>
          <w:color w:val="auto"/>
          <w:highlight w:val="none"/>
          <w:u w:val="none"/>
        </w:rPr>
        <w:t>年财政预算（草案）的报告</w:t>
      </w:r>
    </w:p>
    <w:p>
      <w:pPr>
        <w:spacing w:line="570" w:lineRule="exact"/>
        <w:jc w:val="center"/>
        <w:rPr>
          <w:rFonts w:ascii="Times New Roman" w:hAnsi="Times New Roman" w:eastAsia="楷体_GB2312" w:cs="Times New Roman"/>
          <w:color w:val="auto"/>
          <w:spacing w:val="-10"/>
          <w:sz w:val="32"/>
          <w:szCs w:val="32"/>
          <w:highlight w:val="none"/>
          <w:u w:val="none"/>
        </w:rPr>
      </w:pPr>
      <w:r>
        <w:rPr>
          <w:rFonts w:ascii="Times New Roman" w:hAnsi="Times New Roman" w:eastAsia="楷体_GB2312" w:cs="Times New Roman"/>
          <w:color w:val="auto"/>
          <w:spacing w:val="-10"/>
          <w:sz w:val="32"/>
          <w:szCs w:val="32"/>
          <w:highlight w:val="none"/>
          <w:u w:val="none"/>
        </w:rPr>
        <w:t>—</w:t>
      </w:r>
      <w:r>
        <w:rPr>
          <w:rFonts w:ascii="Times New Roman" w:hAnsi="Times New Roman" w:eastAsia="楷体_GB2312" w:cs="Times New Roman"/>
          <w:color w:val="auto"/>
          <w:spacing w:val="1"/>
          <w:w w:val="93"/>
          <w:kern w:val="0"/>
          <w:sz w:val="32"/>
          <w:szCs w:val="32"/>
          <w:highlight w:val="none"/>
          <w:u w:val="none"/>
          <w:fitText w:val="8320" w:id="1882009876"/>
        </w:rPr>
        <w:t>202</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5</w:t>
      </w:r>
      <w:r>
        <w:rPr>
          <w:rFonts w:ascii="Times New Roman" w:hAnsi="Times New Roman" w:eastAsia="楷体_GB2312" w:cs="Times New Roman"/>
          <w:color w:val="auto"/>
          <w:spacing w:val="1"/>
          <w:w w:val="93"/>
          <w:kern w:val="0"/>
          <w:sz w:val="32"/>
          <w:szCs w:val="32"/>
          <w:highlight w:val="none"/>
          <w:u w:val="none"/>
          <w:fitText w:val="8320" w:id="1882009876"/>
        </w:rPr>
        <w:t>年</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2</w:t>
      </w:r>
      <w:r>
        <w:rPr>
          <w:rFonts w:ascii="Times New Roman" w:hAnsi="Times New Roman" w:eastAsia="楷体_GB2312" w:cs="Times New Roman"/>
          <w:color w:val="auto"/>
          <w:spacing w:val="1"/>
          <w:w w:val="93"/>
          <w:kern w:val="0"/>
          <w:sz w:val="32"/>
          <w:szCs w:val="32"/>
          <w:highlight w:val="none"/>
          <w:u w:val="none"/>
          <w:fitText w:val="8320" w:id="1882009876"/>
        </w:rPr>
        <w:t>月</w:t>
      </w:r>
      <w:r>
        <w:rPr>
          <w:rFonts w:hint="eastAsia" w:ascii="Times New Roman" w:hAnsi="Times New Roman" w:eastAsia="楷体_GB2312" w:cs="Times New Roman"/>
          <w:color w:val="auto"/>
          <w:spacing w:val="1"/>
          <w:w w:val="93"/>
          <w:kern w:val="0"/>
          <w:sz w:val="32"/>
          <w:szCs w:val="32"/>
          <w:highlight w:val="none"/>
          <w:u w:val="none"/>
          <w:fitText w:val="8320" w:id="1882009876"/>
          <w:lang w:val="en-US" w:eastAsia="zh-CN"/>
        </w:rPr>
        <w:t>11日</w:t>
      </w:r>
      <w:r>
        <w:rPr>
          <w:rFonts w:ascii="Times New Roman" w:hAnsi="Times New Roman" w:eastAsia="楷体_GB2312" w:cs="Times New Roman"/>
          <w:color w:val="auto"/>
          <w:spacing w:val="1"/>
          <w:w w:val="93"/>
          <w:kern w:val="0"/>
          <w:sz w:val="32"/>
          <w:szCs w:val="32"/>
          <w:highlight w:val="none"/>
          <w:u w:val="none"/>
          <w:fitText w:val="8320" w:id="1882009876"/>
        </w:rPr>
        <w:t>在茶陵县第十八届人民代表大</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会</w:t>
      </w:r>
      <w:r>
        <w:rPr>
          <w:rFonts w:hint="eastAsia" w:ascii="Times New Roman" w:hAnsi="Times New Roman" w:eastAsia="楷体_GB2312" w:cs="Times New Roman"/>
          <w:color w:val="auto"/>
          <w:spacing w:val="1"/>
          <w:w w:val="93"/>
          <w:kern w:val="0"/>
          <w:sz w:val="32"/>
          <w:szCs w:val="32"/>
          <w:highlight w:val="none"/>
          <w:u w:val="none"/>
          <w:fitText w:val="8320" w:id="1882009876"/>
        </w:rPr>
        <w:t>第</w:t>
      </w:r>
      <w:r>
        <w:rPr>
          <w:rFonts w:hint="eastAsia" w:ascii="Times New Roman" w:hAnsi="Times New Roman" w:eastAsia="楷体_GB2312" w:cs="Times New Roman"/>
          <w:color w:val="auto"/>
          <w:spacing w:val="1"/>
          <w:w w:val="93"/>
          <w:kern w:val="0"/>
          <w:sz w:val="32"/>
          <w:szCs w:val="32"/>
          <w:highlight w:val="none"/>
          <w:u w:val="none"/>
          <w:fitText w:val="8320" w:id="1882009876"/>
          <w:lang w:eastAsia="zh-CN"/>
        </w:rPr>
        <w:t>五</w:t>
      </w:r>
      <w:r>
        <w:rPr>
          <w:rFonts w:hint="eastAsia" w:ascii="Times New Roman" w:hAnsi="Times New Roman" w:eastAsia="楷体_GB2312" w:cs="Times New Roman"/>
          <w:color w:val="auto"/>
          <w:spacing w:val="1"/>
          <w:w w:val="93"/>
          <w:kern w:val="0"/>
          <w:sz w:val="32"/>
          <w:szCs w:val="32"/>
          <w:highlight w:val="none"/>
          <w:u w:val="none"/>
          <w:fitText w:val="8320" w:id="1882009876"/>
        </w:rPr>
        <w:t>次</w:t>
      </w:r>
      <w:r>
        <w:rPr>
          <w:rFonts w:ascii="Times New Roman" w:hAnsi="Times New Roman" w:eastAsia="楷体_GB2312" w:cs="Times New Roman"/>
          <w:color w:val="auto"/>
          <w:spacing w:val="1"/>
          <w:w w:val="93"/>
          <w:kern w:val="0"/>
          <w:sz w:val="32"/>
          <w:szCs w:val="32"/>
          <w:highlight w:val="none"/>
          <w:u w:val="none"/>
          <w:fitText w:val="8320" w:id="1882009876"/>
        </w:rPr>
        <w:t>会议</w:t>
      </w:r>
      <w:r>
        <w:rPr>
          <w:rFonts w:ascii="Times New Roman" w:hAnsi="Times New Roman" w:eastAsia="楷体_GB2312" w:cs="Times New Roman"/>
          <w:color w:val="auto"/>
          <w:spacing w:val="5"/>
          <w:w w:val="93"/>
          <w:kern w:val="0"/>
          <w:sz w:val="32"/>
          <w:szCs w:val="32"/>
          <w:highlight w:val="none"/>
          <w:u w:val="none"/>
          <w:fitText w:val="8320" w:id="1882009876"/>
        </w:rPr>
        <w:t>上</w:t>
      </w:r>
    </w:p>
    <w:p>
      <w:pPr>
        <w:spacing w:line="570" w:lineRule="exact"/>
        <w:jc w:val="center"/>
        <w:rPr>
          <w:rFonts w:hint="eastAsia" w:ascii="Times New Roman" w:hAnsi="Times New Roman" w:eastAsia="楷体_GB2312" w:cs="Times New Roman"/>
          <w:color w:val="auto"/>
          <w:sz w:val="32"/>
          <w:szCs w:val="32"/>
          <w:highlight w:val="none"/>
          <w:u w:val="none"/>
          <w:lang w:val="en-US" w:eastAsia="zh-CN"/>
        </w:rPr>
      </w:pPr>
      <w:r>
        <w:rPr>
          <w:rFonts w:hint="eastAsia" w:ascii="Times New Roman" w:hAnsi="Times New Roman" w:eastAsia="楷体_GB2312" w:cs="Times New Roman"/>
          <w:color w:val="auto"/>
          <w:sz w:val="32"/>
          <w:szCs w:val="32"/>
          <w:highlight w:val="none"/>
          <w:u w:val="none"/>
          <w:lang w:eastAsia="zh-CN"/>
        </w:rPr>
        <w:t>茶陵县财政局局长</w:t>
      </w:r>
      <w:r>
        <w:rPr>
          <w:rFonts w:hint="eastAsia" w:ascii="Times New Roman" w:hAnsi="Times New Roman" w:eastAsia="楷体_GB2312" w:cs="Times New Roman"/>
          <w:color w:val="auto"/>
          <w:sz w:val="32"/>
          <w:szCs w:val="32"/>
          <w:highlight w:val="none"/>
          <w:u w:val="none"/>
          <w:lang w:val="en-US" w:eastAsia="zh-CN"/>
        </w:rPr>
        <w:t xml:space="preserve">  谭吉红</w:t>
      </w:r>
    </w:p>
    <w:p>
      <w:pPr>
        <w:pStyle w:val="4"/>
        <w:rPr>
          <w:rFonts w:hint="default"/>
          <w:color w:val="auto"/>
          <w:highlight w:val="none"/>
          <w:u w:val="none"/>
          <w:lang w:val="en-US" w:eastAsia="zh-CN"/>
        </w:rPr>
      </w:pPr>
    </w:p>
    <w:p>
      <w:pPr>
        <w:keepNext w:val="0"/>
        <w:keepLines w:val="0"/>
        <w:pageBreakBefore w:val="0"/>
        <w:widowControl w:val="0"/>
        <w:kinsoku/>
        <w:wordWrap/>
        <w:overflowPunct/>
        <w:topLinePunct w:val="0"/>
        <w:bidi w:val="0"/>
        <w:spacing w:line="560" w:lineRule="exact"/>
        <w:textAlignment w:val="auto"/>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各位代表</w:t>
      </w:r>
      <w:r>
        <w:rPr>
          <w:rFonts w:ascii="Times New Roman" w:hAnsi="Times New Roman" w:eastAsia="仿宋_GB2312" w:cs="Times New Roman"/>
          <w:sz w:val="32"/>
          <w:szCs w:val="32"/>
          <w:highlight w:val="none"/>
          <w:u w:val="none"/>
        </w:rPr>
        <w:t>：</w:t>
      </w:r>
    </w:p>
    <w:p>
      <w:pPr>
        <w:keepNext w:val="0"/>
        <w:keepLines w:val="0"/>
        <w:pageBreakBefore w:val="0"/>
        <w:widowControl w:val="0"/>
        <w:kinsoku/>
        <w:wordWrap/>
        <w:overflowPunct/>
        <w:topLinePunct w:val="0"/>
        <w:bidi w:val="0"/>
        <w:adjustRightInd w:val="0"/>
        <w:snapToGrid w:val="0"/>
        <w:spacing w:line="560" w:lineRule="exact"/>
        <w:ind w:firstLine="641"/>
        <w:textAlignment w:val="auto"/>
        <w:rPr>
          <w:rFonts w:ascii="Times New Roman" w:hAnsi="Times New Roman" w:eastAsia="仿宋" w:cs="Times New Roman"/>
          <w:sz w:val="32"/>
          <w:szCs w:val="32"/>
          <w:highlight w:val="none"/>
          <w:u w:val="none"/>
        </w:rPr>
      </w:pPr>
      <w:r>
        <w:rPr>
          <w:rFonts w:hint="eastAsia" w:ascii="Times New Roman" w:hAnsi="Times New Roman" w:eastAsia="仿宋" w:cs="Times New Roman"/>
          <w:sz w:val="32"/>
          <w:szCs w:val="32"/>
          <w:highlight w:val="none"/>
          <w:u w:val="none"/>
          <w:lang w:eastAsia="zh-CN"/>
        </w:rPr>
        <w:t>根据预算法规定，</w:t>
      </w:r>
      <w:r>
        <w:rPr>
          <w:rFonts w:ascii="Times New Roman" w:hAnsi="Times New Roman" w:eastAsia="仿宋" w:cs="Times New Roman"/>
          <w:sz w:val="32"/>
          <w:szCs w:val="32"/>
          <w:highlight w:val="none"/>
          <w:u w:val="none"/>
        </w:rPr>
        <w:t>受县人民政府委托，</w:t>
      </w:r>
      <w:r>
        <w:rPr>
          <w:rFonts w:hint="eastAsia" w:ascii="Times New Roman" w:hAnsi="Times New Roman" w:eastAsia="仿宋" w:cs="Times New Roman"/>
          <w:sz w:val="32"/>
          <w:szCs w:val="32"/>
          <w:highlight w:val="none"/>
          <w:u w:val="none"/>
          <w:lang w:eastAsia="zh-CN"/>
        </w:rPr>
        <w:t>现</w:t>
      </w:r>
      <w:r>
        <w:rPr>
          <w:rFonts w:ascii="Times New Roman" w:hAnsi="Times New Roman" w:eastAsia="仿宋" w:cs="Times New Roman"/>
          <w:sz w:val="32"/>
          <w:szCs w:val="32"/>
          <w:highlight w:val="none"/>
          <w:u w:val="none"/>
        </w:rPr>
        <w:t>报告202</w:t>
      </w:r>
      <w:r>
        <w:rPr>
          <w:rFonts w:hint="eastAsia" w:ascii="Times New Roman" w:hAnsi="Times New Roman" w:eastAsia="仿宋" w:cs="Times New Roman"/>
          <w:sz w:val="32"/>
          <w:szCs w:val="32"/>
          <w:highlight w:val="none"/>
          <w:u w:val="none"/>
          <w:lang w:val="en-US" w:eastAsia="zh-CN"/>
        </w:rPr>
        <w:t>4</w:t>
      </w:r>
      <w:r>
        <w:rPr>
          <w:rFonts w:ascii="Times New Roman" w:hAnsi="Times New Roman" w:eastAsia="仿宋" w:cs="Times New Roman"/>
          <w:sz w:val="32"/>
          <w:szCs w:val="32"/>
          <w:highlight w:val="none"/>
          <w:u w:val="none"/>
        </w:rPr>
        <w:t>年财政预算执行情况，提出202</w:t>
      </w:r>
      <w:r>
        <w:rPr>
          <w:rFonts w:hint="eastAsia" w:ascii="Times New Roman" w:hAnsi="Times New Roman" w:eastAsia="仿宋" w:cs="Times New Roman"/>
          <w:sz w:val="32"/>
          <w:szCs w:val="32"/>
          <w:highlight w:val="none"/>
          <w:u w:val="none"/>
          <w:lang w:val="en-US" w:eastAsia="zh-CN"/>
        </w:rPr>
        <w:t>5</w:t>
      </w:r>
      <w:r>
        <w:rPr>
          <w:rFonts w:ascii="Times New Roman" w:hAnsi="Times New Roman" w:eastAsia="仿宋" w:cs="Times New Roman"/>
          <w:sz w:val="32"/>
          <w:szCs w:val="32"/>
          <w:highlight w:val="none"/>
          <w:u w:val="none"/>
        </w:rPr>
        <w:t>年预算草案，请予审查，</w:t>
      </w:r>
      <w:r>
        <w:rPr>
          <w:rFonts w:hint="eastAsia" w:ascii="Times New Roman" w:hAnsi="Times New Roman" w:eastAsia="仿宋" w:cs="Times New Roman"/>
          <w:sz w:val="32"/>
          <w:szCs w:val="32"/>
          <w:highlight w:val="none"/>
          <w:u w:val="none"/>
        </w:rPr>
        <w:t>并</w:t>
      </w:r>
      <w:r>
        <w:rPr>
          <w:rFonts w:ascii="Times New Roman" w:hAnsi="Times New Roman" w:eastAsia="仿宋" w:cs="Times New Roman"/>
          <w:sz w:val="32"/>
          <w:szCs w:val="32"/>
          <w:highlight w:val="none"/>
          <w:u w:val="none"/>
        </w:rPr>
        <w:t>请各位政协委员和其他列席会议的同志提出意见。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一、202</w:t>
      </w:r>
      <w:r>
        <w:rPr>
          <w:rFonts w:hint="eastAsia" w:ascii="Times New Roman" w:hAnsi="Times New Roman" w:eastAsia="黑体" w:cs="Times New Roman"/>
          <w:color w:val="auto"/>
          <w:sz w:val="32"/>
          <w:szCs w:val="32"/>
          <w:highlight w:val="none"/>
          <w:u w:val="none"/>
          <w:lang w:val="en-US" w:eastAsia="zh-CN"/>
        </w:rPr>
        <w:t>4</w:t>
      </w:r>
      <w:r>
        <w:rPr>
          <w:rFonts w:ascii="Times New Roman" w:hAnsi="Times New Roman" w:eastAsia="黑体" w:cs="Times New Roman"/>
          <w:color w:val="auto"/>
          <w:sz w:val="32"/>
          <w:szCs w:val="32"/>
          <w:highlight w:val="none"/>
          <w:u w:val="none"/>
        </w:rPr>
        <w:t>年财政预算执行情况</w:t>
      </w:r>
    </w:p>
    <w:p>
      <w:pPr>
        <w:keepNext w:val="0"/>
        <w:keepLines w:val="0"/>
        <w:pageBreakBefore w:val="0"/>
        <w:widowControl w:val="0"/>
        <w:kinsoku/>
        <w:wordWrap/>
        <w:overflowPunct/>
        <w:topLinePunct w:val="0"/>
        <w:bidi w:val="0"/>
        <w:adjustRightInd w:val="0"/>
        <w:snapToGrid w:val="0"/>
        <w:spacing w:line="560" w:lineRule="exact"/>
        <w:ind w:firstLine="641"/>
        <w:textAlignment w:val="auto"/>
        <w:rPr>
          <w:rFonts w:ascii="Times New Roman" w:hAnsi="Times New Roman" w:eastAsia="仿宋" w:cs="Times New Roman"/>
          <w:bCs/>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202</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eastAsia="zh-CN"/>
        </w:rPr>
        <w:t>年是中华人民共和国成立</w:t>
      </w:r>
      <w:r>
        <w:rPr>
          <w:rFonts w:hint="eastAsia" w:ascii="Times New Roman" w:hAnsi="Times New Roman" w:eastAsia="仿宋_GB2312" w:cs="Times New Roman"/>
          <w:color w:val="auto"/>
          <w:sz w:val="32"/>
          <w:szCs w:val="32"/>
          <w:highlight w:val="none"/>
          <w:u w:val="none"/>
          <w:lang w:val="en-US" w:eastAsia="zh-CN"/>
        </w:rPr>
        <w:t>75周年，是实施“十四五”规划的关键一年。</w:t>
      </w:r>
      <w:r>
        <w:rPr>
          <w:rFonts w:hint="eastAsia" w:ascii="Times New Roman" w:hAnsi="Times New Roman" w:eastAsia="仿宋_GB2312" w:cs="Times New Roman"/>
          <w:color w:val="auto"/>
          <w:sz w:val="32"/>
          <w:szCs w:val="32"/>
          <w:highlight w:val="none"/>
          <w:u w:val="none"/>
          <w:lang w:eastAsia="zh-CN"/>
        </w:rPr>
        <w:t>面对复杂严峻的形势和艰巨繁重的改革发展稳定任务，我们在县委的坚强领导和县人大、县政协的监督指导下，坚决贯彻习近平新时代中国特色社会主义思想和习近平总书记考察湖南时的重要讲话精神，坚持稳中求进工作总基调，积极推动党的二十届三中全会擘画的财税体制改革蓝图落细落实，全县财政运行平稳，预算执行情况较好。</w:t>
      </w:r>
    </w:p>
    <w:p>
      <w:pPr>
        <w:keepNext w:val="0"/>
        <w:keepLines w:val="0"/>
        <w:pageBreakBefore w:val="0"/>
        <w:widowControl w:val="0"/>
        <w:kinsoku/>
        <w:wordWrap/>
        <w:overflowPunct/>
        <w:topLinePunct w:val="0"/>
        <w:autoSpaceDE/>
        <w:autoSpaceDN/>
        <w:bidi w:val="0"/>
        <w:adjustRightInd w:val="0"/>
        <w:snapToGrid w:val="0"/>
        <w:spacing w:line="56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（一）一般公共预算</w:t>
      </w:r>
      <w:r>
        <w:rPr>
          <w:rFonts w:hint="eastAsia" w:ascii="楷体_GB2312" w:hAnsi="楷体_GB2312" w:eastAsia="楷体_GB2312" w:cs="楷体_GB2312"/>
          <w:b/>
          <w:color w:val="auto"/>
          <w:sz w:val="32"/>
          <w:szCs w:val="32"/>
          <w:highlight w:val="none"/>
          <w:u w:val="none"/>
          <w:lang w:eastAsia="zh-CN"/>
        </w:rPr>
        <w:t>执行及平衡</w:t>
      </w:r>
      <w:r>
        <w:rPr>
          <w:rFonts w:hint="eastAsia" w:ascii="楷体_GB2312" w:hAnsi="楷体_GB2312" w:eastAsia="楷体_GB2312" w:cs="楷体_GB2312"/>
          <w:b/>
          <w:color w:val="auto"/>
          <w:sz w:val="32"/>
          <w:szCs w:val="32"/>
          <w:highlight w:val="none"/>
          <w:u w:val="none"/>
        </w:rPr>
        <w:t>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2024年我县完成地方一般公共预算收入104,892万元，增速排在全市第三（除经开区外），是全市唯一一个连续三年保持前三的县市区。税收比重为63.1%，连续四年保持在省委县域经济考核同组县市（茶陵县、攸县、醴陵市、炎陵）第一位置。主体税种占比47.8%，增速排名全市第一，经济高质量发展成效持续释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lang w:eastAsia="zh-CN"/>
        </w:rPr>
        <w:t>县第十八届人大第四次会议批准</w:t>
      </w:r>
      <w:r>
        <w:rPr>
          <w:rFonts w:hint="eastAsia" w:ascii="仿宋_GB2312" w:hAnsi="仿宋" w:eastAsia="仿宋_GB2312"/>
          <w:color w:val="auto"/>
          <w:sz w:val="32"/>
          <w:szCs w:val="32"/>
          <w:highlight w:val="none"/>
          <w:u w:val="none"/>
          <w:lang w:val="en-US" w:eastAsia="zh-CN"/>
        </w:rPr>
        <w:t>2024</w:t>
      </w:r>
      <w:r>
        <w:rPr>
          <w:rFonts w:hint="eastAsia" w:ascii="仿宋_GB2312" w:hAnsi="仿宋" w:eastAsia="仿宋_GB2312"/>
          <w:color w:val="auto"/>
          <w:sz w:val="32"/>
          <w:szCs w:val="32"/>
          <w:highlight w:val="none"/>
          <w:u w:val="none"/>
          <w:lang w:eastAsia="zh-CN"/>
        </w:rPr>
        <w:t>年一般公共预算支出为</w:t>
      </w:r>
      <w:r>
        <w:rPr>
          <w:rFonts w:hint="eastAsia" w:ascii="仿宋_GB2312" w:hAnsi="仿宋" w:eastAsia="仿宋_GB2312"/>
          <w:color w:val="auto"/>
          <w:sz w:val="32"/>
          <w:szCs w:val="32"/>
          <w:highlight w:val="none"/>
          <w:u w:val="none"/>
          <w:lang w:val="en-US" w:eastAsia="zh-CN"/>
        </w:rPr>
        <w:t>280,343万</w:t>
      </w:r>
      <w:r>
        <w:rPr>
          <w:rFonts w:hint="eastAsia" w:ascii="仿宋_GB2312" w:hAnsi="仿宋" w:eastAsia="仿宋_GB2312"/>
          <w:color w:val="auto"/>
          <w:sz w:val="32"/>
          <w:szCs w:val="32"/>
          <w:highlight w:val="none"/>
          <w:u w:val="none"/>
          <w:lang w:eastAsia="zh-CN"/>
        </w:rPr>
        <w:t>元；县第十八届人大常委会第二十五次会议批准追加支出预算：一是新增本级支出预算</w:t>
      </w:r>
      <w:r>
        <w:rPr>
          <w:rFonts w:hint="eastAsia" w:ascii="仿宋_GB2312" w:hAnsi="仿宋" w:eastAsia="仿宋_GB2312"/>
          <w:color w:val="auto"/>
          <w:sz w:val="32"/>
          <w:szCs w:val="32"/>
          <w:highlight w:val="none"/>
          <w:u w:val="none"/>
          <w:lang w:val="en-US" w:eastAsia="zh-CN"/>
        </w:rPr>
        <w:t>105,296万元（其中调整项目资金8139万元，调整政府性基金已支出项目调入一般公共预算科目支出资金97,157万元），二是调减三公经费支出预算41.9191万元，三是新增上级专项支出预算161,064万元；</w:t>
      </w:r>
      <w:r>
        <w:rPr>
          <w:rFonts w:hint="eastAsia" w:ascii="仿宋_GB2312" w:hAnsi="仿宋" w:eastAsia="仿宋_GB2312"/>
          <w:color w:val="auto"/>
          <w:sz w:val="32"/>
          <w:szCs w:val="32"/>
          <w:highlight w:val="none"/>
          <w:u w:val="none"/>
          <w:lang w:eastAsia="zh-CN"/>
        </w:rPr>
        <w:t>加上上年结转</w:t>
      </w:r>
      <w:r>
        <w:rPr>
          <w:rFonts w:hint="eastAsia" w:ascii="仿宋_GB2312" w:hAnsi="仿宋" w:eastAsia="仿宋_GB2312"/>
          <w:color w:val="auto"/>
          <w:sz w:val="32"/>
          <w:szCs w:val="32"/>
          <w:highlight w:val="none"/>
          <w:u w:val="none"/>
          <w:lang w:val="en-US" w:eastAsia="zh-CN"/>
        </w:rPr>
        <w:t>29,383万</w:t>
      </w:r>
      <w:r>
        <w:rPr>
          <w:rFonts w:hint="eastAsia" w:ascii="仿宋_GB2312" w:hAnsi="仿宋" w:eastAsia="仿宋_GB2312"/>
          <w:color w:val="auto"/>
          <w:sz w:val="32"/>
          <w:szCs w:val="32"/>
          <w:highlight w:val="none"/>
          <w:u w:val="none"/>
          <w:lang w:eastAsia="zh-CN"/>
        </w:rPr>
        <w:t>元；上级一般性转移支付收入</w:t>
      </w:r>
      <w:r>
        <w:rPr>
          <w:rFonts w:hint="eastAsia" w:ascii="仿宋_GB2312" w:hAnsi="仿宋" w:eastAsia="仿宋_GB2312"/>
          <w:color w:val="auto"/>
          <w:sz w:val="32"/>
          <w:szCs w:val="32"/>
          <w:highlight w:val="none"/>
          <w:u w:val="none"/>
          <w:lang w:val="en-US" w:eastAsia="zh-CN"/>
        </w:rPr>
        <w:t>137,024万</w:t>
      </w:r>
      <w:r>
        <w:rPr>
          <w:rFonts w:hint="eastAsia" w:ascii="仿宋_GB2312" w:hAnsi="仿宋" w:eastAsia="仿宋_GB2312"/>
          <w:color w:val="auto"/>
          <w:sz w:val="32"/>
          <w:szCs w:val="32"/>
          <w:highlight w:val="none"/>
          <w:u w:val="none"/>
          <w:lang w:eastAsia="zh-CN"/>
        </w:rPr>
        <w:t>元，上级专项转移支付收入</w:t>
      </w:r>
      <w:r>
        <w:rPr>
          <w:rFonts w:hint="eastAsia" w:ascii="仿宋_GB2312" w:hAnsi="仿宋" w:eastAsia="仿宋_GB2312"/>
          <w:color w:val="auto"/>
          <w:sz w:val="32"/>
          <w:szCs w:val="32"/>
          <w:highlight w:val="none"/>
          <w:u w:val="none"/>
          <w:lang w:val="en-US" w:eastAsia="zh-CN"/>
        </w:rPr>
        <w:t>24,040万</w:t>
      </w:r>
      <w:r>
        <w:rPr>
          <w:rFonts w:hint="eastAsia" w:ascii="仿宋_GB2312" w:hAnsi="仿宋" w:eastAsia="仿宋_GB2312"/>
          <w:color w:val="auto"/>
          <w:sz w:val="32"/>
          <w:szCs w:val="32"/>
          <w:highlight w:val="none"/>
          <w:u w:val="none"/>
          <w:lang w:eastAsia="zh-CN"/>
        </w:rPr>
        <w:t>元，综上全年一般公共预算指标为</w:t>
      </w:r>
      <w:r>
        <w:rPr>
          <w:rFonts w:hint="eastAsia" w:ascii="仿宋_GB2312" w:hAnsi="仿宋" w:eastAsia="仿宋_GB2312"/>
          <w:color w:val="auto"/>
          <w:sz w:val="32"/>
          <w:szCs w:val="32"/>
          <w:highlight w:val="none"/>
          <w:u w:val="none"/>
          <w:lang w:val="en-US" w:eastAsia="zh-CN"/>
        </w:rPr>
        <w:t>576,086万元，比上年528,610万</w:t>
      </w:r>
      <w:r>
        <w:rPr>
          <w:rFonts w:hint="eastAsia" w:ascii="仿宋_GB2312" w:hAnsi="仿宋" w:eastAsia="仿宋_GB2312"/>
          <w:color w:val="auto"/>
          <w:sz w:val="32"/>
          <w:szCs w:val="32"/>
          <w:highlight w:val="none"/>
          <w:u w:val="none"/>
          <w:lang w:eastAsia="zh-CN"/>
        </w:rPr>
        <w:t>元增加</w:t>
      </w:r>
      <w:r>
        <w:rPr>
          <w:rFonts w:hint="eastAsia" w:ascii="仿宋_GB2312" w:hAnsi="仿宋" w:eastAsia="仿宋_GB2312"/>
          <w:color w:val="auto"/>
          <w:sz w:val="32"/>
          <w:szCs w:val="32"/>
          <w:highlight w:val="none"/>
          <w:u w:val="none"/>
          <w:lang w:val="en-US" w:eastAsia="zh-CN"/>
        </w:rPr>
        <w:t>47,476万</w:t>
      </w:r>
      <w:r>
        <w:rPr>
          <w:rFonts w:hint="eastAsia" w:ascii="仿宋_GB2312" w:hAnsi="仿宋" w:eastAsia="仿宋_GB2312"/>
          <w:color w:val="auto"/>
          <w:sz w:val="32"/>
          <w:szCs w:val="32"/>
          <w:highlight w:val="none"/>
          <w:u w:val="none"/>
          <w:lang w:eastAsia="zh-CN"/>
        </w:rPr>
        <w:t>元，增长</w:t>
      </w:r>
      <w:r>
        <w:rPr>
          <w:rFonts w:hint="eastAsia" w:ascii="仿宋_GB2312" w:hAnsi="仿宋" w:eastAsia="仿宋_GB2312"/>
          <w:color w:val="auto"/>
          <w:sz w:val="32"/>
          <w:szCs w:val="32"/>
          <w:highlight w:val="none"/>
          <w:u w:val="none"/>
          <w:lang w:val="en-US" w:eastAsia="zh-CN"/>
        </w:rPr>
        <w:t>8.98</w:t>
      </w:r>
      <w:r>
        <w:rPr>
          <w:rFonts w:hint="eastAsia" w:ascii="仿宋_GB2312" w:hAnsi="仿宋" w:eastAsia="仿宋_GB2312"/>
          <w:color w:val="auto"/>
          <w:sz w:val="32"/>
          <w:szCs w:val="32"/>
          <w:highlight w:val="none"/>
          <w:u w:val="none"/>
          <w:lang w:eastAsia="zh-CN"/>
        </w:rPr>
        <w:t>%。全年一般公共预算实际支出</w:t>
      </w:r>
      <w:r>
        <w:rPr>
          <w:rFonts w:hint="eastAsia" w:ascii="仿宋_GB2312" w:hAnsi="仿宋" w:eastAsia="仿宋_GB2312"/>
          <w:color w:val="auto"/>
          <w:sz w:val="32"/>
          <w:szCs w:val="32"/>
          <w:highlight w:val="none"/>
          <w:u w:val="none"/>
          <w:lang w:val="en-US" w:eastAsia="zh-CN"/>
        </w:rPr>
        <w:t>482,958万</w:t>
      </w:r>
      <w:r>
        <w:rPr>
          <w:rFonts w:hint="eastAsia" w:ascii="仿宋_GB2312" w:hAnsi="仿宋" w:eastAsia="仿宋_GB2312"/>
          <w:color w:val="auto"/>
          <w:sz w:val="32"/>
          <w:szCs w:val="32"/>
          <w:highlight w:val="none"/>
          <w:u w:val="none"/>
          <w:lang w:eastAsia="zh-CN"/>
        </w:rPr>
        <w:t>元，比上年支出</w:t>
      </w:r>
      <w:r>
        <w:rPr>
          <w:rFonts w:hint="eastAsia" w:ascii="仿宋_GB2312" w:hAnsi="仿宋" w:eastAsia="仿宋_GB2312"/>
          <w:color w:val="auto"/>
          <w:sz w:val="32"/>
          <w:szCs w:val="32"/>
          <w:highlight w:val="none"/>
          <w:u w:val="none"/>
          <w:lang w:val="en-US" w:eastAsia="zh-CN"/>
        </w:rPr>
        <w:t>430,906万</w:t>
      </w:r>
      <w:r>
        <w:rPr>
          <w:rFonts w:hint="eastAsia" w:ascii="仿宋_GB2312" w:hAnsi="仿宋" w:eastAsia="仿宋_GB2312"/>
          <w:color w:val="auto"/>
          <w:sz w:val="32"/>
          <w:szCs w:val="32"/>
          <w:highlight w:val="none"/>
          <w:u w:val="none"/>
          <w:lang w:eastAsia="zh-CN"/>
        </w:rPr>
        <w:t>元增加</w:t>
      </w:r>
      <w:r>
        <w:rPr>
          <w:rFonts w:hint="eastAsia" w:ascii="仿宋_GB2312" w:hAnsi="仿宋" w:eastAsia="仿宋_GB2312"/>
          <w:color w:val="auto"/>
          <w:sz w:val="32"/>
          <w:szCs w:val="32"/>
          <w:highlight w:val="none"/>
          <w:u w:val="none"/>
          <w:lang w:val="en-US" w:eastAsia="zh-CN"/>
        </w:rPr>
        <w:t>52,052万</w:t>
      </w:r>
      <w:r>
        <w:rPr>
          <w:rFonts w:hint="eastAsia" w:ascii="仿宋_GB2312" w:hAnsi="仿宋" w:eastAsia="仿宋_GB2312"/>
          <w:color w:val="auto"/>
          <w:sz w:val="32"/>
          <w:szCs w:val="32"/>
          <w:highlight w:val="none"/>
          <w:u w:val="none"/>
          <w:lang w:eastAsia="zh-CN"/>
        </w:rPr>
        <w:t>元，增长</w:t>
      </w:r>
      <w:r>
        <w:rPr>
          <w:rFonts w:hint="eastAsia" w:ascii="仿宋_GB2312" w:hAnsi="仿宋" w:eastAsia="仿宋_GB2312"/>
          <w:color w:val="auto"/>
          <w:sz w:val="32"/>
          <w:szCs w:val="32"/>
          <w:highlight w:val="none"/>
          <w:u w:val="none"/>
          <w:lang w:val="en-US" w:eastAsia="zh-CN"/>
        </w:rPr>
        <w:t>12.07</w:t>
      </w:r>
      <w:r>
        <w:rPr>
          <w:rFonts w:hint="eastAsia" w:ascii="仿宋_GB2312" w:hAnsi="仿宋"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2024年一般公共预算收支平衡情况为：地方收入104,892万元；上级补助收入127,451万元，其中返还性收入6721万元；政府一般债券收入6700万元；世行贷款资金4000万元；国有资本经营预算调入资金89,185万元；动用预算稳定调节基金48,291万元；收回垫付财政扣款12,294万元；上级专项转移支付资金161,064万元，合计财力553,877万元。全年一般公共预算实际支出482,958万元，安排预算稳定调节基金35,288万元，上解支出7174万元，合计支出490,132万元。收支相抵，滚存结余28,457万元，全部结转下年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59" w:firstLineChars="205"/>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（二）政府性基金预算执行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2024年政府性基金收入合计完成141,053万元，其中：县本级政府性基金收入完成28,231万元（其中：国有土地使用权出让收入26,650万元，城市基础设施配套费收入728万元，污水处理费收入853万元）；政府性基金上级补助收入97,030万元（其中专项指标12,330万元，专项债券84,700万元）；上年结转结余15,792万元。政府性基金实际支出117,204万元，上解支出25万元，支出合计117,229万元。收支相抵，滚存结余23,824万元，全部结转下年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rPr>
        <w:t>（三）国有资本经营预算执行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2024年县本级国有资本经营预算收入完成89,379万元，上级补助收入9万元，收入合计89,388万元。2024年国有资本经营预算实际支出194万元，调出至一般公共预算支出89,185万元。收支相抵，滚存结余9万元，全部结转下年支出。</w:t>
      </w:r>
    </w:p>
    <w:p>
      <w:pPr>
        <w:keepNext w:val="0"/>
        <w:keepLines w:val="0"/>
        <w:pageBreakBefore w:val="0"/>
        <w:widowControl w:val="0"/>
        <w:kinsoku/>
        <w:wordWrap/>
        <w:overflowPunct/>
        <w:topLinePunct w:val="0"/>
        <w:autoSpaceDE/>
        <w:autoSpaceDN/>
        <w:bidi w:val="0"/>
        <w:adjustRightInd w:val="0"/>
        <w:snapToGrid w:val="0"/>
        <w:spacing w:line="540" w:lineRule="exact"/>
        <w:ind w:firstLine="662" w:firstLineChars="206"/>
        <w:textAlignment w:val="auto"/>
        <w:rPr>
          <w:rFonts w:hint="eastAsia" w:ascii="楷体_GB2312" w:hAnsi="楷体_GB2312" w:eastAsia="楷体_GB2312" w:cs="楷体_GB2312"/>
          <w:b/>
          <w:color w:val="auto"/>
          <w:sz w:val="32"/>
          <w:szCs w:val="32"/>
          <w:highlight w:val="none"/>
          <w:u w:val="none"/>
        </w:rPr>
      </w:pPr>
      <w:r>
        <w:rPr>
          <w:rFonts w:hint="eastAsia" w:ascii="楷体_GB2312" w:hAnsi="楷体_GB2312" w:eastAsia="楷体_GB2312" w:cs="楷体_GB2312"/>
          <w:b/>
          <w:color w:val="auto"/>
          <w:sz w:val="32"/>
          <w:szCs w:val="32"/>
          <w:highlight w:val="none"/>
          <w:u w:val="none"/>
          <w:lang w:eastAsia="zh-CN"/>
        </w:rPr>
        <w:t>（四）</w:t>
      </w:r>
      <w:r>
        <w:rPr>
          <w:rFonts w:hint="eastAsia" w:ascii="楷体_GB2312" w:hAnsi="楷体_GB2312" w:eastAsia="楷体_GB2312" w:cs="楷体_GB2312"/>
          <w:b/>
          <w:color w:val="auto"/>
          <w:sz w:val="32"/>
          <w:szCs w:val="32"/>
          <w:highlight w:val="none"/>
          <w:u w:val="none"/>
        </w:rPr>
        <w:t>社会保险基金预算执行</w:t>
      </w:r>
      <w:r>
        <w:rPr>
          <w:rFonts w:hint="eastAsia" w:ascii="楷体_GB2312" w:hAnsi="楷体_GB2312" w:eastAsia="楷体_GB2312" w:cs="楷体_GB2312"/>
          <w:b/>
          <w:color w:val="auto"/>
          <w:sz w:val="32"/>
          <w:szCs w:val="32"/>
          <w:highlight w:val="none"/>
          <w:u w:val="none"/>
          <w:lang w:eastAsia="zh-CN"/>
        </w:rPr>
        <w:t>及平衡</w:t>
      </w:r>
      <w:r>
        <w:rPr>
          <w:rFonts w:hint="eastAsia" w:ascii="楷体_GB2312" w:hAnsi="楷体_GB2312" w:eastAsia="楷体_GB2312" w:cs="楷体_GB2312"/>
          <w:b/>
          <w:color w:val="auto"/>
          <w:sz w:val="32"/>
          <w:szCs w:val="32"/>
          <w:highlight w:val="none"/>
          <w:u w:val="none"/>
        </w:rPr>
        <w:t>情况</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2024年社会保险基金收入完成72</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314万元，比上年60</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557万元增加11</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757万元，增长19.41%。社会保险基金支出56</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958万元，比上年49</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543万元增加4463万元，增长9.22%。上年滚存结余65</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787万元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收支相抵，滚存结余81</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143万元。</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（五）2024年财政工作主要成效</w:t>
      </w:r>
    </w:p>
    <w:p>
      <w:pPr>
        <w:pStyle w:val="10"/>
        <w:keepNext w:val="0"/>
        <w:keepLines w:val="0"/>
        <w:pageBreakBefore w:val="0"/>
        <w:widowControl/>
        <w:numPr>
          <w:ilvl w:val="0"/>
          <w:numId w:val="0"/>
        </w:numPr>
        <w:suppressLineNumbers w:val="0"/>
        <w:kinsoku/>
        <w:wordWrap/>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b/>
          <w:bCs/>
          <w:color w:val="auto"/>
          <w:sz w:val="32"/>
          <w:szCs w:val="32"/>
          <w:u w:val="none"/>
          <w:lang w:val="en-US" w:eastAsia="zh-CN"/>
        </w:rPr>
        <w:t>1.全力以赴做大“钱袋子”。</w:t>
      </w:r>
      <w:r>
        <w:rPr>
          <w:rFonts w:hint="eastAsia" w:ascii="Times New Roman" w:hAnsi="Times New Roman" w:eastAsia="仿宋_GB2312" w:cs="Times New Roman"/>
          <w:color w:val="auto"/>
          <w:sz w:val="32"/>
          <w:szCs w:val="32"/>
          <w:u w:val="none"/>
          <w:lang w:val="en-US" w:eastAsia="zh-CN"/>
        </w:rPr>
        <w:t>不断夯实税源基础，</w:t>
      </w:r>
      <w:r>
        <w:rPr>
          <w:rFonts w:hint="default" w:ascii="Times New Roman" w:hAnsi="Times New Roman" w:eastAsia="仿宋_GB2312" w:cs="Times New Roman"/>
          <w:b w:val="0"/>
          <w:bCs w:val="0"/>
          <w:color w:val="auto"/>
          <w:spacing w:val="0"/>
          <w:w w:val="100"/>
          <w:kern w:val="2"/>
          <w:sz w:val="32"/>
          <w:szCs w:val="32"/>
          <w:highlight w:val="none"/>
          <w:u w:val="none"/>
          <w:lang w:val="en-US" w:eastAsia="zh-CN" w:bidi="ar-SA"/>
        </w:rPr>
        <w:t>着力挖潜增收</w:t>
      </w:r>
      <w:r>
        <w:rPr>
          <w:rFonts w:hint="eastAsia" w:ascii="Times New Roman" w:hAnsi="Times New Roman" w:eastAsia="仿宋_GB2312" w:cs="Times New Roman"/>
          <w:b w:val="0"/>
          <w:bCs w:val="0"/>
          <w:color w:val="auto"/>
          <w:spacing w:val="0"/>
          <w:w w:val="100"/>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none"/>
          <w:lang w:val="en-US" w:eastAsia="zh-CN" w:bidi="ar-SA"/>
        </w:rPr>
        <w:t>打好收入组织攻坚战，</w:t>
      </w:r>
      <w:r>
        <w:rPr>
          <w:rFonts w:hint="default" w:ascii="Times New Roman" w:hAnsi="Times New Roman" w:eastAsia="仿宋_GB2312" w:cs="Times New Roman"/>
          <w:color w:val="auto"/>
          <w:kern w:val="2"/>
          <w:sz w:val="32"/>
          <w:szCs w:val="32"/>
          <w:highlight w:val="none"/>
          <w:u w:val="none"/>
          <w:lang w:val="en-US" w:eastAsia="zh-CN" w:bidi="ar-SA"/>
        </w:rPr>
        <w:t>地方</w:t>
      </w:r>
      <w:r>
        <w:rPr>
          <w:rFonts w:hint="eastAsia" w:ascii="Times New Roman" w:hAnsi="Times New Roman" w:eastAsia="仿宋_GB2312" w:cs="Times New Roman"/>
          <w:color w:val="auto"/>
          <w:kern w:val="2"/>
          <w:sz w:val="32"/>
          <w:szCs w:val="32"/>
          <w:highlight w:val="none"/>
          <w:u w:val="none"/>
          <w:lang w:val="en-US" w:eastAsia="zh-CN" w:bidi="ar-SA"/>
        </w:rPr>
        <w:t>一般公共预算</w:t>
      </w:r>
      <w:r>
        <w:rPr>
          <w:rFonts w:hint="default" w:ascii="Times New Roman" w:hAnsi="Times New Roman" w:eastAsia="仿宋_GB2312" w:cs="Times New Roman"/>
          <w:color w:val="auto"/>
          <w:kern w:val="2"/>
          <w:sz w:val="32"/>
          <w:szCs w:val="32"/>
          <w:highlight w:val="none"/>
          <w:u w:val="none"/>
          <w:lang w:val="en-US" w:eastAsia="zh-CN" w:bidi="ar-SA"/>
        </w:rPr>
        <w:t>收入完成</w:t>
      </w:r>
      <w:r>
        <w:rPr>
          <w:rFonts w:hint="eastAsia" w:ascii="Times New Roman" w:hAnsi="Times New Roman" w:eastAsia="仿宋_GB2312" w:cs="Times New Roman"/>
          <w:color w:val="auto"/>
          <w:kern w:val="2"/>
          <w:sz w:val="32"/>
          <w:szCs w:val="32"/>
          <w:highlight w:val="none"/>
          <w:u w:val="none"/>
          <w:lang w:val="en-US" w:eastAsia="zh-CN" w:bidi="ar-SA"/>
        </w:rPr>
        <w:t>10.48</w:t>
      </w:r>
      <w:r>
        <w:rPr>
          <w:rFonts w:hint="default" w:ascii="Times New Roman" w:hAnsi="Times New Roman" w:eastAsia="仿宋_GB2312" w:cs="Times New Roman"/>
          <w:color w:val="auto"/>
          <w:kern w:val="2"/>
          <w:sz w:val="32"/>
          <w:szCs w:val="32"/>
          <w:highlight w:val="none"/>
          <w:u w:val="none"/>
          <w:lang w:val="en-US" w:eastAsia="zh-CN" w:bidi="ar-SA"/>
        </w:rPr>
        <w:t>亿元</w:t>
      </w:r>
      <w:r>
        <w:rPr>
          <w:rFonts w:hint="eastAsia" w:ascii="Times New Roman" w:hAnsi="Times New Roman" w:eastAsia="仿宋_GB2312" w:cs="Times New Roman"/>
          <w:color w:val="auto"/>
          <w:kern w:val="2"/>
          <w:sz w:val="32"/>
          <w:szCs w:val="32"/>
          <w:highlight w:val="none"/>
          <w:u w:val="none"/>
          <w:lang w:val="en-US" w:eastAsia="zh-CN" w:bidi="ar-SA"/>
        </w:rPr>
        <w:t>，增速高于县区平均水平3.7个百分点，全市排名第三，是全市唯一连续三年保持前三的县市区；地方税收占比63.1%，连续四年保持在省委县域经济考核同组县市第一位置；主体税种增速排名全市第一。</w:t>
      </w:r>
      <w:r>
        <w:rPr>
          <w:rFonts w:hint="eastAsia" w:ascii="Times New Roman" w:hAnsi="Times New Roman" w:eastAsia="仿宋_GB2312" w:cs="Times New Roman"/>
          <w:color w:val="auto"/>
          <w:sz w:val="32"/>
          <w:szCs w:val="32"/>
          <w:u w:val="none"/>
          <w:lang w:eastAsia="zh-CN"/>
        </w:rPr>
        <w:t>加力</w:t>
      </w:r>
      <w:r>
        <w:rPr>
          <w:rFonts w:hint="default" w:ascii="Times New Roman" w:hAnsi="Times New Roman" w:eastAsia="仿宋_GB2312" w:cs="Times New Roman"/>
          <w:color w:val="auto"/>
          <w:kern w:val="2"/>
          <w:sz w:val="32"/>
          <w:szCs w:val="32"/>
          <w:highlight w:val="none"/>
          <w:u w:val="none"/>
          <w:lang w:val="en-US" w:eastAsia="zh-CN" w:bidi="ar-SA"/>
        </w:rPr>
        <w:t>盘活</w:t>
      </w:r>
      <w:r>
        <w:rPr>
          <w:rFonts w:hint="eastAsia" w:ascii="Times New Roman" w:hAnsi="Times New Roman" w:eastAsia="仿宋_GB2312" w:cs="Times New Roman"/>
          <w:color w:val="auto"/>
          <w:kern w:val="2"/>
          <w:sz w:val="32"/>
          <w:szCs w:val="32"/>
          <w:highlight w:val="none"/>
          <w:u w:val="none"/>
          <w:lang w:val="en-US" w:eastAsia="zh-CN" w:bidi="ar-SA"/>
        </w:rPr>
        <w:t>国有</w:t>
      </w:r>
      <w:r>
        <w:rPr>
          <w:rFonts w:hint="default" w:ascii="Times New Roman" w:hAnsi="Times New Roman" w:eastAsia="仿宋_GB2312" w:cs="Times New Roman"/>
          <w:color w:val="auto"/>
          <w:kern w:val="2"/>
          <w:sz w:val="32"/>
          <w:szCs w:val="32"/>
          <w:highlight w:val="none"/>
          <w:u w:val="none"/>
          <w:lang w:val="en-US" w:eastAsia="zh-CN" w:bidi="ar-SA"/>
        </w:rPr>
        <w:t>“三资”，</w:t>
      </w:r>
      <w:r>
        <w:rPr>
          <w:rFonts w:hint="eastAsia" w:ascii="Times New Roman" w:hAnsi="Times New Roman" w:eastAsia="仿宋_GB2312" w:cs="Times New Roman"/>
          <w:color w:val="auto"/>
          <w:sz w:val="32"/>
          <w:szCs w:val="32"/>
          <w:u w:val="none"/>
          <w:lang w:val="en-US" w:eastAsia="zh-CN"/>
        </w:rPr>
        <w:t>实现</w:t>
      </w:r>
      <w:r>
        <w:rPr>
          <w:rFonts w:hint="default" w:ascii="Times New Roman" w:hAnsi="Times New Roman" w:eastAsia="仿宋_GB2312" w:cs="Times New Roman"/>
          <w:color w:val="auto"/>
          <w:sz w:val="32"/>
          <w:szCs w:val="32"/>
          <w:u w:val="none"/>
        </w:rPr>
        <w:t>入库收入</w:t>
      </w:r>
      <w:r>
        <w:rPr>
          <w:rFonts w:hint="eastAsia" w:ascii="Times New Roman" w:hAnsi="Times New Roman" w:eastAsia="仿宋_GB2312" w:cs="Times New Roman"/>
          <w:color w:val="auto"/>
          <w:sz w:val="32"/>
          <w:szCs w:val="32"/>
          <w:u w:val="none"/>
          <w:lang w:val="en-US" w:eastAsia="zh-CN"/>
        </w:rPr>
        <w:t>13.75</w:t>
      </w:r>
      <w:r>
        <w:rPr>
          <w:rFonts w:hint="default" w:ascii="Times New Roman" w:hAnsi="Times New Roman" w:eastAsia="仿宋_GB2312" w:cs="Times New Roman"/>
          <w:color w:val="auto"/>
          <w:sz w:val="32"/>
          <w:szCs w:val="32"/>
          <w:u w:val="none"/>
          <w:lang w:eastAsia="zh-CN"/>
        </w:rPr>
        <w:t>亿元</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抢抓政策机遇</w:t>
      </w:r>
      <w:r>
        <w:rPr>
          <w:rFonts w:hint="eastAsia" w:ascii="Times New Roman" w:hAnsi="Times New Roman" w:eastAsia="仿宋_GB2312" w:cs="Times New Roman"/>
          <w:color w:val="auto"/>
          <w:kern w:val="2"/>
          <w:sz w:val="32"/>
          <w:szCs w:val="32"/>
          <w:highlight w:val="none"/>
          <w:u w:val="none"/>
          <w:lang w:val="en-US" w:eastAsia="zh-CN" w:bidi="ar-SA"/>
        </w:rPr>
        <w:t>，积极争资引项，向上</w:t>
      </w:r>
      <w:r>
        <w:rPr>
          <w:rFonts w:hint="default" w:ascii="Times New Roman" w:hAnsi="Times New Roman" w:eastAsia="仿宋_GB2312" w:cs="Times New Roman"/>
          <w:color w:val="auto"/>
          <w:kern w:val="2"/>
          <w:sz w:val="32"/>
          <w:szCs w:val="32"/>
          <w:highlight w:val="none"/>
          <w:u w:val="none"/>
          <w:lang w:val="en-US" w:eastAsia="zh-CN" w:bidi="ar-SA"/>
        </w:rPr>
        <w:t>争取</w:t>
      </w:r>
      <w:r>
        <w:rPr>
          <w:rFonts w:hint="eastAsia" w:ascii="Times New Roman" w:hAnsi="Times New Roman" w:eastAsia="仿宋_GB2312" w:cs="Times New Roman"/>
          <w:color w:val="auto"/>
          <w:kern w:val="2"/>
          <w:sz w:val="32"/>
          <w:szCs w:val="32"/>
          <w:highlight w:val="none"/>
          <w:u w:val="none"/>
          <w:lang w:val="en-US" w:eastAsia="zh-CN" w:bidi="ar-SA"/>
        </w:rPr>
        <w:t>中央预算内资金、国债等专项</w:t>
      </w:r>
      <w:r>
        <w:rPr>
          <w:rFonts w:hint="default" w:ascii="Times New Roman" w:hAnsi="Times New Roman" w:eastAsia="仿宋_GB2312" w:cs="Times New Roman"/>
          <w:color w:val="auto"/>
          <w:kern w:val="2"/>
          <w:sz w:val="32"/>
          <w:szCs w:val="32"/>
          <w:highlight w:val="none"/>
          <w:u w:val="none"/>
          <w:lang w:val="en-US" w:eastAsia="zh-CN" w:bidi="ar-SA"/>
        </w:rPr>
        <w:t>资金</w:t>
      </w:r>
      <w:r>
        <w:rPr>
          <w:rFonts w:hint="eastAsia" w:ascii="Times New Roman" w:hAnsi="Times New Roman" w:eastAsia="仿宋_GB2312" w:cs="Times New Roman"/>
          <w:color w:val="auto"/>
          <w:kern w:val="2"/>
          <w:sz w:val="32"/>
          <w:szCs w:val="32"/>
          <w:highlight w:val="none"/>
          <w:u w:val="none"/>
          <w:lang w:val="en-US" w:eastAsia="zh-CN" w:bidi="ar-SA"/>
        </w:rPr>
        <w:t>26.79</w:t>
      </w:r>
      <w:r>
        <w:rPr>
          <w:rFonts w:hint="default" w:ascii="Times New Roman" w:hAnsi="Times New Roman" w:eastAsia="仿宋_GB2312" w:cs="Times New Roman"/>
          <w:color w:val="auto"/>
          <w:kern w:val="2"/>
          <w:sz w:val="32"/>
          <w:szCs w:val="32"/>
          <w:highlight w:val="none"/>
          <w:u w:val="none"/>
          <w:lang w:val="en-US" w:eastAsia="zh-CN" w:bidi="ar-SA"/>
        </w:rPr>
        <w:t>亿元</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专项债</w:t>
      </w:r>
      <w:r>
        <w:rPr>
          <w:rFonts w:hint="eastAsia" w:ascii="Times New Roman" w:hAnsi="Times New Roman" w:eastAsia="仿宋_GB2312" w:cs="Times New Roman"/>
          <w:color w:val="auto"/>
          <w:kern w:val="2"/>
          <w:sz w:val="32"/>
          <w:szCs w:val="32"/>
          <w:highlight w:val="none"/>
          <w:u w:val="none"/>
          <w:lang w:val="en-US" w:eastAsia="zh-CN" w:bidi="ar-SA"/>
        </w:rPr>
        <w:t>资金8.47</w:t>
      </w:r>
      <w:r>
        <w:rPr>
          <w:rFonts w:hint="default" w:ascii="Times New Roman" w:hAnsi="Times New Roman" w:eastAsia="仿宋_GB2312" w:cs="Times New Roman"/>
          <w:color w:val="auto"/>
          <w:kern w:val="2"/>
          <w:sz w:val="32"/>
          <w:szCs w:val="32"/>
          <w:highlight w:val="none"/>
          <w:u w:val="none"/>
          <w:lang w:val="en-US" w:eastAsia="zh-CN" w:bidi="ar-SA"/>
        </w:rPr>
        <w:t>亿元</w:t>
      </w:r>
      <w:r>
        <w:rPr>
          <w:rFonts w:hint="eastAsia" w:ascii="Times New Roman" w:hAnsi="Times New Roman" w:eastAsia="仿宋_GB2312" w:cs="Times New Roman"/>
          <w:color w:val="auto"/>
          <w:kern w:val="2"/>
          <w:sz w:val="32"/>
          <w:szCs w:val="32"/>
          <w:highlight w:val="none"/>
          <w:u w:val="none"/>
          <w:lang w:val="en-US" w:eastAsia="zh-CN" w:bidi="ar-SA"/>
        </w:rPr>
        <w:t>、置换债资金3.69亿元，年初预算安排项目前期工作经费1000万元用于做好资金保障服务。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2.精打细算管好“账本子”。</w:t>
      </w:r>
      <w:r>
        <w:rPr>
          <w:rFonts w:hint="eastAsia" w:ascii="Times New Roman" w:hAnsi="Times New Roman" w:eastAsia="仿宋_GB2312" w:cs="Times New Roman"/>
          <w:color w:val="auto"/>
          <w:sz w:val="32"/>
          <w:szCs w:val="32"/>
          <w:u w:val="none"/>
          <w:lang w:val="en-US" w:eastAsia="zh-CN"/>
        </w:rPr>
        <w:t>坚决贯彻落实习惯过紧日子要求，加大财政资源统筹力度，做到有保有压。行政运转经费较上一年度压降10.56%，压减1.49亿元。</w:t>
      </w:r>
      <w:r>
        <w:rPr>
          <w:rFonts w:hint="default" w:ascii="Times New Roman" w:hAnsi="Times New Roman" w:eastAsia="仿宋_GB2312" w:cs="Times New Roman"/>
          <w:color w:val="auto"/>
          <w:sz w:val="32"/>
          <w:szCs w:val="32"/>
          <w:u w:val="none"/>
          <w:lang w:val="en-US" w:eastAsia="zh-CN"/>
        </w:rPr>
        <w:t>民生支出</w:t>
      </w:r>
      <w:r>
        <w:rPr>
          <w:rFonts w:hint="eastAsia" w:ascii="Times New Roman" w:hAnsi="Times New Roman" w:eastAsia="仿宋_GB2312" w:cs="Times New Roman"/>
          <w:color w:val="auto"/>
          <w:sz w:val="32"/>
          <w:szCs w:val="32"/>
          <w:u w:val="none"/>
          <w:lang w:val="en-US" w:eastAsia="zh-CN"/>
        </w:rPr>
        <w:t>37.84亿元，占</w:t>
      </w:r>
      <w:r>
        <w:rPr>
          <w:rFonts w:hint="eastAsia" w:ascii="仿宋_GB2312" w:hAnsi="仿宋_GB2312" w:eastAsia="仿宋_GB2312" w:cs="仿宋_GB2312"/>
          <w:b w:val="0"/>
          <w:bCs w:val="0"/>
          <w:color w:val="auto"/>
          <w:sz w:val="32"/>
          <w:szCs w:val="32"/>
          <w:u w:val="none"/>
          <w:lang w:val="en-US" w:eastAsia="zh-CN"/>
        </w:rPr>
        <w:t>一般公共预算支出48亿元</w:t>
      </w:r>
      <w:r>
        <w:rPr>
          <w:rFonts w:hint="eastAsia" w:ascii="Times New Roman" w:hAnsi="Times New Roman" w:eastAsia="仿宋_GB2312" w:cs="Times New Roman"/>
          <w:color w:val="auto"/>
          <w:sz w:val="32"/>
          <w:szCs w:val="32"/>
          <w:u w:val="none"/>
          <w:lang w:val="en-US" w:eastAsia="zh-CN"/>
        </w:rPr>
        <w:t>的78.34</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发放惠民惠农补贴116项，金额3.49亿元，惠及83.01万人次</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坚持围绕中心、服务大局，统筹衔接资金1.16亿元支持乡村振兴，</w:t>
      </w:r>
      <w:r>
        <w:rPr>
          <w:rFonts w:hint="eastAsia" w:ascii="Times New Roman" w:hAnsi="Times New Roman" w:eastAsia="仿宋_GB2312" w:cs="Times New Roman"/>
          <w:b w:val="0"/>
          <w:bCs w:val="0"/>
          <w:color w:val="auto"/>
          <w:sz w:val="32"/>
          <w:szCs w:val="32"/>
          <w:u w:val="none"/>
          <w:lang w:val="en-US" w:eastAsia="zh-CN"/>
        </w:rPr>
        <w:t>投入1.61</w:t>
      </w:r>
      <w:r>
        <w:rPr>
          <w:rFonts w:hint="default" w:ascii="Times New Roman" w:hAnsi="Times New Roman" w:eastAsia="仿宋_GB2312" w:cs="Times New Roman"/>
          <w:b w:val="0"/>
          <w:bCs w:val="0"/>
          <w:color w:val="auto"/>
          <w:sz w:val="32"/>
          <w:szCs w:val="32"/>
          <w:u w:val="none"/>
          <w:lang w:val="en-US" w:eastAsia="zh-CN"/>
        </w:rPr>
        <w:t>亿元</w:t>
      </w:r>
      <w:r>
        <w:rPr>
          <w:rFonts w:hint="eastAsia" w:ascii="Times New Roman" w:hAnsi="Times New Roman" w:eastAsia="仿宋_GB2312" w:cs="Times New Roman"/>
          <w:b w:val="0"/>
          <w:bCs w:val="0"/>
          <w:color w:val="auto"/>
          <w:sz w:val="32"/>
          <w:szCs w:val="32"/>
          <w:u w:val="none"/>
          <w:lang w:val="en-US" w:eastAsia="zh-CN"/>
        </w:rPr>
        <w:t>助力</w:t>
      </w:r>
      <w:r>
        <w:rPr>
          <w:rFonts w:hint="default" w:ascii="Times New Roman" w:hAnsi="Times New Roman" w:eastAsia="仿宋_GB2312" w:cs="Times New Roman"/>
          <w:b w:val="0"/>
          <w:bCs w:val="0"/>
          <w:color w:val="auto"/>
          <w:sz w:val="32"/>
          <w:szCs w:val="32"/>
          <w:u w:val="none"/>
          <w:lang w:val="en-US" w:eastAsia="zh-CN"/>
        </w:rPr>
        <w:t>城乡建设</w:t>
      </w:r>
      <w:r>
        <w:rPr>
          <w:rFonts w:hint="eastAsia"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集中财力保障大事要事</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3.坚决有力护好“家底子”。</w:t>
      </w:r>
      <w:r>
        <w:rPr>
          <w:rFonts w:hint="eastAsia" w:ascii="仿宋_GB2312" w:hAnsi="仿宋_GB2312" w:eastAsia="仿宋_GB2312" w:cs="仿宋_GB2312"/>
          <w:b w:val="0"/>
          <w:bCs w:val="0"/>
          <w:color w:val="auto"/>
          <w:sz w:val="32"/>
          <w:szCs w:val="32"/>
          <w:u w:val="none"/>
          <w:lang w:val="en-US" w:eastAsia="zh-CN"/>
        </w:rPr>
        <w:t>兜牢兜实“三保”底线，</w:t>
      </w:r>
      <w:r>
        <w:rPr>
          <w:rFonts w:hint="default" w:ascii="Times New Roman" w:hAnsi="Times New Roman" w:eastAsia="仿宋_GB2312" w:cs="Times New Roman"/>
          <w:b w:val="0"/>
          <w:bCs/>
          <w:sz w:val="32"/>
          <w:szCs w:val="32"/>
          <w:u w:val="none"/>
          <w:lang w:eastAsia="zh-CN"/>
        </w:rPr>
        <w:t>足额</w:t>
      </w:r>
      <w:r>
        <w:rPr>
          <w:rFonts w:hint="eastAsia" w:ascii="Times New Roman" w:hAnsi="Times New Roman" w:eastAsia="仿宋_GB2312" w:cs="Times New Roman"/>
          <w:b w:val="0"/>
          <w:bCs/>
          <w:sz w:val="32"/>
          <w:szCs w:val="32"/>
          <w:u w:val="none"/>
          <w:lang w:eastAsia="zh-CN"/>
        </w:rPr>
        <w:t>编列“三保”预算并</w:t>
      </w:r>
      <w:r>
        <w:rPr>
          <w:rFonts w:hint="default" w:ascii="Times New Roman" w:hAnsi="Times New Roman" w:eastAsia="仿宋_GB2312" w:cs="Times New Roman"/>
          <w:color w:val="auto"/>
          <w:sz w:val="32"/>
          <w:szCs w:val="32"/>
          <w:u w:val="none"/>
          <w:lang w:eastAsia="zh-CN"/>
        </w:rPr>
        <w:t>动态监控</w:t>
      </w:r>
      <w:r>
        <w:rPr>
          <w:rFonts w:hint="eastAsia" w:ascii="Times New Roman" w:hAnsi="Times New Roman" w:eastAsia="仿宋_GB2312" w:cs="Times New Roman"/>
          <w:color w:val="auto"/>
          <w:sz w:val="32"/>
          <w:szCs w:val="32"/>
          <w:u w:val="none"/>
          <w:lang w:eastAsia="zh-CN"/>
        </w:rPr>
        <w:t>执行情况</w:t>
      </w:r>
      <w:r>
        <w:rPr>
          <w:rFonts w:hint="eastAsia" w:ascii="Times New Roman" w:hAnsi="Times New Roman" w:eastAsia="仿宋_GB2312" w:cs="Times New Roman"/>
          <w:b w:val="0"/>
          <w:bCs/>
          <w:sz w:val="32"/>
          <w:szCs w:val="32"/>
          <w:u w:val="none"/>
          <w:lang w:eastAsia="zh-CN"/>
        </w:rPr>
        <w:t>，全年</w:t>
      </w:r>
      <w:r>
        <w:rPr>
          <w:rFonts w:hint="default" w:ascii="Times New Roman" w:hAnsi="Times New Roman" w:eastAsia="仿宋_GB2312" w:cs="Times New Roman"/>
          <w:sz w:val="32"/>
          <w:szCs w:val="32"/>
          <w:u w:val="none"/>
        </w:rPr>
        <w:t>“三保”支出25</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21</w:t>
      </w:r>
      <w:r>
        <w:rPr>
          <w:rFonts w:hint="default" w:ascii="Times New Roman" w:hAnsi="Times New Roman" w:eastAsia="仿宋_GB2312" w:cs="Times New Roman"/>
          <w:sz w:val="32"/>
          <w:szCs w:val="32"/>
          <w:u w:val="none"/>
          <w:lang w:eastAsia="zh-CN"/>
        </w:rPr>
        <w:t>亿</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color w:val="auto"/>
          <w:sz w:val="32"/>
          <w:szCs w:val="32"/>
          <w:u w:val="none"/>
          <w:lang w:eastAsia="zh-CN"/>
        </w:rPr>
        <w:t>未发生“三保”支出断链事件</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u w:val="none"/>
        </w:rPr>
        <w:t>化解隐</w:t>
      </w:r>
      <w:r>
        <w:rPr>
          <w:rFonts w:hint="eastAsia" w:ascii="Times New Roman" w:hAnsi="Times New Roman" w:eastAsia="仿宋_GB2312" w:cs="Times New Roman"/>
          <w:color w:val="auto"/>
          <w:sz w:val="32"/>
          <w:szCs w:val="32"/>
          <w:u w:val="none"/>
          <w:lang w:eastAsia="zh-CN"/>
        </w:rPr>
        <w:t>性</w:t>
      </w:r>
      <w:r>
        <w:rPr>
          <w:rFonts w:hint="default" w:ascii="Times New Roman" w:hAnsi="Times New Roman" w:eastAsia="仿宋_GB2312" w:cs="Times New Roman"/>
          <w:color w:val="auto"/>
          <w:sz w:val="32"/>
          <w:szCs w:val="32"/>
          <w:u w:val="none"/>
        </w:rPr>
        <w:t>债务</w:t>
      </w:r>
      <w:r>
        <w:rPr>
          <w:rFonts w:hint="eastAsia" w:ascii="Times New Roman" w:hAnsi="Times New Roman" w:eastAsia="仿宋_GB2312" w:cs="Times New Roman"/>
          <w:color w:val="auto"/>
          <w:sz w:val="32"/>
          <w:szCs w:val="32"/>
          <w:u w:val="none"/>
          <w:lang w:val="en-US" w:eastAsia="zh-CN"/>
        </w:rPr>
        <w:t>8.25</w:t>
      </w:r>
      <w:r>
        <w:rPr>
          <w:rFonts w:hint="default" w:ascii="Times New Roman" w:hAnsi="Times New Roman" w:eastAsia="仿宋_GB2312" w:cs="Times New Roman"/>
          <w:color w:val="auto"/>
          <w:sz w:val="32"/>
          <w:szCs w:val="32"/>
          <w:u w:val="none"/>
        </w:rPr>
        <w:t>亿元</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超额完成目标任务</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实现3家融资平台隐性债务清零和退出。全面清理规范税费优惠和补贴政策，进一步做实做优财政收入，规避政策风险。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4.提质增效开拓“新路子”。</w:t>
      </w:r>
      <w:r>
        <w:rPr>
          <w:rFonts w:hint="eastAsia" w:ascii="仿宋_GB2312" w:hAnsi="仿宋_GB2312" w:eastAsia="仿宋_GB2312" w:cs="仿宋_GB2312"/>
          <w:b w:val="0"/>
          <w:bCs w:val="0"/>
          <w:color w:val="auto"/>
          <w:sz w:val="32"/>
          <w:szCs w:val="32"/>
          <w:u w:val="none"/>
          <w:lang w:val="en-US" w:eastAsia="zh-CN"/>
        </w:rPr>
        <w:t>扎实开展“绩效管理巩固年”行动，全面深化零基预算改革。</w:t>
      </w:r>
      <w:r>
        <w:rPr>
          <w:rFonts w:hint="default" w:ascii="Times New Roman" w:hAnsi="Times New Roman" w:eastAsia="仿宋_GB2312" w:cs="Times New Roman"/>
          <w:color w:val="auto"/>
          <w:sz w:val="32"/>
          <w:szCs w:val="32"/>
          <w:u w:val="none"/>
          <w:lang w:val="en-US" w:eastAsia="zh-CN"/>
        </w:rPr>
        <w:t>政府采购</w:t>
      </w:r>
      <w:r>
        <w:rPr>
          <w:rFonts w:hint="eastAsia" w:ascii="Times New Roman" w:hAnsi="Times New Roman" w:eastAsia="仿宋_GB2312" w:cs="Times New Roman"/>
          <w:color w:val="auto"/>
          <w:sz w:val="32"/>
          <w:szCs w:val="32"/>
          <w:u w:val="none"/>
          <w:lang w:val="en-US" w:eastAsia="zh-CN"/>
        </w:rPr>
        <w:t>项目</w:t>
      </w:r>
      <w:r>
        <w:rPr>
          <w:rFonts w:hint="default" w:ascii="Times New Roman" w:hAnsi="Times New Roman" w:eastAsia="仿宋_GB2312" w:cs="Times New Roman"/>
          <w:color w:val="auto"/>
          <w:sz w:val="32"/>
          <w:szCs w:val="32"/>
          <w:u w:val="none"/>
        </w:rPr>
        <w:t>节约</w:t>
      </w:r>
      <w:r>
        <w:rPr>
          <w:rFonts w:hint="default" w:ascii="Times New Roman" w:hAnsi="Times New Roman" w:eastAsia="仿宋_GB2312" w:cs="Times New Roman"/>
          <w:color w:val="auto"/>
          <w:sz w:val="32"/>
          <w:szCs w:val="32"/>
          <w:u w:val="none"/>
          <w:lang w:eastAsia="zh-CN"/>
        </w:rPr>
        <w:t>率达</w:t>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%为历年最高</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预结算评审</w:t>
      </w:r>
      <w:r>
        <w:rPr>
          <w:rFonts w:hint="default" w:ascii="Times New Roman" w:hAnsi="Times New Roman" w:eastAsia="仿宋_GB2312" w:cs="Times New Roman"/>
          <w:color w:val="auto"/>
          <w:sz w:val="32"/>
          <w:szCs w:val="32"/>
          <w:u w:val="none"/>
        </w:rPr>
        <w:t>项目审减率</w:t>
      </w:r>
      <w:r>
        <w:rPr>
          <w:rFonts w:hint="eastAsia" w:ascii="Times New Roman" w:hAnsi="Times New Roman" w:eastAsia="仿宋_GB2312" w:cs="Times New Roman"/>
          <w:color w:val="auto"/>
          <w:sz w:val="32"/>
          <w:szCs w:val="32"/>
          <w:u w:val="none"/>
          <w:lang w:eastAsia="zh-CN"/>
        </w:rPr>
        <w:t>达</w:t>
      </w:r>
      <w:r>
        <w:rPr>
          <w:rFonts w:hint="eastAsia" w:ascii="Times New Roman" w:hAnsi="Times New Roman" w:eastAsia="仿宋_GB2312" w:cs="Times New Roman"/>
          <w:color w:val="auto"/>
          <w:sz w:val="32"/>
          <w:szCs w:val="32"/>
          <w:u w:val="none"/>
          <w:lang w:val="en-US" w:eastAsia="zh-CN"/>
        </w:rPr>
        <w:t>10.96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，有效控制项目支出。县属国有企业</w:t>
      </w:r>
      <w:r>
        <w:rPr>
          <w:rFonts w:hint="default" w:ascii="Times New Roman" w:hAnsi="Times New Roman" w:eastAsia="仿宋_GB2312" w:cs="Times New Roman"/>
          <w:color w:val="auto"/>
          <w:sz w:val="32"/>
          <w:szCs w:val="32"/>
          <w:u w:val="none"/>
          <w:lang w:eastAsia="zh-CN"/>
        </w:rPr>
        <w:t>管理层级均实现</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级以内，人力成本</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可控经费</w:t>
      </w:r>
      <w:r>
        <w:rPr>
          <w:rFonts w:hint="eastAsia" w:ascii="Times New Roman" w:hAnsi="Times New Roman"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lang w:eastAsia="zh-CN"/>
        </w:rPr>
        <w:t>综合融资成本</w:t>
      </w:r>
      <w:r>
        <w:rPr>
          <w:rFonts w:hint="eastAsia" w:ascii="Times New Roman" w:hAnsi="Times New Roman" w:eastAsia="仿宋_GB2312" w:cs="Times New Roman"/>
          <w:color w:val="auto"/>
          <w:sz w:val="32"/>
          <w:szCs w:val="32"/>
          <w:u w:val="none"/>
          <w:lang w:eastAsia="zh-CN"/>
        </w:rPr>
        <w:t>均较上年下降</w:t>
      </w:r>
      <w:r>
        <w:rPr>
          <w:rFonts w:hint="default" w:ascii="Times New Roman" w:hAnsi="Times New Roman" w:eastAsia="仿宋_GB2312" w:cs="Times New Roman"/>
          <w:sz w:val="32"/>
          <w:szCs w:val="32"/>
          <w:u w:val="none"/>
          <w:lang w:val="en-US" w:eastAsia="zh-CN"/>
        </w:rPr>
        <w:t>。开展</w:t>
      </w:r>
      <w:r>
        <w:rPr>
          <w:rFonts w:hint="eastAsia" w:ascii="Times New Roman" w:hAnsi="Times New Roman" w:eastAsia="仿宋_GB2312" w:cs="Times New Roman"/>
          <w:b w:val="0"/>
          <w:bCs w:val="0"/>
          <w:sz w:val="32"/>
          <w:szCs w:val="32"/>
          <w:u w:val="none"/>
          <w:lang w:val="en-US" w:eastAsia="zh-CN"/>
        </w:rPr>
        <w:t>全县</w:t>
      </w:r>
      <w:r>
        <w:rPr>
          <w:rFonts w:hint="default" w:ascii="Times New Roman" w:hAnsi="Times New Roman" w:eastAsia="仿宋_GB2312" w:cs="Times New Roman"/>
          <w:sz w:val="32"/>
          <w:szCs w:val="32"/>
          <w:u w:val="none"/>
          <w:lang w:val="en-US" w:eastAsia="zh-CN"/>
        </w:rPr>
        <w:t>财政财务检查工作，整改收回资金</w:t>
      </w:r>
      <w:r>
        <w:rPr>
          <w:rFonts w:hint="eastAsia" w:ascii="Times New Roman" w:hAnsi="Times New Roman" w:eastAsia="仿宋_GB2312" w:cs="Times New Roman"/>
          <w:sz w:val="32"/>
          <w:szCs w:val="32"/>
          <w:u w:val="none"/>
          <w:lang w:val="en-US" w:eastAsia="zh-CN"/>
        </w:rPr>
        <w:t>8.24</w:t>
      </w:r>
      <w:r>
        <w:rPr>
          <w:rFonts w:hint="default" w:ascii="Times New Roman" w:hAnsi="Times New Roman" w:eastAsia="仿宋_GB2312" w:cs="Times New Roman"/>
          <w:sz w:val="32"/>
          <w:szCs w:val="32"/>
          <w:u w:val="none"/>
          <w:lang w:val="en-US" w:eastAsia="zh-CN"/>
        </w:rPr>
        <w:t>万元</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审核</w:t>
      </w:r>
      <w:r>
        <w:rPr>
          <w:rFonts w:hint="eastAsia" w:ascii="Times New Roman" w:hAnsi="Times New Roman" w:eastAsia="仿宋_GB2312" w:cs="Times New Roman"/>
          <w:sz w:val="32"/>
          <w:szCs w:val="32"/>
          <w:u w:val="none"/>
          <w:lang w:val="en-US" w:eastAsia="zh-CN"/>
        </w:rPr>
        <w:t>清理全县</w:t>
      </w:r>
      <w:r>
        <w:rPr>
          <w:rFonts w:hint="default" w:ascii="Times New Roman" w:hAnsi="Times New Roman" w:eastAsia="仿宋_GB2312" w:cs="Times New Roman"/>
          <w:sz w:val="32"/>
          <w:szCs w:val="32"/>
          <w:u w:val="none"/>
          <w:lang w:val="en-US" w:eastAsia="zh-CN"/>
        </w:rPr>
        <w:t>单位银行账户，撤销</w:t>
      </w:r>
      <w:r>
        <w:rPr>
          <w:rFonts w:hint="eastAsia" w:ascii="Times New Roman" w:hAnsi="Times New Roman" w:eastAsia="仿宋_GB2312" w:cs="Times New Roman"/>
          <w:sz w:val="32"/>
          <w:szCs w:val="32"/>
          <w:u w:val="none"/>
          <w:lang w:val="en-US" w:eastAsia="zh-CN"/>
        </w:rPr>
        <w:t>违规</w:t>
      </w:r>
      <w:r>
        <w:rPr>
          <w:rFonts w:hint="default" w:ascii="Times New Roman" w:hAnsi="Times New Roman" w:eastAsia="仿宋_GB2312" w:cs="Times New Roman"/>
          <w:sz w:val="32"/>
          <w:szCs w:val="32"/>
          <w:u w:val="none"/>
          <w:lang w:val="en-US" w:eastAsia="zh-CN"/>
        </w:rPr>
        <w:t>账户55个</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财会监督</w:t>
      </w:r>
      <w:r>
        <w:rPr>
          <w:rFonts w:hint="eastAsia" w:ascii="Times New Roman" w:hAnsi="Times New Roman" w:eastAsia="仿宋_GB2312" w:cs="Times New Roman"/>
          <w:b w:val="0"/>
          <w:bCs w:val="0"/>
          <w:sz w:val="32"/>
          <w:szCs w:val="32"/>
          <w:u w:val="none"/>
          <w:lang w:val="en-US" w:eastAsia="zh-CN"/>
        </w:rPr>
        <w:t>见行见效</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积极推动</w:t>
      </w:r>
      <w:r>
        <w:rPr>
          <w:rFonts w:hint="eastAsia" w:ascii="Times New Roman" w:hAnsi="Times New Roman" w:eastAsia="仿宋_GB2312" w:cs="Times New Roman"/>
          <w:color w:val="auto"/>
          <w:sz w:val="32"/>
          <w:szCs w:val="32"/>
          <w:u w:val="none"/>
          <w:lang w:val="en-US" w:eastAsia="zh-CN"/>
        </w:rPr>
        <w:t>金融支持化债</w:t>
      </w:r>
      <w:r>
        <w:rPr>
          <w:rFonts w:hint="default" w:ascii="Times New Roman" w:hAnsi="Times New Roman" w:eastAsia="仿宋_GB2312" w:cs="Times New Roman"/>
          <w:color w:val="auto"/>
          <w:sz w:val="32"/>
          <w:szCs w:val="32"/>
          <w:u w:val="none"/>
          <w:lang w:val="en-US" w:eastAsia="zh-CN"/>
        </w:rPr>
        <w:t>，完成降息38笔23.01亿元，展期8笔4.41亿元</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各位代表，过去的一年，全县财政运行总体平稳的态势来之不易。面对挑战和风险明显增多的复杂局面，全县财政系统的广大干部职工坚持迎难而上、克难前行，较好地完成了各项目标任务。这是深入贯彻落实习近平新时代中国特色社会主义思想的结果，是县委、县政府坚强领导、科学决策的结果，是县人大、县政协监督指导和社会各界鼎力支持的结果，是全县上下团结拼搏、共同努力的结果，我们对各位代表、委员表示衷心的感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cs="Times New Roman"/>
          <w:color w:val="auto"/>
          <w:sz w:val="32"/>
          <w:szCs w:val="32"/>
          <w:highlight w:val="none"/>
          <w:u w:val="none"/>
        </w:rPr>
      </w:pPr>
      <w:r>
        <w:rPr>
          <w:rFonts w:hint="eastAsia" w:ascii="Times New Roman" w:hAnsi="Times New Roman" w:eastAsia="仿宋_GB2312" w:cs="Times New Roman"/>
          <w:sz w:val="32"/>
          <w:szCs w:val="32"/>
          <w:u w:val="none"/>
          <w:lang w:val="en-US" w:eastAsia="zh-CN"/>
        </w:rPr>
        <w:t>同时，我们也清醒地认识到，当前财政工作还存在一些不容忽视的问题，面临一些困难和挑战。主要表现在：财政增收的难度持续加大，重构支出体系和支出标准仍然十分艰难，财政收支矛盾突出，防控债务风险压力还将持续，等等。针对上述问题，我们将认真听取各位代表和委员的意见建议，在下阶段工作中，我们将采取更加有力的工作举措，认真加以解决。</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rPr>
        <w:t>二、202</w:t>
      </w:r>
      <w:r>
        <w:rPr>
          <w:rFonts w:hint="eastAsia" w:ascii="Times New Roman" w:hAnsi="Times New Roman" w:eastAsia="黑体" w:cs="Times New Roman"/>
          <w:color w:val="auto"/>
          <w:sz w:val="32"/>
          <w:szCs w:val="32"/>
          <w:highlight w:val="none"/>
          <w:u w:val="none"/>
          <w:lang w:val="en-US" w:eastAsia="zh-CN"/>
        </w:rPr>
        <w:t>5</w:t>
      </w:r>
      <w:r>
        <w:rPr>
          <w:rFonts w:ascii="Times New Roman" w:hAnsi="Times New Roman" w:eastAsia="黑体" w:cs="Times New Roman"/>
          <w:color w:val="auto"/>
          <w:sz w:val="32"/>
          <w:szCs w:val="32"/>
          <w:highlight w:val="none"/>
          <w:u w:val="none"/>
        </w:rPr>
        <w:t>年财政预算草案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u w:val="none"/>
          <w:lang w:eastAsia="zh-CN"/>
        </w:rPr>
      </w:pPr>
      <w:r>
        <w:rPr>
          <w:rFonts w:hint="eastAsia" w:ascii="仿宋" w:hAnsi="仿宋" w:eastAsia="仿宋" w:cs="仿宋"/>
          <w:b w:val="0"/>
          <w:bCs w:val="0"/>
          <w:sz w:val="32"/>
          <w:szCs w:val="32"/>
          <w:u w:val="none"/>
          <w:lang w:eastAsia="zh-CN"/>
        </w:rPr>
        <w:t>2025年零基预算改革，是党的二十届三中全会作出的重大部署，也是一项事关国计民生的政治任务，更是一场勇于刀刃向内的改革攻坚。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u w:val="none"/>
          <w:lang w:eastAsia="zh-CN"/>
        </w:rPr>
      </w:pPr>
      <w:r>
        <w:rPr>
          <w:rFonts w:hint="eastAsia" w:ascii="仿宋" w:hAnsi="仿宋" w:eastAsia="仿宋" w:cs="仿宋"/>
          <w:b/>
          <w:bCs/>
          <w:sz w:val="32"/>
          <w:szCs w:val="32"/>
          <w:u w:val="none"/>
          <w:lang w:eastAsia="zh-CN"/>
        </w:rPr>
        <w:t>预算编制的指导思想是：</w:t>
      </w:r>
      <w:r>
        <w:rPr>
          <w:rFonts w:hint="eastAsia" w:ascii="仿宋" w:hAnsi="仿宋" w:eastAsia="仿宋" w:cs="仿宋"/>
          <w:b w:val="0"/>
          <w:bCs w:val="0"/>
          <w:sz w:val="32"/>
          <w:szCs w:val="32"/>
          <w:u w:val="none"/>
          <w:lang w:eastAsia="zh-CN"/>
        </w:rPr>
        <w:t>坚持以习近平新时代中国特色社会主义思想为指导，全面贯彻党的二十大和二十届二中、三中全会精神，落实</w:t>
      </w:r>
      <w:r>
        <w:rPr>
          <w:rFonts w:hint="eastAsia" w:ascii="仿宋" w:hAnsi="仿宋" w:eastAsia="仿宋" w:cs="仿宋"/>
          <w:b w:val="0"/>
          <w:bCs w:val="0"/>
          <w:sz w:val="32"/>
          <w:szCs w:val="32"/>
          <w:u w:val="none"/>
          <w:lang w:val="en-US" w:eastAsia="zh-CN"/>
        </w:rPr>
        <w:t>党</w:t>
      </w:r>
      <w:r>
        <w:rPr>
          <w:rFonts w:hint="eastAsia" w:ascii="仿宋" w:hAnsi="仿宋" w:eastAsia="仿宋" w:cs="仿宋"/>
          <w:b w:val="0"/>
          <w:bCs w:val="0"/>
          <w:sz w:val="32"/>
          <w:szCs w:val="32"/>
          <w:u w:val="none"/>
          <w:lang w:eastAsia="zh-CN"/>
        </w:rPr>
        <w:t>中央、省市县经济工作会议部署，坚持稳中求进工作总基调，完整准确全面贯彻新发展理念，加快构建新发展格局，扎实推动高质量发展。全面深化零基预算改革，坚持党政机关过紧日子，严格控制一般性支出，切实兜牢“三保”底线，加强政府债务管理，防范化解风险，巩固和增强经济回升向好态势，确保财政运行平稳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eastAsia="zh-CN"/>
        </w:rPr>
      </w:pPr>
      <w:r>
        <w:rPr>
          <w:rFonts w:hint="eastAsia" w:ascii="仿宋" w:hAnsi="仿宋" w:eastAsia="仿宋" w:cs="仿宋"/>
          <w:b/>
          <w:bCs/>
          <w:sz w:val="32"/>
          <w:szCs w:val="32"/>
          <w:u w:val="none"/>
          <w:lang w:eastAsia="zh-CN"/>
        </w:rPr>
        <w:t>预算编制的基本原则是：</w:t>
      </w:r>
      <w:r>
        <w:rPr>
          <w:rFonts w:hint="eastAsia" w:ascii="仿宋" w:hAnsi="仿宋" w:eastAsia="仿宋" w:cs="仿宋"/>
          <w:sz w:val="32"/>
          <w:szCs w:val="32"/>
          <w:u w:val="none"/>
          <w:lang w:eastAsia="zh-CN"/>
        </w:rPr>
        <w:t>一是以零为基，以事定钱，以效促用；二是“三保“优先，防范风险；三是勤俭节约，降本增效；四是科学规范，硬化约束。</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202</w:t>
      </w:r>
      <w:r>
        <w:rPr>
          <w:rFonts w:hint="eastAsia" w:ascii="仿宋" w:hAnsi="仿宋" w:eastAsia="仿宋" w:cs="仿宋"/>
          <w:b/>
          <w:bCs/>
          <w:color w:val="auto"/>
          <w:sz w:val="32"/>
          <w:szCs w:val="32"/>
          <w:highlight w:val="none"/>
          <w:u w:val="none"/>
          <w:lang w:val="en-US" w:eastAsia="zh-CN"/>
        </w:rPr>
        <w:t>5</w:t>
      </w:r>
      <w:r>
        <w:rPr>
          <w:rFonts w:hint="eastAsia" w:ascii="仿宋" w:hAnsi="仿宋" w:eastAsia="仿宋" w:cs="仿宋"/>
          <w:b/>
          <w:bCs/>
          <w:color w:val="auto"/>
          <w:sz w:val="32"/>
          <w:szCs w:val="32"/>
          <w:highlight w:val="none"/>
          <w:u w:val="none"/>
        </w:rPr>
        <w:t>年全县财政预算拟作如下安排：</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（一）一般公共预算</w:t>
      </w:r>
    </w:p>
    <w:p>
      <w:pPr>
        <w:keepNext w:val="0"/>
        <w:keepLines w:val="0"/>
        <w:pageBreakBefore w:val="0"/>
        <w:widowControl w:val="0"/>
        <w:kinsoku/>
        <w:wordWrap/>
        <w:overflowPunct/>
        <w:topLinePunct w:val="0"/>
        <w:autoSpaceDE/>
        <w:autoSpaceDN/>
        <w:bidi w:val="0"/>
        <w:adjustRightInd w:val="0"/>
        <w:snapToGrid w:val="0"/>
        <w:spacing w:line="52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地方收入形成的财力</w:t>
      </w:r>
      <w:r>
        <w:rPr>
          <w:rFonts w:hint="eastAsia" w:ascii="仿宋" w:hAnsi="仿宋" w:eastAsia="仿宋" w:cs="仿宋"/>
          <w:color w:val="auto"/>
          <w:sz w:val="32"/>
          <w:szCs w:val="32"/>
          <w:highlight w:val="none"/>
          <w:u w:val="none"/>
          <w:lang w:val="en-US" w:eastAsia="zh-CN"/>
        </w:rPr>
        <w:t>108,100万</w:t>
      </w:r>
      <w:r>
        <w:rPr>
          <w:rFonts w:hint="eastAsia" w:ascii="仿宋" w:hAnsi="仿宋" w:eastAsia="仿宋" w:cs="仿宋"/>
          <w:color w:val="auto"/>
          <w:sz w:val="32"/>
          <w:szCs w:val="32"/>
          <w:highlight w:val="none"/>
          <w:u w:val="none"/>
          <w:lang w:eastAsia="zh-CN"/>
        </w:rPr>
        <w:t>元，</w:t>
      </w:r>
      <w:r>
        <w:rPr>
          <w:rFonts w:hint="eastAsia" w:ascii="仿宋" w:hAnsi="仿宋" w:eastAsia="仿宋" w:cs="仿宋"/>
          <w:color w:val="auto"/>
          <w:sz w:val="32"/>
          <w:szCs w:val="32"/>
          <w:highlight w:val="none"/>
          <w:u w:val="none"/>
        </w:rPr>
        <w:t>上级补助收入</w:t>
      </w:r>
      <w:r>
        <w:rPr>
          <w:rFonts w:hint="eastAsia" w:ascii="仿宋" w:hAnsi="仿宋" w:eastAsia="仿宋" w:cs="仿宋"/>
          <w:color w:val="auto"/>
          <w:sz w:val="32"/>
          <w:szCs w:val="32"/>
          <w:highlight w:val="none"/>
          <w:u w:val="none"/>
          <w:lang w:val="en-US" w:eastAsia="zh-CN"/>
        </w:rPr>
        <w:t>126,912</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返还性收入6721万元</w:t>
      </w:r>
      <w:r>
        <w:rPr>
          <w:rFonts w:hint="eastAsia" w:ascii="仿宋" w:hAnsi="仿宋" w:eastAsia="仿宋" w:cs="仿宋"/>
          <w:color w:val="auto"/>
          <w:sz w:val="32"/>
          <w:szCs w:val="32"/>
          <w:highlight w:val="none"/>
          <w:u w:val="none"/>
          <w:lang w:eastAsia="zh-CN"/>
        </w:rPr>
        <w:t>，一般性转移支付收入</w:t>
      </w:r>
      <w:r>
        <w:rPr>
          <w:rFonts w:hint="eastAsia" w:ascii="仿宋" w:hAnsi="仿宋" w:eastAsia="仿宋" w:cs="仿宋"/>
          <w:color w:val="auto"/>
          <w:sz w:val="32"/>
          <w:szCs w:val="32"/>
          <w:highlight w:val="none"/>
          <w:u w:val="none"/>
          <w:lang w:val="en-US" w:eastAsia="zh-CN"/>
        </w:rPr>
        <w:t>120,191万元</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国有资本经营预算调入</w:t>
      </w:r>
      <w:r>
        <w:rPr>
          <w:rFonts w:hint="eastAsia" w:ascii="仿宋" w:hAnsi="仿宋" w:eastAsia="仿宋" w:cs="仿宋"/>
          <w:color w:val="auto"/>
          <w:sz w:val="32"/>
          <w:szCs w:val="32"/>
          <w:highlight w:val="none"/>
          <w:u w:val="none"/>
          <w:lang w:eastAsia="zh-CN"/>
        </w:rPr>
        <w:t>资金</w:t>
      </w:r>
      <w:r>
        <w:rPr>
          <w:rFonts w:hint="eastAsia"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lang w:val="en-US" w:eastAsia="zh-CN"/>
        </w:rPr>
        <w:t>0,293</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上级专项转移支付资金</w:t>
      </w:r>
      <w:r>
        <w:rPr>
          <w:rFonts w:hint="eastAsia" w:ascii="仿宋" w:hAnsi="仿宋" w:eastAsia="仿宋" w:cs="仿宋"/>
          <w:color w:val="auto"/>
          <w:sz w:val="32"/>
          <w:szCs w:val="32"/>
          <w:highlight w:val="none"/>
          <w:u w:val="none"/>
          <w:lang w:val="en-US" w:eastAsia="zh-CN"/>
        </w:rPr>
        <w:t>108,640万元，上年结转28,457万元，</w:t>
      </w:r>
      <w:r>
        <w:rPr>
          <w:rFonts w:hint="eastAsia" w:ascii="仿宋" w:hAnsi="仿宋" w:eastAsia="仿宋" w:cs="仿宋"/>
          <w:color w:val="auto"/>
          <w:sz w:val="32"/>
          <w:szCs w:val="32"/>
          <w:highlight w:val="none"/>
          <w:u w:val="none"/>
          <w:lang w:eastAsia="zh-CN"/>
        </w:rPr>
        <w:t>按照收支平衡的原则，使用当年财力安排一般公共预算支出</w:t>
      </w:r>
      <w:r>
        <w:rPr>
          <w:rFonts w:hint="eastAsia" w:ascii="仿宋" w:hAnsi="仿宋" w:eastAsia="仿宋" w:cs="仿宋"/>
          <w:color w:val="auto"/>
          <w:sz w:val="32"/>
          <w:szCs w:val="32"/>
          <w:highlight w:val="none"/>
          <w:u w:val="none"/>
          <w:lang w:val="en-US" w:eastAsia="zh-CN"/>
        </w:rPr>
        <w:t>422,402</w:t>
      </w:r>
      <w:r>
        <w:rPr>
          <w:rFonts w:hint="eastAsia" w:ascii="仿宋" w:hAnsi="仿宋" w:eastAsia="仿宋" w:cs="仿宋"/>
          <w:color w:val="auto"/>
          <w:sz w:val="32"/>
          <w:szCs w:val="32"/>
          <w:highlight w:val="none"/>
          <w:u w:val="none"/>
        </w:rPr>
        <w:t>万元。</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（二）政府性基金预算</w:t>
      </w:r>
    </w:p>
    <w:p>
      <w:pPr>
        <w:keepNext w:val="0"/>
        <w:keepLines w:val="0"/>
        <w:pageBreakBefore w:val="0"/>
        <w:widowControl w:val="0"/>
        <w:kinsoku/>
        <w:wordWrap/>
        <w:overflowPunct/>
        <w:topLinePunct w:val="0"/>
        <w:autoSpaceDE/>
        <w:autoSpaceDN/>
        <w:bidi w:val="0"/>
        <w:adjustRightInd w:val="0"/>
        <w:snapToGrid w:val="0"/>
        <w:spacing w:line="520" w:lineRule="exact"/>
        <w:ind w:firstLine="641"/>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年拟安排政府性基金预算</w:t>
      </w:r>
      <w:r>
        <w:rPr>
          <w:rFonts w:hint="eastAsia" w:ascii="仿宋" w:hAnsi="仿宋" w:eastAsia="仿宋" w:cs="仿宋"/>
          <w:color w:val="auto"/>
          <w:sz w:val="32"/>
          <w:szCs w:val="32"/>
          <w:highlight w:val="none"/>
          <w:u w:val="none"/>
          <w:lang w:val="en-US" w:eastAsia="zh-CN"/>
        </w:rPr>
        <w:t>31,500</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收支</w:t>
      </w:r>
      <w:r>
        <w:rPr>
          <w:rFonts w:hint="eastAsia" w:ascii="仿宋" w:hAnsi="仿宋" w:eastAsia="仿宋" w:cs="仿宋"/>
          <w:color w:val="auto"/>
          <w:sz w:val="32"/>
          <w:szCs w:val="32"/>
          <w:highlight w:val="none"/>
          <w:u w:val="none"/>
        </w:rPr>
        <w:t>具体</w:t>
      </w:r>
      <w:r>
        <w:rPr>
          <w:rFonts w:hint="eastAsia" w:ascii="仿宋" w:hAnsi="仿宋" w:eastAsia="仿宋" w:cs="仿宋"/>
          <w:color w:val="auto"/>
          <w:sz w:val="32"/>
          <w:szCs w:val="32"/>
          <w:highlight w:val="none"/>
          <w:u w:val="none"/>
          <w:lang w:eastAsia="zh-CN"/>
        </w:rPr>
        <w:t>情况</w:t>
      </w:r>
      <w:r>
        <w:rPr>
          <w:rFonts w:hint="eastAsia" w:ascii="仿宋" w:hAnsi="仿宋" w:eastAsia="仿宋" w:cs="仿宋"/>
          <w:color w:val="auto"/>
          <w:sz w:val="32"/>
          <w:szCs w:val="32"/>
          <w:highlight w:val="none"/>
          <w:u w:val="none"/>
        </w:rPr>
        <w:t>：国有土地使用权出让收入（支出）</w:t>
      </w:r>
      <w:r>
        <w:rPr>
          <w:rFonts w:hint="eastAsia" w:ascii="仿宋" w:hAnsi="仿宋" w:eastAsia="仿宋" w:cs="仿宋"/>
          <w:color w:val="auto"/>
          <w:sz w:val="32"/>
          <w:szCs w:val="32"/>
          <w:highlight w:val="none"/>
          <w:u w:val="none"/>
          <w:lang w:val="en-US" w:eastAsia="zh-CN"/>
        </w:rPr>
        <w:t>30,000</w:t>
      </w:r>
      <w:r>
        <w:rPr>
          <w:rFonts w:hint="eastAsia" w:ascii="仿宋" w:hAnsi="仿宋" w:eastAsia="仿宋" w:cs="仿宋"/>
          <w:color w:val="auto"/>
          <w:sz w:val="32"/>
          <w:szCs w:val="32"/>
          <w:highlight w:val="none"/>
          <w:u w:val="none"/>
        </w:rPr>
        <w:t>万元，其中用于</w:t>
      </w:r>
      <w:r>
        <w:rPr>
          <w:rFonts w:hint="eastAsia" w:ascii="仿宋" w:hAnsi="仿宋" w:eastAsia="仿宋" w:cs="仿宋"/>
          <w:color w:val="auto"/>
          <w:sz w:val="32"/>
          <w:szCs w:val="32"/>
          <w:highlight w:val="none"/>
          <w:u w:val="none"/>
          <w:lang w:eastAsia="zh-CN"/>
        </w:rPr>
        <w:t>地方政府专项债券利息</w:t>
      </w:r>
      <w:r>
        <w:rPr>
          <w:rFonts w:hint="eastAsia" w:ascii="仿宋" w:hAnsi="仿宋" w:eastAsia="仿宋" w:cs="仿宋"/>
          <w:color w:val="auto"/>
          <w:sz w:val="32"/>
          <w:szCs w:val="32"/>
          <w:highlight w:val="none"/>
          <w:u w:val="none"/>
        </w:rPr>
        <w:t>支出</w:t>
      </w:r>
      <w:r>
        <w:rPr>
          <w:rFonts w:hint="eastAsia" w:ascii="仿宋" w:hAnsi="仿宋" w:eastAsia="仿宋" w:cs="仿宋"/>
          <w:color w:val="auto"/>
          <w:sz w:val="32"/>
          <w:szCs w:val="32"/>
          <w:highlight w:val="none"/>
          <w:u w:val="none"/>
          <w:lang w:val="en-US" w:eastAsia="zh-CN"/>
        </w:rPr>
        <w:t>16,366</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隐性债务财政付息支出</w:t>
      </w:r>
      <w:r>
        <w:rPr>
          <w:rFonts w:hint="eastAsia" w:ascii="仿宋" w:hAnsi="仿宋" w:eastAsia="仿宋" w:cs="仿宋"/>
          <w:color w:val="auto"/>
          <w:sz w:val="32"/>
          <w:szCs w:val="32"/>
          <w:highlight w:val="none"/>
          <w:u w:val="none"/>
          <w:lang w:val="en-US" w:eastAsia="zh-CN"/>
        </w:rPr>
        <w:t>5162万元；</w:t>
      </w:r>
      <w:r>
        <w:rPr>
          <w:rFonts w:hint="eastAsia" w:ascii="仿宋" w:hAnsi="仿宋" w:eastAsia="仿宋" w:cs="仿宋"/>
          <w:color w:val="auto"/>
          <w:sz w:val="32"/>
          <w:szCs w:val="32"/>
          <w:highlight w:val="none"/>
          <w:u w:val="none"/>
          <w:lang w:eastAsia="zh-CN"/>
        </w:rPr>
        <w:t>其他支出资金</w:t>
      </w:r>
      <w:r>
        <w:rPr>
          <w:rFonts w:hint="eastAsia" w:ascii="仿宋" w:hAnsi="仿宋" w:eastAsia="仿宋" w:cs="仿宋"/>
          <w:color w:val="auto"/>
          <w:sz w:val="32"/>
          <w:szCs w:val="32"/>
          <w:highlight w:val="none"/>
          <w:u w:val="none"/>
          <w:lang w:val="en-US" w:eastAsia="zh-CN"/>
        </w:rPr>
        <w:t>8472</w:t>
      </w:r>
      <w:r>
        <w:rPr>
          <w:rFonts w:hint="eastAsia" w:ascii="仿宋" w:hAnsi="仿宋" w:eastAsia="仿宋" w:cs="仿宋"/>
          <w:color w:val="auto"/>
          <w:sz w:val="32"/>
          <w:szCs w:val="32"/>
          <w:highlight w:val="none"/>
          <w:u w:val="none"/>
        </w:rPr>
        <w:t>万元；城市基础设施配套费收入（支出）1000万元；污水处理费收入（支出）500万元。</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（三）国有资本经营预算</w:t>
      </w:r>
    </w:p>
    <w:p>
      <w:pPr>
        <w:keepNext w:val="0"/>
        <w:keepLines w:val="0"/>
        <w:pageBreakBefore w:val="0"/>
        <w:widowControl w:val="0"/>
        <w:tabs>
          <w:tab w:val="left" w:pos="1745"/>
        </w:tabs>
        <w:kinsoku/>
        <w:wordWrap/>
        <w:overflowPunct/>
        <w:topLinePunct w:val="0"/>
        <w:autoSpaceDE/>
        <w:autoSpaceDN/>
        <w:bidi w:val="0"/>
        <w:adjustRightInd w:val="0"/>
        <w:snapToGrid w:val="0"/>
        <w:spacing w:line="560" w:lineRule="exact"/>
        <w:ind w:firstLine="641"/>
        <w:textAlignment w:val="auto"/>
        <w:rPr>
          <w:rFonts w:hint="eastAsia" w:ascii="仿宋" w:hAnsi="仿宋" w:eastAsia="仿宋" w:cs="仿宋"/>
          <w:sz w:val="32"/>
          <w:szCs w:val="32"/>
          <w:highlight w:val="none"/>
          <w:u w:val="none"/>
        </w:rPr>
      </w:pP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年拟安排国有资本经营预算</w:t>
      </w:r>
      <w:r>
        <w:rPr>
          <w:rFonts w:hint="eastAsia" w:ascii="仿宋" w:hAnsi="仿宋" w:eastAsia="仿宋" w:cs="仿宋"/>
          <w:color w:val="auto"/>
          <w:sz w:val="32"/>
          <w:szCs w:val="32"/>
          <w:highlight w:val="none"/>
          <w:u w:val="none"/>
          <w:lang w:val="en-US" w:eastAsia="zh-CN"/>
        </w:rPr>
        <w:t>55,318</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。收支</w:t>
      </w:r>
      <w:r>
        <w:rPr>
          <w:rFonts w:hint="eastAsia" w:ascii="仿宋" w:hAnsi="仿宋" w:eastAsia="仿宋" w:cs="仿宋"/>
          <w:color w:val="auto"/>
          <w:sz w:val="32"/>
          <w:szCs w:val="32"/>
          <w:highlight w:val="none"/>
          <w:u w:val="none"/>
        </w:rPr>
        <w:t>具体</w:t>
      </w:r>
      <w:r>
        <w:rPr>
          <w:rFonts w:hint="eastAsia" w:ascii="仿宋" w:hAnsi="仿宋" w:eastAsia="仿宋" w:cs="仿宋"/>
          <w:color w:val="auto"/>
          <w:sz w:val="32"/>
          <w:szCs w:val="32"/>
          <w:highlight w:val="none"/>
          <w:u w:val="none"/>
          <w:lang w:eastAsia="zh-CN"/>
        </w:rPr>
        <w:t>情况</w:t>
      </w:r>
      <w:r>
        <w:rPr>
          <w:rFonts w:hint="eastAsia" w:ascii="仿宋" w:hAnsi="仿宋" w:eastAsia="仿宋" w:cs="仿宋"/>
          <w:color w:val="auto"/>
          <w:sz w:val="32"/>
          <w:szCs w:val="32"/>
          <w:highlight w:val="none"/>
          <w:u w:val="none"/>
        </w:rPr>
        <w:t>：龙下灌区利润收入1</w:t>
      </w:r>
      <w:r>
        <w:rPr>
          <w:rFonts w:hint="eastAsia" w:ascii="仿宋" w:hAnsi="仿宋" w:eastAsia="仿宋" w:cs="仿宋"/>
          <w:color w:val="auto"/>
          <w:sz w:val="32"/>
          <w:szCs w:val="32"/>
          <w:highlight w:val="none"/>
          <w:u w:val="none"/>
          <w:lang w:val="en-US" w:eastAsia="zh-CN"/>
        </w:rPr>
        <w:t>25</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砂石销售收入</w:t>
      </w:r>
      <w:r>
        <w:rPr>
          <w:rFonts w:hint="eastAsia" w:ascii="仿宋" w:hAnsi="仿宋" w:eastAsia="仿宋" w:cs="仿宋"/>
          <w:color w:val="auto"/>
          <w:sz w:val="32"/>
          <w:szCs w:val="32"/>
          <w:highlight w:val="none"/>
          <w:u w:val="none"/>
          <w:lang w:val="en-US" w:eastAsia="zh-CN"/>
        </w:rPr>
        <w:t>10,0</w:t>
      </w:r>
      <w:r>
        <w:rPr>
          <w:rFonts w:hint="eastAsia" w:ascii="仿宋" w:hAnsi="仿宋" w:eastAsia="仿宋" w:cs="仿宋"/>
          <w:color w:val="auto"/>
          <w:sz w:val="32"/>
          <w:szCs w:val="32"/>
          <w:highlight w:val="none"/>
          <w:u w:val="none"/>
          <w:lang w:eastAsia="zh-CN"/>
        </w:rPr>
        <w:t>00万元，行政事业单位租金收入400万元，右岸电站扶贫收益金193.6万元，户外充电桩（</w:t>
      </w:r>
      <w:r>
        <w:rPr>
          <w:rFonts w:hint="eastAsia" w:ascii="仿宋" w:hAnsi="仿宋" w:eastAsia="仿宋" w:cs="仿宋"/>
          <w:color w:val="auto"/>
          <w:sz w:val="32"/>
          <w:szCs w:val="32"/>
          <w:highlight w:val="none"/>
          <w:u w:val="none"/>
          <w:lang w:val="en-US" w:eastAsia="zh-CN"/>
        </w:rPr>
        <w:t>1亿元）</w:t>
      </w:r>
      <w:r>
        <w:rPr>
          <w:rFonts w:hint="eastAsia" w:ascii="仿宋" w:hAnsi="仿宋" w:eastAsia="仿宋" w:cs="仿宋"/>
          <w:color w:val="auto"/>
          <w:sz w:val="32"/>
          <w:szCs w:val="32"/>
          <w:highlight w:val="none"/>
          <w:u w:val="none"/>
          <w:lang w:eastAsia="zh-CN"/>
        </w:rPr>
        <w:t>、国有林地林权流转（</w:t>
      </w:r>
      <w:r>
        <w:rPr>
          <w:rFonts w:hint="eastAsia" w:ascii="仿宋" w:hAnsi="仿宋" w:eastAsia="仿宋" w:cs="仿宋"/>
          <w:color w:val="auto"/>
          <w:sz w:val="32"/>
          <w:szCs w:val="32"/>
          <w:highlight w:val="none"/>
          <w:u w:val="none"/>
          <w:lang w:val="en-US" w:eastAsia="zh-CN"/>
        </w:rPr>
        <w:t>2亿元）</w:t>
      </w:r>
      <w:r>
        <w:rPr>
          <w:rFonts w:hint="eastAsia" w:ascii="仿宋" w:hAnsi="仿宋" w:eastAsia="仿宋" w:cs="仿宋"/>
          <w:color w:val="auto"/>
          <w:sz w:val="32"/>
          <w:szCs w:val="32"/>
          <w:highlight w:val="none"/>
          <w:u w:val="none"/>
          <w:lang w:eastAsia="zh-CN"/>
        </w:rPr>
        <w:t>及其他使用权出让收入（</w:t>
      </w:r>
      <w:r>
        <w:rPr>
          <w:rFonts w:hint="eastAsia" w:ascii="仿宋" w:hAnsi="仿宋" w:eastAsia="仿宋" w:cs="仿宋"/>
          <w:color w:val="auto"/>
          <w:sz w:val="32"/>
          <w:szCs w:val="32"/>
          <w:highlight w:val="none"/>
          <w:u w:val="none"/>
          <w:lang w:val="en-US" w:eastAsia="zh-CN"/>
        </w:rPr>
        <w:t>1.46亿元）</w:t>
      </w:r>
      <w:r>
        <w:rPr>
          <w:rFonts w:hint="eastAsia" w:ascii="仿宋" w:hAnsi="仿宋" w:eastAsia="仿宋" w:cs="仿宋"/>
          <w:color w:val="auto"/>
          <w:sz w:val="32"/>
          <w:szCs w:val="32"/>
          <w:highlight w:val="none"/>
          <w:u w:val="none"/>
          <w:lang w:eastAsia="zh-CN"/>
        </w:rPr>
        <w:t>合计</w:t>
      </w:r>
      <w:r>
        <w:rPr>
          <w:rFonts w:hint="eastAsia" w:ascii="仿宋" w:hAnsi="仿宋" w:eastAsia="仿宋" w:cs="仿宋"/>
          <w:color w:val="auto"/>
          <w:sz w:val="32"/>
          <w:szCs w:val="32"/>
          <w:highlight w:val="none"/>
          <w:u w:val="none"/>
          <w:lang w:val="en-US" w:eastAsia="zh-CN"/>
        </w:rPr>
        <w:t>44,6</w:t>
      </w:r>
      <w:r>
        <w:rPr>
          <w:rFonts w:hint="eastAsia" w:ascii="仿宋" w:hAnsi="仿宋" w:eastAsia="仿宋" w:cs="仿宋"/>
          <w:color w:val="auto"/>
          <w:sz w:val="32"/>
          <w:szCs w:val="32"/>
          <w:highlight w:val="none"/>
          <w:u w:val="none"/>
          <w:lang w:eastAsia="zh-CN"/>
        </w:rPr>
        <w:t>00万元</w:t>
      </w:r>
      <w:r>
        <w:rPr>
          <w:rFonts w:hint="eastAsia" w:ascii="仿宋" w:hAnsi="仿宋" w:eastAsia="仿宋" w:cs="仿宋"/>
          <w:color w:val="auto"/>
          <w:sz w:val="32"/>
          <w:szCs w:val="32"/>
          <w:highlight w:val="none"/>
          <w:u w:val="none"/>
        </w:rPr>
        <w:t>；调</w:t>
      </w:r>
      <w:r>
        <w:rPr>
          <w:rFonts w:hint="eastAsia" w:ascii="仿宋" w:hAnsi="仿宋" w:eastAsia="仿宋" w:cs="仿宋"/>
          <w:color w:val="auto"/>
          <w:sz w:val="32"/>
          <w:szCs w:val="32"/>
          <w:highlight w:val="none"/>
          <w:u w:val="none"/>
          <w:lang w:eastAsia="zh-CN"/>
        </w:rPr>
        <w:t>出至</w:t>
      </w:r>
      <w:r>
        <w:rPr>
          <w:rFonts w:hint="eastAsia" w:ascii="仿宋" w:hAnsi="仿宋" w:eastAsia="仿宋" w:cs="仿宋"/>
          <w:color w:val="auto"/>
          <w:sz w:val="32"/>
          <w:szCs w:val="32"/>
          <w:highlight w:val="none"/>
          <w:u w:val="none"/>
        </w:rPr>
        <w:t>一般公共预算</w:t>
      </w:r>
      <w:r>
        <w:rPr>
          <w:rFonts w:hint="eastAsia" w:ascii="仿宋" w:hAnsi="仿宋" w:eastAsia="仿宋" w:cs="仿宋"/>
          <w:color w:val="auto"/>
          <w:sz w:val="32"/>
          <w:szCs w:val="32"/>
          <w:highlight w:val="none"/>
          <w:u w:val="none"/>
          <w:lang w:eastAsia="zh-CN"/>
        </w:rPr>
        <w:t>支出</w:t>
      </w:r>
      <w:r>
        <w:rPr>
          <w:rFonts w:hint="eastAsia"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lang w:val="en-US" w:eastAsia="zh-CN"/>
        </w:rPr>
        <w:t>0,000</w:t>
      </w:r>
      <w:r>
        <w:rPr>
          <w:rFonts w:hint="eastAsia" w:ascii="仿宋" w:hAnsi="仿宋" w:eastAsia="仿宋" w:cs="仿宋"/>
          <w:color w:val="auto"/>
          <w:sz w:val="32"/>
          <w:szCs w:val="32"/>
          <w:highlight w:val="none"/>
          <w:u w:val="none"/>
        </w:rPr>
        <w:t>万元，其他国有资本经营预算支出</w:t>
      </w:r>
      <w:r>
        <w:rPr>
          <w:rFonts w:hint="eastAsia" w:ascii="仿宋" w:hAnsi="仿宋" w:eastAsia="仿宋" w:cs="仿宋"/>
          <w:color w:val="auto"/>
          <w:sz w:val="32"/>
          <w:szCs w:val="32"/>
          <w:highlight w:val="none"/>
          <w:u w:val="none"/>
          <w:lang w:val="en-US" w:eastAsia="zh-CN"/>
        </w:rPr>
        <w:t>25</w:t>
      </w:r>
      <w:r>
        <w:rPr>
          <w:rFonts w:hint="eastAsia" w:ascii="仿宋" w:hAnsi="仿宋" w:eastAsia="仿宋" w:cs="仿宋"/>
          <w:color w:val="auto"/>
          <w:sz w:val="32"/>
          <w:szCs w:val="32"/>
          <w:highlight w:val="none"/>
          <w:u w:val="none"/>
        </w:rPr>
        <w:t>万元。</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（四）社会保险基金预算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2025年社会保险基金收入预算76</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253万元，比上年66</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899万元增加9354万元，增长13.98%。社会保险基金支出预算64</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052万元，比上年52894万元增加11</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158万元，增长21.1%。上年滚存结余79</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205万元，收支相抵，滚存结余91</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406万元。</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楷体_GB2312" w:hAnsi="楷体_GB2312" w:eastAsia="楷体_GB2312" w:cs="楷体_GB2312"/>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（五）具体支出安排情况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u w:val="none"/>
          <w:lang w:eastAsia="zh-CN"/>
        </w:rPr>
        <w:t>1.保基本民生支出</w:t>
      </w:r>
      <w:r>
        <w:rPr>
          <w:rFonts w:hint="eastAsia" w:ascii="仿宋" w:hAnsi="仿宋" w:eastAsia="仿宋" w:cs="仿宋"/>
          <w:b/>
          <w:bCs/>
          <w:color w:val="auto"/>
          <w:sz w:val="32"/>
          <w:szCs w:val="32"/>
          <w:u w:val="none"/>
          <w:lang w:val="en-US" w:eastAsia="zh-CN"/>
        </w:rPr>
        <w:t>101,987万</w:t>
      </w:r>
      <w:r>
        <w:rPr>
          <w:rFonts w:hint="eastAsia" w:ascii="仿宋" w:hAnsi="仿宋" w:eastAsia="仿宋" w:cs="仿宋"/>
          <w:b/>
          <w:bCs/>
          <w:color w:val="auto"/>
          <w:sz w:val="32"/>
          <w:szCs w:val="32"/>
          <w:u w:val="none"/>
          <w:lang w:eastAsia="zh-CN"/>
        </w:rPr>
        <w:t>元，比2024年减少</w:t>
      </w:r>
      <w:r>
        <w:rPr>
          <w:rFonts w:hint="eastAsia" w:ascii="仿宋" w:hAnsi="仿宋" w:eastAsia="仿宋" w:cs="仿宋"/>
          <w:b/>
          <w:bCs/>
          <w:color w:val="auto"/>
          <w:sz w:val="32"/>
          <w:szCs w:val="32"/>
          <w:u w:val="none"/>
          <w:lang w:val="en-US" w:eastAsia="zh-CN"/>
        </w:rPr>
        <w:t>223万元</w:t>
      </w:r>
      <w:r>
        <w:rPr>
          <w:rFonts w:hint="eastAsia" w:ascii="仿宋" w:hAnsi="仿宋" w:eastAsia="仿宋" w:cs="仿宋"/>
          <w:b/>
          <w:bCs/>
          <w:color w:val="auto"/>
          <w:sz w:val="32"/>
          <w:szCs w:val="32"/>
          <w:u w:val="none"/>
          <w:lang w:eastAsia="zh-CN"/>
        </w:rPr>
        <w:t>。</w:t>
      </w:r>
      <w:r>
        <w:rPr>
          <w:rFonts w:hint="eastAsia" w:ascii="仿宋" w:hAnsi="仿宋" w:eastAsia="仿宋" w:cs="仿宋"/>
          <w:color w:val="auto"/>
          <w:sz w:val="32"/>
          <w:szCs w:val="32"/>
          <w:highlight w:val="none"/>
          <w:u w:val="none"/>
          <w:lang w:eastAsia="zh-CN"/>
        </w:rPr>
        <w:t>主要项目是：</w:t>
      </w:r>
      <w:r>
        <w:rPr>
          <w:rFonts w:hint="eastAsia" w:ascii="仿宋" w:hAnsi="仿宋" w:eastAsia="仿宋" w:cs="仿宋"/>
          <w:color w:val="auto"/>
          <w:sz w:val="32"/>
          <w:szCs w:val="32"/>
          <w:highlight w:val="none"/>
          <w:u w:val="none"/>
          <w:lang w:val="en-US" w:eastAsia="zh-CN"/>
        </w:rPr>
        <w:t>城乡居民养老保险基金2772万元，机关事业单位退休人员退休费13,026万元，城乡医疗救助-县级配套1120万元，城乡居民基本医疗保险补助-县级补助1176万元，环卫所清扫专项2224万元，城乡客运一体化运营补贴2229.7万元，城市公共汽电车经营补贴222万元，农村公路养护315万元，三治三保专项整治经费100万元，国省干线日常养护600万元，首创污水处理费1850万元，乡镇污水处理厂及管网配套设施PPP项目运营费960万元，切块经费2000万元，地质灾害应急处置及治理等经费200万元，矿山环境及地质灾害治理资金200万元，</w:t>
      </w:r>
      <w:r>
        <w:rPr>
          <w:rFonts w:hint="eastAsia" w:ascii="仿宋" w:hAnsi="仿宋" w:eastAsia="仿宋" w:cs="仿宋"/>
          <w:color w:val="auto"/>
          <w:sz w:val="32"/>
          <w:szCs w:val="32"/>
          <w:highlight w:val="none"/>
          <w:u w:val="none"/>
          <w:lang w:eastAsia="zh-CN"/>
        </w:rPr>
        <w:t>烟叶生产扶持资金</w:t>
      </w:r>
      <w:r>
        <w:rPr>
          <w:rFonts w:hint="eastAsia" w:ascii="仿宋" w:hAnsi="仿宋" w:eastAsia="仿宋" w:cs="仿宋"/>
          <w:color w:val="auto"/>
          <w:sz w:val="32"/>
          <w:szCs w:val="32"/>
          <w:highlight w:val="none"/>
          <w:u w:val="none"/>
          <w:lang w:val="en-US" w:eastAsia="zh-CN"/>
        </w:rPr>
        <w:t>1565万元，原国营茶陵红色农场企业养老保险62.95万元，原茶陵县畜禽良种场养老待遇补差16.83万元，云阳街道办事处治安巡防大队工作经费122.45万元，城区保洁工作保障经费150万元等。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u w:val="none"/>
          <w:lang w:eastAsia="zh-CN"/>
        </w:rPr>
        <w:t>2.保工资支出安排</w:t>
      </w:r>
      <w:r>
        <w:rPr>
          <w:rFonts w:hint="eastAsia" w:ascii="仿宋" w:hAnsi="仿宋" w:eastAsia="仿宋" w:cs="仿宋"/>
          <w:b/>
          <w:bCs/>
          <w:color w:val="auto"/>
          <w:sz w:val="32"/>
          <w:szCs w:val="32"/>
          <w:u w:val="none"/>
          <w:lang w:val="en-US" w:eastAsia="zh-CN"/>
        </w:rPr>
        <w:t>122,280万</w:t>
      </w:r>
      <w:r>
        <w:rPr>
          <w:rFonts w:hint="eastAsia" w:ascii="仿宋" w:hAnsi="仿宋" w:eastAsia="仿宋" w:cs="仿宋"/>
          <w:b/>
          <w:bCs/>
          <w:color w:val="auto"/>
          <w:sz w:val="32"/>
          <w:szCs w:val="32"/>
          <w:u w:val="none"/>
          <w:lang w:eastAsia="zh-CN"/>
        </w:rPr>
        <w:t>元，</w:t>
      </w:r>
      <w:r>
        <w:rPr>
          <w:rFonts w:hint="eastAsia" w:ascii="仿宋" w:hAnsi="仿宋" w:eastAsia="仿宋" w:cs="仿宋"/>
          <w:b/>
          <w:bCs/>
          <w:color w:val="auto"/>
          <w:sz w:val="32"/>
          <w:szCs w:val="32"/>
          <w:highlight w:val="none"/>
          <w:u w:val="none"/>
          <w:lang w:eastAsia="zh-CN"/>
        </w:rPr>
        <w:t>比2024年增加</w:t>
      </w:r>
      <w:r>
        <w:rPr>
          <w:rFonts w:hint="eastAsia" w:ascii="仿宋" w:hAnsi="仿宋" w:eastAsia="仿宋" w:cs="仿宋"/>
          <w:b/>
          <w:bCs/>
          <w:color w:val="auto"/>
          <w:sz w:val="32"/>
          <w:szCs w:val="32"/>
          <w:highlight w:val="none"/>
          <w:u w:val="none"/>
          <w:lang w:val="en-US" w:eastAsia="zh-CN"/>
        </w:rPr>
        <w:t>8527万</w:t>
      </w:r>
      <w:r>
        <w:rPr>
          <w:rFonts w:hint="eastAsia" w:ascii="仿宋" w:hAnsi="仿宋" w:eastAsia="仿宋" w:cs="仿宋"/>
          <w:b/>
          <w:bCs/>
          <w:color w:val="auto"/>
          <w:sz w:val="32"/>
          <w:szCs w:val="32"/>
          <w:highlight w:val="none"/>
          <w:u w:val="none"/>
          <w:lang w:eastAsia="zh-CN"/>
        </w:rPr>
        <w:t>元。</w:t>
      </w:r>
      <w:r>
        <w:rPr>
          <w:rFonts w:hint="eastAsia" w:ascii="仿宋" w:hAnsi="仿宋" w:eastAsia="仿宋" w:cs="仿宋"/>
          <w:color w:val="auto"/>
          <w:sz w:val="32"/>
          <w:szCs w:val="32"/>
          <w:highlight w:val="none"/>
          <w:u w:val="none"/>
          <w:lang w:eastAsia="zh-CN"/>
        </w:rPr>
        <w:t>主要项目是：用于保障195个预算单位（其中</w:t>
      </w:r>
      <w:r>
        <w:rPr>
          <w:rFonts w:hint="eastAsia" w:ascii="仿宋" w:hAnsi="仿宋" w:eastAsia="仿宋" w:cs="仿宋"/>
          <w:color w:val="auto"/>
          <w:sz w:val="32"/>
          <w:szCs w:val="32"/>
          <w:highlight w:val="none"/>
          <w:u w:val="none"/>
          <w:lang w:val="en-US" w:eastAsia="zh-CN"/>
        </w:rPr>
        <w:t>一级预算单位86个</w:t>
      </w:r>
      <w:r>
        <w:rPr>
          <w:rFonts w:hint="eastAsia" w:ascii="仿宋" w:hAnsi="仿宋" w:eastAsia="仿宋" w:cs="仿宋"/>
          <w:color w:val="auto"/>
          <w:sz w:val="32"/>
          <w:szCs w:val="32"/>
          <w:highlight w:val="none"/>
          <w:u w:val="none"/>
          <w:lang w:eastAsia="zh-CN"/>
        </w:rPr>
        <w:t>）13699名在职人员的工资薪酬福利支出</w:t>
      </w:r>
      <w:r>
        <w:rPr>
          <w:rFonts w:hint="eastAsia" w:ascii="仿宋" w:hAnsi="仿宋" w:eastAsia="仿宋" w:cs="仿宋"/>
          <w:color w:val="auto"/>
          <w:sz w:val="32"/>
          <w:szCs w:val="32"/>
          <w:highlight w:val="none"/>
          <w:u w:val="none"/>
          <w:lang w:val="en-US" w:eastAsia="zh-CN"/>
        </w:rPr>
        <w:t>104,080万</w:t>
      </w:r>
      <w:r>
        <w:rPr>
          <w:rFonts w:hint="eastAsia" w:ascii="仿宋" w:hAnsi="仿宋" w:eastAsia="仿宋" w:cs="仿宋"/>
          <w:color w:val="auto"/>
          <w:sz w:val="32"/>
          <w:szCs w:val="32"/>
          <w:highlight w:val="none"/>
          <w:u w:val="none"/>
          <w:lang w:eastAsia="zh-CN"/>
        </w:rPr>
        <w:t>元、乡（镇）、村转移支付补助</w:t>
      </w:r>
      <w:r>
        <w:rPr>
          <w:rFonts w:hint="eastAsia" w:ascii="仿宋" w:hAnsi="仿宋" w:eastAsia="仿宋" w:cs="仿宋"/>
          <w:color w:val="auto"/>
          <w:sz w:val="32"/>
          <w:szCs w:val="32"/>
          <w:highlight w:val="none"/>
          <w:u w:val="none"/>
          <w:lang w:val="en-US" w:eastAsia="zh-CN"/>
        </w:rPr>
        <w:t>7700万元，</w:t>
      </w:r>
      <w:r>
        <w:rPr>
          <w:rFonts w:hint="eastAsia" w:ascii="仿宋" w:hAnsi="仿宋" w:eastAsia="仿宋" w:cs="仿宋"/>
          <w:color w:val="auto"/>
          <w:sz w:val="32"/>
          <w:szCs w:val="32"/>
          <w:highlight w:val="none"/>
          <w:u w:val="none"/>
          <w:lang w:eastAsia="zh-CN"/>
        </w:rPr>
        <w:t>公务员工资滚动晋级安排人员经费</w:t>
      </w:r>
      <w:r>
        <w:rPr>
          <w:rFonts w:hint="eastAsia" w:ascii="仿宋" w:hAnsi="仿宋" w:eastAsia="仿宋" w:cs="仿宋"/>
          <w:color w:val="auto"/>
          <w:sz w:val="32"/>
          <w:szCs w:val="32"/>
          <w:highlight w:val="none"/>
          <w:u w:val="none"/>
          <w:lang w:val="en-US" w:eastAsia="zh-CN"/>
        </w:rPr>
        <w:t>5000</w:t>
      </w:r>
      <w:r>
        <w:rPr>
          <w:rFonts w:hint="eastAsia" w:ascii="仿宋" w:hAnsi="仿宋" w:eastAsia="仿宋" w:cs="仿宋"/>
          <w:color w:val="auto"/>
          <w:sz w:val="32"/>
          <w:szCs w:val="32"/>
          <w:highlight w:val="none"/>
          <w:u w:val="none"/>
          <w:lang w:eastAsia="zh-CN"/>
        </w:rPr>
        <w:t>万元，安排绩效奖</w:t>
      </w:r>
      <w:r>
        <w:rPr>
          <w:rFonts w:hint="eastAsia" w:ascii="仿宋" w:hAnsi="仿宋" w:eastAsia="仿宋" w:cs="仿宋"/>
          <w:color w:val="auto"/>
          <w:sz w:val="32"/>
          <w:szCs w:val="32"/>
          <w:highlight w:val="none"/>
          <w:u w:val="none"/>
          <w:lang w:val="en-US" w:eastAsia="zh-CN"/>
        </w:rPr>
        <w:t>4500万元等。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u w:val="none"/>
          <w:lang w:eastAsia="zh-CN"/>
        </w:rPr>
        <w:t>3.保部门运转和城市运转支出安排</w:t>
      </w:r>
      <w:r>
        <w:rPr>
          <w:rFonts w:hint="eastAsia" w:ascii="仿宋" w:hAnsi="仿宋" w:eastAsia="仿宋" w:cs="仿宋"/>
          <w:b/>
          <w:bCs/>
          <w:color w:val="auto"/>
          <w:sz w:val="32"/>
          <w:szCs w:val="32"/>
          <w:u w:val="none"/>
          <w:lang w:val="en-US" w:eastAsia="zh-CN"/>
        </w:rPr>
        <w:t>30,819万</w:t>
      </w:r>
      <w:r>
        <w:rPr>
          <w:rFonts w:hint="eastAsia" w:ascii="仿宋" w:hAnsi="仿宋" w:eastAsia="仿宋" w:cs="仿宋"/>
          <w:b/>
          <w:bCs/>
          <w:color w:val="auto"/>
          <w:sz w:val="32"/>
          <w:szCs w:val="32"/>
          <w:u w:val="none"/>
          <w:lang w:eastAsia="zh-CN"/>
        </w:rPr>
        <w:t>元，比2024年减少</w:t>
      </w:r>
      <w:r>
        <w:rPr>
          <w:rFonts w:hint="eastAsia" w:ascii="仿宋" w:hAnsi="仿宋" w:eastAsia="仿宋" w:cs="仿宋"/>
          <w:b/>
          <w:bCs/>
          <w:color w:val="auto"/>
          <w:sz w:val="32"/>
          <w:szCs w:val="32"/>
          <w:highlight w:val="none"/>
          <w:u w:val="none"/>
          <w:lang w:val="en-US" w:eastAsia="zh-CN"/>
        </w:rPr>
        <w:t>3305万元</w:t>
      </w:r>
      <w:r>
        <w:rPr>
          <w:rFonts w:hint="eastAsia" w:ascii="仿宋" w:hAnsi="仿宋" w:eastAsia="仿宋" w:cs="仿宋"/>
          <w:b/>
          <w:bCs/>
          <w:color w:val="auto"/>
          <w:sz w:val="32"/>
          <w:szCs w:val="32"/>
          <w:highlight w:val="none"/>
          <w:u w:val="none"/>
          <w:lang w:eastAsia="zh-CN"/>
        </w:rPr>
        <w:t>。一是保部门运转</w:t>
      </w:r>
      <w:r>
        <w:rPr>
          <w:rFonts w:hint="eastAsia" w:ascii="仿宋" w:hAnsi="仿宋" w:eastAsia="仿宋" w:cs="仿宋"/>
          <w:color w:val="auto"/>
          <w:sz w:val="32"/>
          <w:szCs w:val="32"/>
          <w:highlight w:val="none"/>
          <w:u w:val="none"/>
          <w:lang w:eastAsia="zh-CN"/>
        </w:rPr>
        <w:t>经精细测算全县单位公用经费</w:t>
      </w:r>
      <w:r>
        <w:rPr>
          <w:rFonts w:hint="eastAsia" w:ascii="仿宋" w:hAnsi="仿宋" w:eastAsia="仿宋" w:cs="仿宋"/>
          <w:color w:val="auto"/>
          <w:sz w:val="32"/>
          <w:szCs w:val="32"/>
          <w:highlight w:val="none"/>
          <w:u w:val="none"/>
          <w:lang w:val="en-US" w:eastAsia="zh-CN"/>
        </w:rPr>
        <w:t>10,631万元</w:t>
      </w:r>
      <w:r>
        <w:rPr>
          <w:rFonts w:hint="eastAsia" w:ascii="仿宋" w:hAnsi="仿宋" w:eastAsia="仿宋" w:cs="仿宋"/>
          <w:color w:val="auto"/>
          <w:sz w:val="32"/>
          <w:szCs w:val="32"/>
          <w:highlight w:val="none"/>
          <w:u w:val="none"/>
          <w:lang w:eastAsia="zh-CN"/>
        </w:rPr>
        <w:t>，单位经常性业务工作经费</w:t>
      </w:r>
      <w:r>
        <w:rPr>
          <w:rFonts w:hint="eastAsia" w:ascii="仿宋" w:hAnsi="仿宋" w:eastAsia="仿宋" w:cs="仿宋"/>
          <w:color w:val="auto"/>
          <w:sz w:val="32"/>
          <w:szCs w:val="32"/>
          <w:highlight w:val="none"/>
          <w:u w:val="none"/>
          <w:lang w:val="en-US" w:eastAsia="zh-CN"/>
        </w:rPr>
        <w:t>13,638万元，临时性业务工作经费2908万元；</w:t>
      </w:r>
      <w:r>
        <w:rPr>
          <w:rFonts w:hint="eastAsia" w:ascii="仿宋" w:hAnsi="仿宋" w:eastAsia="仿宋" w:cs="仿宋"/>
          <w:b/>
          <w:bCs/>
          <w:color w:val="auto"/>
          <w:sz w:val="32"/>
          <w:szCs w:val="32"/>
          <w:u w:val="none"/>
          <w:lang w:eastAsia="zh-CN"/>
        </w:rPr>
        <w:t>二是城市运转</w:t>
      </w:r>
      <w:r>
        <w:rPr>
          <w:rFonts w:hint="eastAsia" w:ascii="仿宋" w:hAnsi="仿宋" w:eastAsia="仿宋" w:cs="仿宋"/>
          <w:color w:val="auto"/>
          <w:sz w:val="32"/>
          <w:szCs w:val="32"/>
          <w:u w:val="none"/>
          <w:lang w:eastAsia="zh-CN"/>
        </w:rPr>
        <w:t>的</w:t>
      </w:r>
      <w:r>
        <w:rPr>
          <w:rFonts w:hint="eastAsia" w:ascii="仿宋" w:hAnsi="仿宋" w:eastAsia="仿宋" w:cs="仿宋"/>
          <w:color w:val="auto"/>
          <w:sz w:val="32"/>
          <w:szCs w:val="32"/>
          <w:highlight w:val="none"/>
          <w:u w:val="none"/>
          <w:lang w:val="en-US" w:eastAsia="zh-CN"/>
        </w:rPr>
        <w:t>主要项目是：路灯电费及维护费847万元，市政维护费200万元，城区绿化维护费200万元，城市基础设施建设资金800万元，农村垃圾分类及转运费500万元等</w:t>
      </w:r>
      <w:r>
        <w:rPr>
          <w:rFonts w:hint="eastAsia" w:ascii="仿宋" w:hAnsi="仿宋" w:eastAsia="仿宋" w:cs="仿宋"/>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u w:val="none"/>
          <w:lang w:eastAsia="zh-CN"/>
        </w:rPr>
        <w:t>4.政府债务还本付息和PPP政府付费支出安排</w:t>
      </w:r>
      <w:r>
        <w:rPr>
          <w:rFonts w:hint="eastAsia" w:ascii="仿宋" w:hAnsi="仿宋" w:eastAsia="仿宋" w:cs="仿宋"/>
          <w:b/>
          <w:bCs/>
          <w:color w:val="auto"/>
          <w:sz w:val="32"/>
          <w:szCs w:val="32"/>
          <w:u w:val="none"/>
          <w:lang w:val="en-US" w:eastAsia="zh-CN"/>
        </w:rPr>
        <w:t>19,155</w:t>
      </w:r>
      <w:r>
        <w:rPr>
          <w:rFonts w:hint="eastAsia" w:ascii="仿宋" w:hAnsi="仿宋" w:eastAsia="仿宋" w:cs="仿宋"/>
          <w:b/>
          <w:bCs/>
          <w:color w:val="auto"/>
          <w:sz w:val="32"/>
          <w:szCs w:val="32"/>
          <w:u w:val="none"/>
          <w:lang w:eastAsia="zh-CN"/>
        </w:rPr>
        <w:t>万元，比</w:t>
      </w:r>
      <w:r>
        <w:rPr>
          <w:rFonts w:hint="eastAsia" w:ascii="仿宋" w:hAnsi="仿宋" w:eastAsia="仿宋" w:cs="仿宋"/>
          <w:b/>
          <w:bCs/>
          <w:color w:val="auto"/>
          <w:sz w:val="32"/>
          <w:szCs w:val="32"/>
          <w:u w:val="none"/>
          <w:lang w:val="en-US" w:eastAsia="zh-CN"/>
        </w:rPr>
        <w:t>2024</w:t>
      </w:r>
      <w:r>
        <w:rPr>
          <w:rFonts w:hint="eastAsia" w:ascii="仿宋" w:hAnsi="仿宋" w:eastAsia="仿宋" w:cs="仿宋"/>
          <w:b/>
          <w:bCs/>
          <w:color w:val="auto"/>
          <w:sz w:val="32"/>
          <w:szCs w:val="32"/>
          <w:u w:val="none"/>
          <w:lang w:eastAsia="zh-CN"/>
        </w:rPr>
        <w:t>年减少</w:t>
      </w:r>
      <w:r>
        <w:rPr>
          <w:rFonts w:hint="eastAsia" w:ascii="仿宋" w:hAnsi="仿宋" w:eastAsia="仿宋" w:cs="仿宋"/>
          <w:b/>
          <w:bCs/>
          <w:color w:val="auto"/>
          <w:sz w:val="32"/>
          <w:szCs w:val="32"/>
          <w:u w:val="none"/>
          <w:lang w:val="en-US" w:eastAsia="zh-CN"/>
        </w:rPr>
        <w:t>4800万元</w:t>
      </w:r>
      <w:r>
        <w:rPr>
          <w:rFonts w:hint="eastAsia" w:ascii="仿宋" w:hAnsi="仿宋" w:eastAsia="仿宋" w:cs="仿宋"/>
          <w:b/>
          <w:bCs/>
          <w:color w:val="auto"/>
          <w:sz w:val="32"/>
          <w:szCs w:val="32"/>
          <w:u w:val="none"/>
          <w:lang w:eastAsia="zh-CN"/>
        </w:rPr>
        <w:t>。</w:t>
      </w:r>
      <w:r>
        <w:rPr>
          <w:rFonts w:hint="eastAsia" w:ascii="仿宋" w:hAnsi="仿宋" w:eastAsia="仿宋" w:cs="仿宋"/>
          <w:color w:val="auto"/>
          <w:sz w:val="32"/>
          <w:szCs w:val="32"/>
          <w:highlight w:val="none"/>
          <w:u w:val="none"/>
          <w:lang w:eastAsia="zh-CN"/>
        </w:rPr>
        <w:t>主要项目是：地方政府一般债券还本支出</w:t>
      </w:r>
      <w:r>
        <w:rPr>
          <w:rFonts w:hint="eastAsia" w:ascii="仿宋" w:hAnsi="仿宋" w:eastAsia="仿宋" w:cs="仿宋"/>
          <w:color w:val="auto"/>
          <w:sz w:val="32"/>
          <w:szCs w:val="32"/>
          <w:highlight w:val="none"/>
          <w:u w:val="none"/>
          <w:lang w:val="en-US" w:eastAsia="zh-CN"/>
        </w:rPr>
        <w:t>3461万元；地方政府债券利息8962.64万元；</w:t>
      </w:r>
      <w:r>
        <w:rPr>
          <w:rFonts w:hint="eastAsia" w:ascii="仿宋" w:hAnsi="仿宋" w:eastAsia="仿宋" w:cs="仿宋"/>
          <w:color w:val="auto"/>
          <w:sz w:val="32"/>
          <w:szCs w:val="32"/>
          <w:highlight w:val="none"/>
          <w:u w:val="none"/>
          <w:lang w:eastAsia="zh-CN"/>
        </w:rPr>
        <w:t>世行贷款利息</w:t>
      </w:r>
      <w:r>
        <w:rPr>
          <w:rFonts w:hint="eastAsia" w:ascii="仿宋" w:hAnsi="仿宋" w:eastAsia="仿宋" w:cs="仿宋"/>
          <w:color w:val="auto"/>
          <w:sz w:val="32"/>
          <w:szCs w:val="32"/>
          <w:highlight w:val="none"/>
          <w:u w:val="none"/>
          <w:lang w:val="en-US" w:eastAsia="zh-CN"/>
        </w:rPr>
        <w:t>528万元；隐性债务财政还本5681万元，比去年减少7038万元。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u w:val="none"/>
          <w:lang w:eastAsia="zh-CN"/>
        </w:rPr>
        <w:t>5.大事要事支出</w:t>
      </w:r>
      <w:r>
        <w:rPr>
          <w:rFonts w:hint="eastAsia" w:ascii="仿宋" w:hAnsi="仿宋" w:eastAsia="仿宋" w:cs="仿宋"/>
          <w:b/>
          <w:bCs/>
          <w:color w:val="auto"/>
          <w:sz w:val="32"/>
          <w:szCs w:val="32"/>
          <w:u w:val="none"/>
          <w:lang w:val="en-US" w:eastAsia="zh-CN"/>
        </w:rPr>
        <w:t>2834万</w:t>
      </w:r>
      <w:r>
        <w:rPr>
          <w:rFonts w:hint="eastAsia" w:ascii="仿宋" w:hAnsi="仿宋" w:eastAsia="仿宋" w:cs="仿宋"/>
          <w:b/>
          <w:bCs/>
          <w:color w:val="auto"/>
          <w:sz w:val="32"/>
          <w:szCs w:val="32"/>
          <w:u w:val="none"/>
          <w:lang w:eastAsia="zh-CN"/>
        </w:rPr>
        <w:t>元。</w:t>
      </w:r>
      <w:r>
        <w:rPr>
          <w:rFonts w:hint="eastAsia" w:ascii="仿宋" w:hAnsi="仿宋" w:eastAsia="仿宋" w:cs="仿宋"/>
          <w:color w:val="auto"/>
          <w:sz w:val="32"/>
          <w:szCs w:val="32"/>
          <w:highlight w:val="none"/>
          <w:u w:val="none"/>
          <w:lang w:eastAsia="zh-CN"/>
        </w:rPr>
        <w:t>经单位申报及财政按照13条负面清单逐一审核政策依据和测算标准，初步审核安排大事要事支出共</w:t>
      </w:r>
      <w:r>
        <w:rPr>
          <w:rFonts w:hint="eastAsia" w:ascii="仿宋" w:hAnsi="仿宋" w:eastAsia="仿宋" w:cs="仿宋"/>
          <w:color w:val="auto"/>
          <w:sz w:val="32"/>
          <w:szCs w:val="32"/>
          <w:highlight w:val="none"/>
          <w:u w:val="none"/>
          <w:lang w:val="en-US" w:eastAsia="zh-CN"/>
        </w:rPr>
        <w:t>29</w:t>
      </w:r>
      <w:r>
        <w:rPr>
          <w:rFonts w:hint="eastAsia" w:ascii="仿宋" w:hAnsi="仿宋" w:eastAsia="仿宋" w:cs="仿宋"/>
          <w:color w:val="auto"/>
          <w:sz w:val="32"/>
          <w:szCs w:val="32"/>
          <w:highlight w:val="none"/>
          <w:u w:val="none"/>
          <w:lang w:eastAsia="zh-CN"/>
        </w:rPr>
        <w:t>项，金额合计</w:t>
      </w:r>
      <w:r>
        <w:rPr>
          <w:rFonts w:hint="eastAsia" w:ascii="仿宋" w:hAnsi="仿宋" w:eastAsia="仿宋" w:cs="仿宋"/>
          <w:color w:val="auto"/>
          <w:sz w:val="32"/>
          <w:szCs w:val="32"/>
          <w:highlight w:val="none"/>
          <w:u w:val="none"/>
          <w:lang w:val="en-US" w:eastAsia="zh-CN"/>
        </w:rPr>
        <w:t>2834万元</w:t>
      </w:r>
      <w:r>
        <w:rPr>
          <w:rFonts w:hint="eastAsia" w:ascii="仿宋" w:hAnsi="仿宋" w:eastAsia="仿宋" w:cs="仿宋"/>
          <w:color w:val="auto"/>
          <w:sz w:val="32"/>
          <w:szCs w:val="32"/>
          <w:highlight w:val="none"/>
          <w:u w:val="none"/>
          <w:lang w:eastAsia="zh-CN"/>
        </w:rPr>
        <w:t>。主要项目有：青云街与茶祖路交汇处工程等费用</w:t>
      </w:r>
      <w:r>
        <w:rPr>
          <w:rFonts w:hint="eastAsia" w:ascii="仿宋" w:hAnsi="仿宋" w:eastAsia="仿宋" w:cs="仿宋"/>
          <w:color w:val="auto"/>
          <w:sz w:val="32"/>
          <w:szCs w:val="32"/>
          <w:highlight w:val="none"/>
          <w:u w:val="none"/>
          <w:lang w:val="en-US" w:eastAsia="zh-CN"/>
        </w:rPr>
        <w:t>671</w:t>
      </w:r>
      <w:r>
        <w:rPr>
          <w:rFonts w:hint="eastAsia" w:ascii="仿宋" w:hAnsi="仿宋" w:eastAsia="仿宋" w:cs="仿宋"/>
          <w:color w:val="auto"/>
          <w:sz w:val="32"/>
          <w:szCs w:val="32"/>
          <w:highlight w:val="none"/>
          <w:u w:val="none"/>
          <w:lang w:eastAsia="zh-CN"/>
        </w:rPr>
        <w:t>万元，</w:t>
      </w:r>
      <w:r>
        <w:rPr>
          <w:rFonts w:hint="eastAsia" w:ascii="仿宋" w:hAnsi="仿宋" w:eastAsia="仿宋" w:cs="仿宋"/>
          <w:color w:val="auto"/>
          <w:sz w:val="32"/>
          <w:szCs w:val="32"/>
          <w:highlight w:val="none"/>
          <w:u w:val="none"/>
          <w:lang w:val="en-US" w:eastAsia="zh-CN"/>
        </w:rPr>
        <w:t>数据局</w:t>
      </w:r>
      <w:r>
        <w:rPr>
          <w:rFonts w:hint="eastAsia" w:ascii="仿宋" w:hAnsi="仿宋" w:eastAsia="仿宋" w:cs="仿宋"/>
          <w:color w:val="auto"/>
          <w:sz w:val="32"/>
          <w:szCs w:val="32"/>
          <w:highlight w:val="none"/>
          <w:u w:val="none"/>
          <w:lang w:eastAsia="zh-CN"/>
        </w:rPr>
        <w:t>新政务中心办公楼租金、</w:t>
      </w:r>
      <w:r>
        <w:rPr>
          <w:rFonts w:hint="eastAsia" w:ascii="仿宋" w:hAnsi="仿宋" w:eastAsia="仿宋" w:cs="仿宋"/>
          <w:color w:val="auto"/>
          <w:sz w:val="32"/>
          <w:szCs w:val="32"/>
          <w:highlight w:val="none"/>
          <w:u w:val="none"/>
          <w:lang w:val="en-US" w:eastAsia="zh-CN"/>
        </w:rPr>
        <w:t>水、电费（含空调费）338.5万元，废弃矿洞封闭资金100万元，道路交通顽瘴痼疾整治资金180万元，东阳街与瓯江路交叉口改扩建及红绿灯安装100万元，招商引资专项100万元等。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sz w:val="32"/>
          <w:szCs w:val="32"/>
          <w:highlight w:val="green"/>
          <w:u w:val="none"/>
          <w:lang w:eastAsia="zh-CN"/>
        </w:rPr>
      </w:pPr>
      <w:r>
        <w:rPr>
          <w:rFonts w:hint="eastAsia" w:ascii="仿宋" w:hAnsi="仿宋" w:eastAsia="仿宋" w:cs="仿宋"/>
          <w:b/>
          <w:bCs/>
          <w:color w:val="auto"/>
          <w:sz w:val="32"/>
          <w:szCs w:val="32"/>
          <w:u w:val="none"/>
          <w:lang w:eastAsia="zh-CN"/>
        </w:rPr>
        <w:t>6.上级专项转移支付项目资金支出</w:t>
      </w:r>
      <w:r>
        <w:rPr>
          <w:rFonts w:hint="eastAsia" w:ascii="仿宋" w:hAnsi="仿宋" w:eastAsia="仿宋" w:cs="仿宋"/>
          <w:b/>
          <w:bCs/>
          <w:color w:val="auto"/>
          <w:sz w:val="32"/>
          <w:szCs w:val="32"/>
          <w:u w:val="none"/>
          <w:lang w:val="en-US" w:eastAsia="zh-CN"/>
        </w:rPr>
        <w:t>108,640万</w:t>
      </w:r>
      <w:r>
        <w:rPr>
          <w:rFonts w:hint="eastAsia" w:ascii="仿宋" w:hAnsi="仿宋" w:eastAsia="仿宋" w:cs="仿宋"/>
          <w:b/>
          <w:bCs/>
          <w:color w:val="auto"/>
          <w:sz w:val="32"/>
          <w:szCs w:val="32"/>
          <w:u w:val="none"/>
          <w:lang w:eastAsia="zh-CN"/>
        </w:rPr>
        <w:t>元。</w:t>
      </w:r>
      <w:r>
        <w:rPr>
          <w:rFonts w:hint="eastAsia" w:ascii="仿宋" w:hAnsi="仿宋" w:eastAsia="仿宋" w:cs="仿宋"/>
          <w:color w:val="auto"/>
          <w:sz w:val="32"/>
          <w:szCs w:val="32"/>
          <w:highlight w:val="none"/>
          <w:u w:val="none"/>
          <w:lang w:eastAsia="zh-CN"/>
        </w:rPr>
        <w:t>经单位申报、财政按照13条负面清单逐一审核，初步测算出部门必须开展的事业发展支出共</w:t>
      </w:r>
      <w:r>
        <w:rPr>
          <w:rFonts w:hint="eastAsia" w:ascii="仿宋" w:hAnsi="仿宋" w:eastAsia="仿宋" w:cs="仿宋"/>
          <w:color w:val="auto"/>
          <w:sz w:val="32"/>
          <w:szCs w:val="32"/>
          <w:highlight w:val="none"/>
          <w:u w:val="none"/>
          <w:lang w:val="en-US" w:eastAsia="zh-CN"/>
        </w:rPr>
        <w:t>161</w:t>
      </w:r>
      <w:r>
        <w:rPr>
          <w:rFonts w:hint="eastAsia" w:ascii="仿宋" w:hAnsi="仿宋" w:eastAsia="仿宋" w:cs="仿宋"/>
          <w:color w:val="auto"/>
          <w:sz w:val="32"/>
          <w:szCs w:val="32"/>
          <w:highlight w:val="none"/>
          <w:u w:val="none"/>
          <w:lang w:eastAsia="zh-CN"/>
        </w:rPr>
        <w:t>项，金额合计</w:t>
      </w:r>
      <w:r>
        <w:rPr>
          <w:rFonts w:hint="eastAsia" w:ascii="仿宋" w:hAnsi="仿宋" w:eastAsia="仿宋" w:cs="仿宋"/>
          <w:color w:val="auto"/>
          <w:sz w:val="32"/>
          <w:szCs w:val="32"/>
          <w:highlight w:val="none"/>
          <w:u w:val="none"/>
          <w:lang w:val="en-US" w:eastAsia="zh-CN"/>
        </w:rPr>
        <w:t>108,640万元</w:t>
      </w:r>
      <w:r>
        <w:rPr>
          <w:rFonts w:hint="eastAsia" w:ascii="仿宋" w:hAnsi="仿宋" w:eastAsia="仿宋" w:cs="仿宋"/>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eastAsia="zh-CN"/>
        </w:rPr>
        <w:t>7.根据预算法规定，</w:t>
      </w:r>
      <w:r>
        <w:rPr>
          <w:rFonts w:hint="eastAsia" w:ascii="仿宋" w:hAnsi="仿宋" w:eastAsia="仿宋" w:cs="仿宋"/>
          <w:color w:val="auto"/>
          <w:sz w:val="32"/>
          <w:szCs w:val="32"/>
          <w:u w:val="none"/>
          <w:lang w:eastAsia="zh-CN"/>
        </w:rPr>
        <w:t>安排预备费</w:t>
      </w:r>
      <w:r>
        <w:rPr>
          <w:rFonts w:hint="eastAsia" w:ascii="仿宋" w:hAnsi="仿宋" w:eastAsia="仿宋" w:cs="仿宋"/>
          <w:color w:val="auto"/>
          <w:sz w:val="32"/>
          <w:szCs w:val="32"/>
          <w:u w:val="none"/>
          <w:lang w:val="en-US" w:eastAsia="zh-CN"/>
        </w:rPr>
        <w:t>2800万</w:t>
      </w:r>
      <w:r>
        <w:rPr>
          <w:rFonts w:hint="eastAsia" w:ascii="仿宋" w:hAnsi="仿宋" w:eastAsia="仿宋" w:cs="仿宋"/>
          <w:color w:val="auto"/>
          <w:sz w:val="32"/>
          <w:szCs w:val="32"/>
          <w:u w:val="none"/>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三、扎实做好2025年财政改革和预算管理工作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2025年是“十四五”规划的收官冲刺年，是全面深入贯彻落实党的二十届三中全会精神的开局之年，也是全面深化零基预算改革的元年。全县财政工作将坚定不移贯彻新发展理念，认真落实党中央、省委、市委和县委的决策部署和县经济工作会议要求，瞄准全年目标任务，科学谋划、精准施策，扎实做好财政各项改革发展工作，不断推进财政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eastAsia="zh-CN"/>
        </w:rPr>
      </w:pPr>
      <w:r>
        <w:rPr>
          <w:rFonts w:hint="eastAsia" w:ascii="楷体_GB2312" w:hAnsi="楷体_GB2312" w:eastAsia="楷体_GB2312" w:cs="楷体_GB2312"/>
          <w:b/>
          <w:bCs/>
          <w:color w:val="auto"/>
          <w:kern w:val="2"/>
          <w:sz w:val="32"/>
          <w:szCs w:val="32"/>
          <w:highlight w:val="none"/>
          <w:u w:val="none"/>
          <w:lang w:val="en-US" w:eastAsia="zh-CN" w:bidi="ar-SA"/>
        </w:rPr>
        <w:t>（一）坚持培财源、稳收入，推动财税收入提升质效。</w:t>
      </w:r>
      <w:r>
        <w:rPr>
          <w:rFonts w:hint="eastAsia" w:ascii="仿宋" w:hAnsi="仿宋" w:eastAsia="仿宋" w:cs="仿宋"/>
          <w:sz w:val="32"/>
          <w:szCs w:val="32"/>
          <w:u w:val="none"/>
          <w:lang w:eastAsia="zh-CN"/>
        </w:rPr>
        <w:t>按照“盯全量、稳存量、挖潜量、促增量”的思路，积极稳妥推进财源建设和收入组织工作，推动财税收入实现质的有效提升和量的合理增长。盯紧收入总量。适应经济发展新形势，将所有依托行政权力、政府信用、国有资源资产获取的各项收入全部纳入财政预算管理，持续做大收入盘子，优化收入结构。稳住财源存量。加快财税综合信息平台升级，夯实财税数据基础，科学摸排、分析财源税源，弄清财源“底子”，强化动态监测，稳住存量财源。挖掘共治潜量。深化税费精诚共治，围绕传统税源、疫情后复苏</w:t>
      </w:r>
      <w:bookmarkStart w:id="0" w:name="_GoBack"/>
      <w:bookmarkEnd w:id="0"/>
      <w:r>
        <w:rPr>
          <w:rFonts w:hint="eastAsia" w:ascii="仿宋" w:hAnsi="仿宋" w:eastAsia="仿宋" w:cs="仿宋"/>
          <w:sz w:val="32"/>
          <w:szCs w:val="32"/>
          <w:u w:val="none"/>
          <w:lang w:eastAsia="zh-CN"/>
        </w:rPr>
        <w:t>税源、新兴税源等，依法依规加强税收征管，强化部门协同，做到各类收入应收尽收。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eastAsia="zh-CN"/>
        </w:rPr>
      </w:pPr>
      <w:r>
        <w:rPr>
          <w:rFonts w:hint="eastAsia" w:ascii="楷体_GB2312" w:hAnsi="楷体_GB2312" w:eastAsia="楷体_GB2312" w:cs="楷体_GB2312"/>
          <w:b/>
          <w:bCs/>
          <w:color w:val="auto"/>
          <w:kern w:val="2"/>
          <w:sz w:val="32"/>
          <w:szCs w:val="32"/>
          <w:highlight w:val="none"/>
          <w:u w:val="none"/>
          <w:lang w:val="en-US" w:eastAsia="zh-CN" w:bidi="ar-SA"/>
        </w:rPr>
        <w:t>（二）坚持保重点、优支出，服务全县经济社会发展大局。</w:t>
      </w:r>
      <w:r>
        <w:rPr>
          <w:rFonts w:hint="eastAsia" w:ascii="仿宋" w:hAnsi="仿宋" w:eastAsia="仿宋" w:cs="仿宋"/>
          <w:sz w:val="32"/>
          <w:szCs w:val="32"/>
          <w:u w:val="none"/>
          <w:lang w:eastAsia="zh-CN"/>
        </w:rPr>
        <w:t>认真落实</w:t>
      </w:r>
      <w:r>
        <w:rPr>
          <w:rFonts w:hint="eastAsia" w:ascii="仿宋" w:hAnsi="仿宋" w:eastAsia="仿宋" w:cs="仿宋"/>
          <w:sz w:val="32"/>
          <w:szCs w:val="32"/>
          <w:u w:val="none"/>
          <w:lang w:val="en-US" w:eastAsia="zh-CN"/>
        </w:rPr>
        <w:t>党</w:t>
      </w:r>
      <w:r>
        <w:rPr>
          <w:rFonts w:hint="eastAsia" w:ascii="仿宋" w:hAnsi="仿宋" w:eastAsia="仿宋" w:cs="仿宋"/>
          <w:sz w:val="32"/>
          <w:szCs w:val="32"/>
          <w:u w:val="none"/>
          <w:lang w:eastAsia="zh-CN"/>
        </w:rPr>
        <w:t>中央、国务院和省委、省政府以及市委市政府、县委县政府工作要求，将习惯过“紧日子”作为预算管理的长期方针，持续优化支出机构，强化预算执行，全面清理评估支出政策项目，集中财力强化重大战略任务和基本民生财力保障。坚持尽力而为、量力而行，聚焦人民群众关心的急难愁盼问题，尽力保障好就业、教育、医疗、社会保障等基本民生支出，坚决做到民之所盼、政之所向。不断加大政策集成和资金整合，清理规范财政涉企资金，健全以政府投资基金、“拨改投”为主的财政支持政策体系，紧紧围绕全县中心大局，制定大事要事保障清单等，为全县高质量发展提供坚实的财力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u w:val="none"/>
          <w:lang w:eastAsia="zh-CN"/>
        </w:rPr>
      </w:pPr>
      <w:r>
        <w:rPr>
          <w:rFonts w:hint="eastAsia" w:ascii="楷体_GB2312" w:hAnsi="楷体_GB2312" w:eastAsia="楷体_GB2312" w:cs="楷体_GB2312"/>
          <w:b/>
          <w:bCs/>
          <w:color w:val="auto"/>
          <w:kern w:val="2"/>
          <w:sz w:val="32"/>
          <w:szCs w:val="32"/>
          <w:highlight w:val="none"/>
          <w:u w:val="none"/>
          <w:lang w:val="en-US" w:eastAsia="zh-CN" w:bidi="ar-SA"/>
        </w:rPr>
        <w:t>（三）坚持敢创新、谋突破，进一步推进零基预算改革。</w:t>
      </w:r>
      <w:r>
        <w:rPr>
          <w:rFonts w:hint="eastAsia" w:ascii="仿宋" w:hAnsi="仿宋" w:eastAsia="仿宋" w:cs="仿宋"/>
          <w:sz w:val="32"/>
          <w:szCs w:val="32"/>
          <w:u w:val="none"/>
          <w:lang w:eastAsia="zh-CN"/>
        </w:rPr>
        <w:t>进一步落实落细深化零基预算6大方面20项改革措施，以零为基、以事定钱、以效促用，坚决打破预算基数，通过零基预算改革走出一条资源配置高效、财政运行高效、收支动态平衡的可持续发展路子。坚持量入为出，严格支出排序，坚决不撒“胡椒面”，不搞 “平均主义”，将有限的财力聚焦到事关全局的重大决策、重大项目上，确保财尽其用。深化配套制度改革，健全财政承受能力评估机制，建立预算评审工作机制，加强全过程绩效管理等，不断提高财政预算管理水平。</w:t>
      </w:r>
    </w:p>
    <w:p>
      <w:pPr>
        <w:keepNext w:val="0"/>
        <w:keepLines w:val="0"/>
        <w:pageBreakBefore w:val="0"/>
        <w:widowControl w:val="0"/>
        <w:kinsoku/>
        <w:wordWrap/>
        <w:overflowPunct/>
        <w:topLinePunct w:val="0"/>
        <w:bidi w:val="0"/>
        <w:adjustRightInd w:val="0"/>
        <w:snapToGrid w:val="0"/>
        <w:spacing w:line="540" w:lineRule="exact"/>
        <w:ind w:firstLine="641"/>
        <w:textAlignment w:val="auto"/>
        <w:rPr>
          <w:rFonts w:hint="eastAsia" w:ascii="仿宋" w:hAnsi="仿宋" w:eastAsia="仿宋" w:cs="仿宋"/>
          <w:sz w:val="32"/>
          <w:szCs w:val="32"/>
          <w:u w:val="none"/>
          <w:lang w:eastAsia="zh-CN"/>
        </w:rPr>
      </w:pPr>
      <w:r>
        <w:rPr>
          <w:rFonts w:hint="eastAsia" w:ascii="楷体_GB2312" w:hAnsi="楷体_GB2312" w:eastAsia="楷体_GB2312" w:cs="楷体_GB2312"/>
          <w:b/>
          <w:bCs/>
          <w:color w:val="auto"/>
          <w:kern w:val="2"/>
          <w:sz w:val="32"/>
          <w:szCs w:val="32"/>
          <w:highlight w:val="none"/>
          <w:u w:val="none"/>
          <w:lang w:val="en-US" w:eastAsia="zh-CN" w:bidi="ar-SA"/>
        </w:rPr>
        <w:t>（四）坚持强管理、守底线，切实防范化解财政风险。</w:t>
      </w:r>
      <w:r>
        <w:rPr>
          <w:rFonts w:hint="eastAsia" w:ascii="仿宋" w:hAnsi="仿宋" w:eastAsia="仿宋" w:cs="仿宋"/>
          <w:sz w:val="32"/>
          <w:szCs w:val="32"/>
          <w:u w:val="none"/>
          <w:lang w:eastAsia="zh-CN"/>
        </w:rPr>
        <w:t>严守底线红线，全力防范和化解各类风险隐患，确保财政稳健可持续运行。兜牢“三保”底线。坚持“三保”支出优先顺序，健全分级责任体系，进一步完善基层“三保”管理机制，优先使用稳定财力用于“三保”，确保基层“三保”不出任何风险。强化债务管理。进一步完善化债工作机制，推动地方债务风险早发现、早预警、早处置；进一步细化工作措施，压实偿债主体责任，确保化债方案各项目标任务落实；进一步推进债务降息、展期、置换，不断降低融资成本，优化债务结构，尽全力防范化解地方债务风险。严肃财经纪律。不断完善财会监督体系和工作机制，推动与人大监督、纪检监察监督等的贯通协调，加强部门横向协同“大监督”格局。继续开展财会监督专项行动，聚焦预算管理、债务管理、政府采购、财务会计管理等重点领域加大监督力度，依法履行财会监督主责，筑牢财政资金规范使用“安全线”。</w:t>
      </w:r>
    </w:p>
    <w:p>
      <w:pPr>
        <w:pStyle w:val="2"/>
        <w:ind w:firstLine="640" w:firstLineChars="200"/>
        <w:jc w:val="both"/>
        <w:rPr>
          <w:rFonts w:ascii="Times New Roman" w:hAnsi="Times New Roman" w:eastAsia="黑体" w:cs="Times New Roman"/>
          <w:color w:val="auto"/>
          <w:sz w:val="32"/>
          <w:szCs w:val="32"/>
          <w:u w:val="none"/>
        </w:rPr>
      </w:pPr>
      <w:r>
        <w:rPr>
          <w:rFonts w:hint="eastAsia" w:ascii="仿宋" w:hAnsi="仿宋" w:eastAsia="仿宋" w:cs="仿宋"/>
          <w:sz w:val="32"/>
          <w:szCs w:val="32"/>
          <w:u w:val="none"/>
          <w:lang w:eastAsia="zh-CN"/>
        </w:rPr>
        <w:t>各位代表，梦虽遥，追则能达；愿虽艰，持则可圆。2025年全县财政改革发展任务艰巨繁重。我们</w:t>
      </w:r>
      <w:r>
        <w:rPr>
          <w:rFonts w:hint="eastAsia" w:ascii="仿宋" w:hAnsi="仿宋" w:eastAsia="仿宋" w:cs="仿宋"/>
          <w:sz w:val="32"/>
          <w:szCs w:val="32"/>
          <w:highlight w:val="none"/>
          <w:u w:val="none"/>
        </w:rPr>
        <w:t>将更加紧密团结</w:t>
      </w:r>
      <w:r>
        <w:rPr>
          <w:rFonts w:hint="eastAsia" w:ascii="仿宋" w:hAnsi="仿宋" w:eastAsia="仿宋" w:cs="仿宋"/>
          <w:sz w:val="32"/>
          <w:szCs w:val="32"/>
          <w:u w:val="none"/>
          <w:lang w:eastAsia="zh-CN"/>
        </w:rPr>
        <w:t>在习近平新时代中国特色社会主义思想的指引下，在县委的正确领导和县人大、县政协的有力监督下，直面困难和挑战，进一步解放思想、坚定信心，努力做好财政各项工作，</w:t>
      </w:r>
      <w:r>
        <w:rPr>
          <w:rFonts w:hint="eastAsia" w:ascii="仿宋" w:hAnsi="仿宋" w:eastAsia="仿宋" w:cs="仿宋"/>
          <w:sz w:val="32"/>
          <w:szCs w:val="32"/>
          <w:highlight w:val="none"/>
          <w:u w:val="none"/>
        </w:rPr>
        <w:t>为加快构建新时代茶陵发展新格局</w:t>
      </w:r>
      <w:r>
        <w:rPr>
          <w:rFonts w:hint="eastAsia" w:ascii="仿宋" w:hAnsi="仿宋" w:eastAsia="仿宋" w:cs="仿宋"/>
          <w:sz w:val="32"/>
          <w:szCs w:val="32"/>
          <w:u w:val="none"/>
          <w:lang w:eastAsia="zh-CN"/>
        </w:rPr>
        <w:t>提供坚实的财政保障！</w:t>
      </w:r>
    </w:p>
    <w:p>
      <w:pPr>
        <w:pStyle w:val="2"/>
        <w:jc w:val="both"/>
        <w:rPr>
          <w:rFonts w:ascii="Times New Roman" w:hAnsi="Times New Roman" w:eastAsia="黑体" w:cs="Times New Roman"/>
          <w:color w:val="auto"/>
          <w:sz w:val="32"/>
          <w:szCs w:val="32"/>
          <w:u w:val="none"/>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spacing w:line="560" w:lineRule="exact"/>
        <w:rPr>
          <w:rFonts w:hint="eastAsia" w:ascii="Times New Roman" w:hAnsi="Times New Roman" w:eastAsia="仿宋_GB2312" w:cs="Times New Roman"/>
          <w:color w:val="auto"/>
          <w:sz w:val="32"/>
          <w:szCs w:val="32"/>
          <w:u w:val="none"/>
          <w:lang w:eastAsia="zh-CN"/>
        </w:rPr>
      </w:pPr>
    </w:p>
    <w:p>
      <w:pPr>
        <w:pStyle w:val="2"/>
        <w:jc w:val="both"/>
        <w:rPr>
          <w:rFonts w:ascii="Times New Roman" w:hAnsi="Times New Roman" w:eastAsia="黑体" w:cs="Times New Roman"/>
          <w:color w:val="auto"/>
          <w:sz w:val="32"/>
          <w:szCs w:val="32"/>
          <w:u w:val="none"/>
        </w:rPr>
      </w:pPr>
    </w:p>
    <w:p>
      <w:pPr>
        <w:rPr>
          <w:color w:val="auto"/>
          <w:u w:val="none"/>
        </w:rPr>
      </w:pPr>
    </w:p>
    <w:p>
      <w:pPr>
        <w:pStyle w:val="2"/>
        <w:jc w:val="both"/>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表1</w:t>
      </w:r>
    </w:p>
    <w:tbl>
      <w:tblPr>
        <w:tblStyle w:val="12"/>
        <w:tblW w:w="91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6"/>
        <w:gridCol w:w="1226"/>
        <w:gridCol w:w="1144"/>
        <w:gridCol w:w="1227"/>
        <w:gridCol w:w="102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4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36"/>
                <w:szCs w:val="36"/>
                <w:u w:val="none"/>
              </w:rPr>
            </w:pPr>
            <w:r>
              <w:rPr>
                <w:rFonts w:hint="default" w:ascii="Times New Roman" w:hAnsi="Times New Roman" w:eastAsia="宋体" w:cs="Times New Roman"/>
                <w:b/>
                <w:bCs/>
                <w:i w:val="0"/>
                <w:iCs w:val="0"/>
                <w:color w:val="auto"/>
                <w:kern w:val="0"/>
                <w:sz w:val="36"/>
                <w:szCs w:val="36"/>
                <w:u w:val="none"/>
                <w:lang w:val="en-US" w:eastAsia="zh-CN" w:bidi="ar"/>
              </w:rPr>
              <w:t>2025</w:t>
            </w:r>
            <w:r>
              <w:rPr>
                <w:rFonts w:ascii="方正小标宋简体" w:hAnsi="方正小标宋简体" w:eastAsia="方正小标宋简体" w:cs="方正小标宋简体"/>
                <w:b/>
                <w:bCs/>
                <w:i w:val="0"/>
                <w:iCs w:val="0"/>
                <w:color w:val="auto"/>
                <w:kern w:val="0"/>
                <w:sz w:val="36"/>
                <w:szCs w:val="36"/>
                <w:u w:val="none"/>
                <w:lang w:val="en-US" w:eastAsia="zh-CN" w:bidi="ar"/>
              </w:rPr>
              <w:t>年一般公共财政收入预算（草案）表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3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p>
        </w:tc>
        <w:tc>
          <w:tcPr>
            <w:tcW w:w="122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14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227"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102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单位：万元</w:t>
            </w:r>
          </w:p>
        </w:tc>
        <w:tc>
          <w:tcPr>
            <w:tcW w:w="118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收</w:t>
            </w:r>
            <w:r>
              <w:rPr>
                <w:rFonts w:hint="default" w:ascii="Times New Roman" w:hAnsi="Times New Roman" w:eastAsia="黑体" w:cs="Times New Roman"/>
                <w:i w:val="0"/>
                <w:iCs w:val="0"/>
                <w:color w:val="auto"/>
                <w:kern w:val="0"/>
                <w:sz w:val="24"/>
                <w:szCs w:val="24"/>
                <w:u w:val="none"/>
                <w:lang w:val="en-US" w:eastAsia="zh-CN" w:bidi="ar"/>
              </w:rPr>
              <w:t xml:space="preserve">  </w:t>
            </w:r>
            <w:r>
              <w:rPr>
                <w:rFonts w:hint="eastAsia" w:ascii="黑体" w:hAnsi="宋体" w:eastAsia="黑体" w:cs="黑体"/>
                <w:i w:val="0"/>
                <w:iCs w:val="0"/>
                <w:color w:val="auto"/>
                <w:kern w:val="0"/>
                <w:sz w:val="24"/>
                <w:szCs w:val="24"/>
                <w:u w:val="none"/>
                <w:lang w:val="en-US" w:eastAsia="zh-CN" w:bidi="ar"/>
              </w:rPr>
              <w:t>入</w:t>
            </w:r>
            <w:r>
              <w:rPr>
                <w:rFonts w:hint="default" w:ascii="Times New Roman" w:hAnsi="Times New Roman" w:eastAsia="黑体" w:cs="Times New Roman"/>
                <w:i w:val="0"/>
                <w:iCs w:val="0"/>
                <w:color w:val="auto"/>
                <w:kern w:val="0"/>
                <w:sz w:val="24"/>
                <w:szCs w:val="24"/>
                <w:u w:val="none"/>
                <w:lang w:val="en-US" w:eastAsia="zh-CN" w:bidi="ar"/>
              </w:rPr>
              <w:t xml:space="preserve">  </w:t>
            </w:r>
            <w:r>
              <w:rPr>
                <w:rFonts w:hint="eastAsia" w:ascii="黑体" w:hAnsi="宋体" w:eastAsia="黑体" w:cs="黑体"/>
                <w:i w:val="0"/>
                <w:iCs w:val="0"/>
                <w:color w:val="auto"/>
                <w:kern w:val="0"/>
                <w:sz w:val="24"/>
                <w:szCs w:val="24"/>
                <w:u w:val="none"/>
                <w:lang w:val="en-US" w:eastAsia="zh-CN" w:bidi="ar"/>
              </w:rPr>
              <w:t>项</w:t>
            </w:r>
            <w:r>
              <w:rPr>
                <w:rFonts w:hint="default" w:ascii="Times New Roman" w:hAnsi="Times New Roman" w:eastAsia="黑体" w:cs="Times New Roman"/>
                <w:i w:val="0"/>
                <w:iCs w:val="0"/>
                <w:color w:val="auto"/>
                <w:kern w:val="0"/>
                <w:sz w:val="24"/>
                <w:szCs w:val="24"/>
                <w:u w:val="none"/>
                <w:lang w:val="en-US" w:eastAsia="zh-CN" w:bidi="ar"/>
              </w:rPr>
              <w:t xml:space="preserve">  </w:t>
            </w:r>
            <w:r>
              <w:rPr>
                <w:rFonts w:hint="eastAsia" w:ascii="黑体" w:hAnsi="宋体" w:eastAsia="黑体" w:cs="黑体"/>
                <w:i w:val="0"/>
                <w:iCs w:val="0"/>
                <w:color w:val="auto"/>
                <w:kern w:val="0"/>
                <w:sz w:val="24"/>
                <w:szCs w:val="24"/>
                <w:u w:val="none"/>
                <w:lang w:val="en-US" w:eastAsia="zh-CN" w:bidi="ar"/>
              </w:rPr>
              <w:t>目</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w:t>
            </w:r>
            <w:r>
              <w:rPr>
                <w:rFonts w:hint="eastAsia" w:ascii="黑体" w:hAnsi="宋体" w:eastAsia="黑体" w:cs="黑体"/>
                <w:i w:val="0"/>
                <w:iCs w:val="0"/>
                <w:color w:val="auto"/>
                <w:kern w:val="0"/>
                <w:sz w:val="24"/>
                <w:szCs w:val="24"/>
                <w:u w:val="none"/>
                <w:lang w:val="en-US" w:eastAsia="zh-CN" w:bidi="ar"/>
              </w:rPr>
              <w:t>年收入预算数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2024</w:t>
            </w:r>
            <w:r>
              <w:rPr>
                <w:rFonts w:hint="eastAsia" w:ascii="黑体" w:hAnsi="宋体" w:eastAsia="黑体" w:cs="黑体"/>
                <w:i w:val="0"/>
                <w:iCs w:val="0"/>
                <w:color w:val="auto"/>
                <w:kern w:val="0"/>
                <w:sz w:val="24"/>
                <w:szCs w:val="24"/>
                <w:u w:val="none"/>
                <w:lang w:val="en-US" w:eastAsia="zh-CN" w:bidi="ar"/>
              </w:rPr>
              <w:t>年收入完成数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w:t>
            </w:r>
            <w:r>
              <w:rPr>
                <w:rFonts w:hint="eastAsia" w:ascii="黑体" w:hAnsi="宋体" w:eastAsia="黑体" w:cs="黑体"/>
                <w:i w:val="0"/>
                <w:iCs w:val="0"/>
                <w:color w:val="auto"/>
                <w:kern w:val="0"/>
                <w:sz w:val="24"/>
                <w:szCs w:val="24"/>
                <w:u w:val="none"/>
                <w:lang w:val="en-US" w:eastAsia="zh-CN" w:bidi="ar"/>
              </w:rPr>
              <w:t>年收入预算数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比上年完成数增减额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比上年完成数增减％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财政总收入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190000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168211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172700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4489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其中：税收收入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157700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129510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132800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w:t>
            </w:r>
            <w:r>
              <w:rPr>
                <w:rFonts w:hint="eastAsia" w:ascii="黑体" w:hAnsi="宋体" w:eastAsia="黑体" w:cs="黑体"/>
                <w:i w:val="0"/>
                <w:iCs w:val="0"/>
                <w:color w:val="auto"/>
                <w:kern w:val="0"/>
                <w:sz w:val="24"/>
                <w:szCs w:val="24"/>
                <w:u w:val="none"/>
                <w:lang w:val="en-US" w:eastAsia="zh-CN" w:bidi="ar"/>
              </w:rPr>
              <w:t>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38701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39900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1199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税收收入占财政总收入的比重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76.99%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76.90%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一、地方收入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116000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104892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108100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3208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（一）税收收入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86100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66191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68200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（二）非税收入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29900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38701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39900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1199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地方税收收入占地方的比重</w:t>
            </w:r>
            <w:r>
              <w:rPr>
                <w:rFonts w:hint="default" w:ascii="Times New Roman" w:hAnsi="Times New Roman" w:eastAsia="黑体" w:cs="Times New Roman"/>
                <w:i w:val="0"/>
                <w:iCs w:val="0"/>
                <w:color w:val="auto"/>
                <w:kern w:val="0"/>
                <w:sz w:val="24"/>
                <w:szCs w:val="24"/>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74.22%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63.10%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63.09%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二、上划中央收入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59090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49195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51483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2288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三、上划省级收入</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14910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14124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13117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附：税务部门征收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159700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131207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134300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3093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w:t>
            </w:r>
            <w:r>
              <w:rPr>
                <w:rFonts w:hint="eastAsia" w:ascii="黑体" w:hAnsi="宋体" w:eastAsia="黑体" w:cs="黑体"/>
                <w:i w:val="0"/>
                <w:iCs w:val="0"/>
                <w:color w:val="auto"/>
                <w:kern w:val="0"/>
                <w:sz w:val="24"/>
                <w:szCs w:val="24"/>
                <w:u w:val="none"/>
                <w:lang w:val="en-US" w:eastAsia="zh-CN" w:bidi="ar"/>
              </w:rPr>
              <w:t>财政部门征收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37005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38400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r>
    </w:tbl>
    <w:p>
      <w:pPr>
        <w:rPr>
          <w:rFonts w:ascii="Times New Roman" w:hAnsi="Times New Roman" w:eastAsia="宋体" w:cs="Times New Roman"/>
          <w:color w:val="auto"/>
          <w:kern w:val="0"/>
          <w:szCs w:val="21"/>
          <w:u w:val="none"/>
        </w:rPr>
      </w:pPr>
      <w:r>
        <w:rPr>
          <w:rFonts w:ascii="Times New Roman" w:hAnsi="Times New Roman" w:eastAsia="宋体" w:cs="Times New Roman"/>
          <w:color w:val="auto"/>
          <w:kern w:val="0"/>
          <w:szCs w:val="21"/>
          <w:u w:val="none"/>
        </w:rPr>
        <w:br w:type="page"/>
      </w:r>
    </w:p>
    <w:p>
      <w:pPr>
        <w:pStyle w:val="2"/>
        <w:jc w:val="both"/>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表2</w:t>
      </w:r>
    </w:p>
    <w:p>
      <w:pPr>
        <w:pStyle w:val="2"/>
        <w:rPr>
          <w:rFonts w:ascii="Times New Roman" w:hAnsi="Times New Roman" w:cs="Times New Roman"/>
          <w:color w:val="auto"/>
          <w:u w:val="none"/>
        </w:rPr>
      </w:pPr>
      <w:r>
        <w:rPr>
          <w:rFonts w:ascii="Times New Roman" w:hAnsi="Times New Roman" w:cs="Times New Roman"/>
          <w:color w:val="auto"/>
          <w:u w:val="none"/>
        </w:rPr>
        <w:t>202</w:t>
      </w:r>
      <w:r>
        <w:rPr>
          <w:rFonts w:hint="eastAsia" w:ascii="Times New Roman" w:hAnsi="Times New Roman" w:cs="Times New Roman"/>
          <w:color w:val="auto"/>
          <w:u w:val="none"/>
          <w:lang w:val="en-US" w:eastAsia="zh-CN"/>
        </w:rPr>
        <w:t>5</w:t>
      </w:r>
      <w:r>
        <w:rPr>
          <w:rFonts w:ascii="Times New Roman" w:hAnsi="Times New Roman" w:cs="Times New Roman"/>
          <w:color w:val="auto"/>
          <w:u w:val="none"/>
        </w:rPr>
        <w:t>年一般公共财政支出预算（草案）表</w:t>
      </w:r>
    </w:p>
    <w:p>
      <w:pPr>
        <w:spacing w:line="570" w:lineRule="exact"/>
        <w:jc w:val="right"/>
        <w:rPr>
          <w:rFonts w:ascii="Times New Roman" w:hAnsi="Times New Roman" w:eastAsia="黑体" w:cs="Times New Roman"/>
          <w:color w:val="auto"/>
          <w:u w:val="none"/>
        </w:rPr>
      </w:pPr>
      <w:r>
        <w:rPr>
          <w:rFonts w:ascii="Times New Roman" w:hAnsi="Times New Roman" w:cs="Times New Roman"/>
          <w:color w:val="auto"/>
          <w:kern w:val="0"/>
          <w:sz w:val="24"/>
          <w:u w:val="none"/>
        </w:rPr>
        <w:t>单位：万元</w:t>
      </w:r>
    </w:p>
    <w:tbl>
      <w:tblPr>
        <w:tblStyle w:val="12"/>
        <w:tblW w:w="9059" w:type="dxa"/>
        <w:jc w:val="center"/>
        <w:tblLayout w:type="fixed"/>
        <w:tblCellMar>
          <w:top w:w="15" w:type="dxa"/>
          <w:left w:w="15" w:type="dxa"/>
          <w:bottom w:w="15" w:type="dxa"/>
          <w:right w:w="15" w:type="dxa"/>
        </w:tblCellMar>
      </w:tblPr>
      <w:tblGrid>
        <w:gridCol w:w="3892"/>
        <w:gridCol w:w="1289"/>
        <w:gridCol w:w="1289"/>
        <w:gridCol w:w="1289"/>
        <w:gridCol w:w="1300"/>
      </w:tblGrid>
      <w:tr>
        <w:tblPrEx>
          <w:tblCellMar>
            <w:top w:w="15" w:type="dxa"/>
            <w:left w:w="15" w:type="dxa"/>
            <w:bottom w:w="15" w:type="dxa"/>
            <w:right w:w="15" w:type="dxa"/>
          </w:tblCellMar>
        </w:tblPrEx>
        <w:trPr>
          <w:trHeight w:val="394" w:hRule="atLeast"/>
          <w:jc w:val="center"/>
        </w:trPr>
        <w:tc>
          <w:tcPr>
            <w:tcW w:w="3892"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支  出  项  目</w:t>
            </w:r>
          </w:p>
        </w:tc>
        <w:tc>
          <w:tcPr>
            <w:tcW w:w="5167"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202</w:t>
            </w:r>
            <w:r>
              <w:rPr>
                <w:rFonts w:hint="eastAsia" w:ascii="Times New Roman" w:hAnsi="Times New Roman" w:eastAsia="黑体" w:cs="Times New Roman"/>
                <w:color w:val="auto"/>
                <w:kern w:val="0"/>
                <w:sz w:val="24"/>
                <w:u w:val="none"/>
                <w:lang w:val="en-US" w:eastAsia="zh-CN"/>
              </w:rPr>
              <w:t>5</w:t>
            </w:r>
            <w:r>
              <w:rPr>
                <w:rFonts w:ascii="Times New Roman" w:hAnsi="Times New Roman" w:eastAsia="黑体" w:cs="Times New Roman"/>
                <w:color w:val="auto"/>
                <w:kern w:val="0"/>
                <w:sz w:val="24"/>
                <w:u w:val="none"/>
              </w:rPr>
              <w:t>年预算</w:t>
            </w:r>
          </w:p>
        </w:tc>
      </w:tr>
      <w:tr>
        <w:tblPrEx>
          <w:tblCellMar>
            <w:top w:w="15" w:type="dxa"/>
            <w:left w:w="15" w:type="dxa"/>
            <w:bottom w:w="15" w:type="dxa"/>
            <w:right w:w="15" w:type="dxa"/>
          </w:tblCellMar>
        </w:tblPrEx>
        <w:trPr>
          <w:trHeight w:val="394" w:hRule="atLeast"/>
          <w:jc w:val="center"/>
        </w:trPr>
        <w:tc>
          <w:tcPr>
            <w:tcW w:w="389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黑体" w:cs="Times New Roman"/>
                <w:b/>
                <w:bCs/>
                <w:color w:val="auto"/>
                <w:w w:val="90"/>
                <w:sz w:val="24"/>
                <w:u w:val="none"/>
              </w:rPr>
            </w:pPr>
          </w:p>
        </w:tc>
        <w:tc>
          <w:tcPr>
            <w:tcW w:w="1289"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本级预算</w:t>
            </w:r>
          </w:p>
        </w:tc>
        <w:tc>
          <w:tcPr>
            <w:tcW w:w="128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上级专项</w:t>
            </w:r>
          </w:p>
        </w:tc>
        <w:tc>
          <w:tcPr>
            <w:tcW w:w="128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上年结转</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
                <w:bCs/>
                <w:color w:val="auto"/>
                <w:w w:val="90"/>
                <w:sz w:val="24"/>
                <w:u w:val="none"/>
              </w:rPr>
            </w:pPr>
            <w:r>
              <w:rPr>
                <w:rFonts w:ascii="Times New Roman" w:hAnsi="Times New Roman" w:eastAsia="黑体" w:cs="Times New Roman"/>
                <w:color w:val="auto"/>
                <w:kern w:val="0"/>
                <w:sz w:val="24"/>
                <w:u w:val="none"/>
              </w:rPr>
              <w:t>合计</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33"/>
                <w:color w:val="auto"/>
                <w:u w:val="none"/>
                <w:lang w:val="en-US" w:eastAsia="zh-CN" w:bidi="ar"/>
              </w:rPr>
              <w:t>、一般公共服务支出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38078</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913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color w:val="auto"/>
                <w:u w:val="none"/>
                <w:lang w:val="en-US"/>
              </w:rPr>
            </w:pPr>
            <w:r>
              <w:rPr>
                <w:rFonts w:hint="eastAsia" w:ascii="Times New Roman" w:hAnsi="Times New Roman" w:eastAsia="宋体" w:cs="Times New Roman"/>
                <w:i w:val="0"/>
                <w:iCs w:val="0"/>
                <w:color w:val="auto"/>
                <w:kern w:val="0"/>
                <w:sz w:val="24"/>
                <w:szCs w:val="24"/>
                <w:u w:val="none"/>
                <w:lang w:val="en-US" w:eastAsia="zh-CN" w:bidi="ar"/>
              </w:rPr>
              <w:t>147</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color w:val="auto"/>
                <w:u w:val="none"/>
                <w:lang w:val="en-US"/>
              </w:rPr>
            </w:pPr>
            <w:r>
              <w:rPr>
                <w:rFonts w:hint="default" w:ascii="Times New Roman" w:hAnsi="Times New Roman" w:eastAsia="宋体" w:cs="Times New Roman"/>
                <w:i w:val="0"/>
                <w:iCs w:val="0"/>
                <w:color w:val="auto"/>
                <w:kern w:val="0"/>
                <w:sz w:val="24"/>
                <w:szCs w:val="24"/>
                <w:u w:val="none"/>
                <w:lang w:val="en-US" w:eastAsia="zh-CN" w:bidi="ar"/>
              </w:rPr>
              <w:t>391</w:t>
            </w:r>
            <w:r>
              <w:rPr>
                <w:rFonts w:hint="eastAsia" w:ascii="Times New Roman" w:hAnsi="Times New Roman" w:eastAsia="宋体" w:cs="Times New Roman"/>
                <w:i w:val="0"/>
                <w:iCs w:val="0"/>
                <w:color w:val="auto"/>
                <w:kern w:val="0"/>
                <w:sz w:val="24"/>
                <w:szCs w:val="24"/>
                <w:u w:val="none"/>
                <w:lang w:val="en-US" w:eastAsia="zh-CN" w:bidi="ar"/>
              </w:rPr>
              <w:t>38</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33"/>
                <w:color w:val="auto"/>
                <w:u w:val="none"/>
                <w:lang w:val="en-US" w:eastAsia="zh-CN" w:bidi="ar"/>
              </w:rPr>
              <w:t>、国防支出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213</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Style w:val="33"/>
                <w:color w:val="auto"/>
                <w:u w:val="none"/>
                <w:lang w:val="en-US" w:eastAsia="zh-CN" w:bidi="ar"/>
              </w:rPr>
              <w:t>、公共安全支出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11098</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1983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5731</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18812</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33"/>
                <w:color w:val="auto"/>
                <w:u w:val="none"/>
                <w:lang w:val="en-US" w:eastAsia="zh-CN" w:bidi="ar"/>
              </w:rPr>
              <w:t>、教育支出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72243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1516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73759</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33"/>
                <w:color w:val="auto"/>
                <w:u w:val="none"/>
                <w:lang w:val="en-US" w:eastAsia="zh-CN" w:bidi="ar"/>
              </w:rPr>
              <w:t>、科学技术支出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3913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556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4469</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Style w:val="33"/>
                <w:color w:val="auto"/>
                <w:u w:val="none"/>
                <w:lang w:val="en-US" w:eastAsia="zh-CN" w:bidi="ar"/>
              </w:rPr>
              <w:t>、文化旅游体育与传媒支出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2336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1361</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3697</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7</w:t>
            </w:r>
            <w:r>
              <w:rPr>
                <w:rStyle w:val="33"/>
                <w:color w:val="auto"/>
                <w:u w:val="none"/>
                <w:lang w:val="en-US" w:eastAsia="zh-CN" w:bidi="ar"/>
              </w:rPr>
              <w:t>、社会保障和就业支出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28097</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8022</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5000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41119</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8</w:t>
            </w:r>
            <w:r>
              <w:rPr>
                <w:rStyle w:val="33"/>
                <w:color w:val="auto"/>
                <w:u w:val="none"/>
                <w:lang w:val="en-US" w:eastAsia="zh-CN" w:bidi="ar"/>
              </w:rPr>
              <w:t>、卫生健康支出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13336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35273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9703</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58312</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9</w:t>
            </w:r>
            <w:r>
              <w:rPr>
                <w:rStyle w:val="33"/>
                <w:color w:val="auto"/>
                <w:u w:val="none"/>
                <w:lang w:val="en-US" w:eastAsia="zh-CN" w:bidi="ar"/>
              </w:rPr>
              <w:t>、节能环保支出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3821</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5079</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2561</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11461</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10</w:t>
            </w:r>
            <w:r>
              <w:rPr>
                <w:rStyle w:val="33"/>
                <w:color w:val="auto"/>
                <w:u w:val="none"/>
                <w:lang w:val="en-US" w:eastAsia="zh-CN" w:bidi="ar"/>
              </w:rPr>
              <w:t>、城乡社区支出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12425</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224</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2110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14759</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11</w:t>
            </w:r>
            <w:r>
              <w:rPr>
                <w:rStyle w:val="33"/>
                <w:color w:val="auto"/>
                <w:u w:val="none"/>
                <w:lang w:val="en-US" w:eastAsia="zh-CN" w:bidi="ar"/>
              </w:rPr>
              <w:t>、农林水支出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40908</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40266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2591</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83765</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12</w:t>
            </w:r>
            <w:r>
              <w:rPr>
                <w:rStyle w:val="33"/>
                <w:color w:val="auto"/>
                <w:u w:val="none"/>
                <w:lang w:val="en-US" w:eastAsia="zh-CN" w:bidi="ar"/>
              </w:rPr>
              <w:t>、交通运输支出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3720</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6031</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614</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10365</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13</w:t>
            </w:r>
            <w:r>
              <w:rPr>
                <w:rStyle w:val="33"/>
                <w:color w:val="auto"/>
                <w:u w:val="none"/>
                <w:lang w:val="en-US" w:eastAsia="zh-CN" w:bidi="ar"/>
              </w:rPr>
              <w:t>、资源勘探工业信息等支出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7682</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759</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8441</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14</w:t>
            </w:r>
            <w:r>
              <w:rPr>
                <w:rStyle w:val="33"/>
                <w:color w:val="auto"/>
                <w:u w:val="none"/>
                <w:lang w:val="en-US" w:eastAsia="zh-CN" w:bidi="ar"/>
              </w:rPr>
              <w:t>、商业服务业等支出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184</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1288</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1472</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kern w:val="0"/>
                <w:sz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Style w:val="33"/>
                <w:color w:val="auto"/>
                <w:u w:val="none"/>
                <w:lang w:val="en-US" w:eastAsia="zh-CN" w:bidi="ar"/>
              </w:rPr>
              <w:t>、金融支出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color w:val="auto"/>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56</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16</w:t>
            </w:r>
            <w:r>
              <w:rPr>
                <w:rStyle w:val="33"/>
                <w:color w:val="auto"/>
                <w:u w:val="none"/>
                <w:lang w:val="en-US" w:eastAsia="zh-CN" w:bidi="ar"/>
              </w:rPr>
              <w:t>、自然资源海洋气象等支出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843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618</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1461</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17</w:t>
            </w:r>
            <w:r>
              <w:rPr>
                <w:rStyle w:val="33"/>
                <w:color w:val="auto"/>
                <w:u w:val="none"/>
                <w:lang w:val="en-US" w:eastAsia="zh-CN" w:bidi="ar"/>
              </w:rPr>
              <w:t>、住房保障支出</w:t>
            </w:r>
          </w:p>
        </w:tc>
        <w:tc>
          <w:tcPr>
            <w:tcW w:w="12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2485</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2540</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18</w:t>
            </w:r>
            <w:r>
              <w:rPr>
                <w:rStyle w:val="33"/>
                <w:color w:val="auto"/>
                <w:u w:val="none"/>
                <w:lang w:val="en-US" w:eastAsia="zh-CN" w:bidi="ar"/>
              </w:rPr>
              <w:t>、粮油物资储备支出</w:t>
            </w:r>
          </w:p>
        </w:tc>
        <w:tc>
          <w:tcPr>
            <w:tcW w:w="12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373</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1487</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1860</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19</w:t>
            </w:r>
            <w:r>
              <w:rPr>
                <w:rStyle w:val="33"/>
                <w:color w:val="auto"/>
                <w:u w:val="none"/>
                <w:lang w:val="en-US" w:eastAsia="zh-CN" w:bidi="ar"/>
              </w:rPr>
              <w:t>、灾害防治及应急管理支出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4155</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710</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4865</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20</w:t>
            </w:r>
            <w:r>
              <w:rPr>
                <w:rStyle w:val="33"/>
                <w:color w:val="auto"/>
                <w:u w:val="none"/>
                <w:lang w:val="en-US" w:eastAsia="zh-CN" w:bidi="ar"/>
              </w:rPr>
              <w:t>、预备费</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2800</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Style w:val="26"/>
                <w:rFonts w:hint="default" w:ascii="Times New Roman" w:hAnsi="Times New Roman" w:cs="Times New Roman"/>
                <w:color w:val="auto"/>
                <w:w w:val="90"/>
                <w:u w:val="none"/>
              </w:rPr>
            </w:pPr>
            <w:r>
              <w:rPr>
                <w:rFonts w:hint="default" w:ascii="Times New Roman" w:hAnsi="Times New Roman" w:eastAsia="宋体" w:cs="Times New Roman"/>
                <w:i w:val="0"/>
                <w:iCs w:val="0"/>
                <w:color w:val="auto"/>
                <w:kern w:val="0"/>
                <w:sz w:val="24"/>
                <w:szCs w:val="24"/>
                <w:u w:val="none"/>
                <w:lang w:val="en-US" w:eastAsia="zh-CN" w:bidi="ar"/>
              </w:rPr>
              <w:t>21</w:t>
            </w:r>
            <w:r>
              <w:rPr>
                <w:rStyle w:val="33"/>
                <w:color w:val="auto"/>
                <w:u w:val="none"/>
                <w:lang w:val="en-US" w:eastAsia="zh-CN" w:bidi="ar"/>
              </w:rPr>
              <w:t>、其他支出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12709</w:t>
            </w: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cs="Times New Roman" w:eastAsiaTheme="minorEastAsia"/>
                <w:color w:val="auto"/>
                <w:u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12709</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Times New Roman" w:hAnsi="Times New Roman" w:cs="Times New Roman"/>
                <w:color w:val="auto"/>
                <w:w w:val="90"/>
                <w:sz w:val="24"/>
                <w:u w:val="none"/>
              </w:rPr>
            </w:pPr>
            <w:r>
              <w:rPr>
                <w:rFonts w:hint="default" w:ascii="Times New Roman" w:hAnsi="Times New Roman" w:eastAsia="宋体" w:cs="Times New Roman"/>
                <w:i w:val="0"/>
                <w:iCs w:val="0"/>
                <w:color w:val="auto"/>
                <w:kern w:val="0"/>
                <w:sz w:val="24"/>
                <w:szCs w:val="24"/>
                <w:u w:val="none"/>
                <w:lang w:val="en-US" w:eastAsia="zh-CN" w:bidi="ar"/>
              </w:rPr>
              <w:t>22</w:t>
            </w:r>
            <w:r>
              <w:rPr>
                <w:rStyle w:val="33"/>
                <w:color w:val="auto"/>
                <w:u w:val="none"/>
                <w:lang w:val="en-US" w:eastAsia="zh-CN" w:bidi="ar"/>
              </w:rPr>
              <w:t>、债务还本付息支出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19155</w:t>
            </w: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4"/>
                <w:szCs w:val="24"/>
                <w:u w:val="none"/>
                <w:lang w:val="en-US" w:eastAsia="zh-CN" w:bidi="ar"/>
              </w:rPr>
              <w:t>19155</w:t>
            </w:r>
          </w:p>
        </w:tc>
      </w:tr>
      <w:tr>
        <w:tblPrEx>
          <w:tblCellMar>
            <w:top w:w="15" w:type="dxa"/>
            <w:left w:w="15" w:type="dxa"/>
            <w:bottom w:w="15" w:type="dxa"/>
            <w:right w:w="15" w:type="dxa"/>
          </w:tblCellMar>
        </w:tblPrEx>
        <w:trPr>
          <w:trHeight w:val="394"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w:t>
            </w:r>
            <w:r>
              <w:rPr>
                <w:rFonts w:hint="eastAsia" w:ascii="宋体" w:hAnsi="宋体" w:eastAsia="宋体" w:cs="宋体"/>
                <w:i w:val="0"/>
                <w:iCs w:val="0"/>
                <w:color w:val="auto"/>
                <w:kern w:val="0"/>
                <w:sz w:val="24"/>
                <w:szCs w:val="24"/>
                <w:u w:val="none"/>
                <w:lang w:val="en-US" w:eastAsia="zh-CN" w:bidi="ar"/>
              </w:rPr>
              <w:t>、上解支出</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7174</w:t>
            </w: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289" w:type="dxa"/>
            <w:tcBorders>
              <w:top w:val="single" w:color="000000" w:sz="4" w:space="0"/>
              <w:left w:val="single" w:color="000000" w:sz="4" w:space="0"/>
              <w:bottom w:val="single" w:color="000000" w:sz="4" w:space="0"/>
              <w:right w:val="single" w:color="000000" w:sz="4" w:space="0"/>
            </w:tcBorders>
            <w:vAlign w:val="bottom"/>
          </w:tcPr>
          <w:p>
            <w:pPr>
              <w:jc w:val="center"/>
              <w:rPr>
                <w:rFonts w:ascii="Times New Roman" w:hAnsi="Times New Roman" w:cs="Times New Roman"/>
                <w:color w:val="auto"/>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7174</w:t>
            </w:r>
          </w:p>
        </w:tc>
      </w:tr>
      <w:tr>
        <w:tblPrEx>
          <w:tblCellMar>
            <w:top w:w="15" w:type="dxa"/>
            <w:left w:w="15" w:type="dxa"/>
            <w:bottom w:w="15" w:type="dxa"/>
            <w:right w:w="15" w:type="dxa"/>
          </w:tblCellMar>
        </w:tblPrEx>
        <w:trPr>
          <w:trHeight w:val="426" w:hRule="atLeast"/>
          <w:jc w:val="center"/>
        </w:trPr>
        <w:tc>
          <w:tcPr>
            <w:tcW w:w="38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1" w:firstLineChars="100"/>
              <w:jc w:val="left"/>
              <w:textAlignment w:val="center"/>
              <w:rPr>
                <w:rFonts w:ascii="Times New Roman" w:hAnsi="Times New Roman" w:cs="Times New Roman"/>
                <w:b/>
                <w:bCs/>
                <w:color w:val="auto"/>
                <w:w w:val="90"/>
                <w:sz w:val="24"/>
                <w:u w:val="none"/>
              </w:rPr>
            </w:pPr>
            <w:r>
              <w:rPr>
                <w:rFonts w:hint="eastAsia" w:ascii="宋体" w:hAnsi="宋体" w:eastAsia="宋体" w:cs="宋体"/>
                <w:b/>
                <w:bCs/>
                <w:i w:val="0"/>
                <w:iCs w:val="0"/>
                <w:color w:val="auto"/>
                <w:kern w:val="0"/>
                <w:sz w:val="24"/>
                <w:szCs w:val="24"/>
                <w:u w:val="none"/>
                <w:lang w:val="en-US" w:eastAsia="zh-CN" w:bidi="ar"/>
              </w:rPr>
              <w:t>一般公共财政预算支出合计</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1" w:firstLineChars="100"/>
              <w:jc w:val="center"/>
              <w:textAlignment w:val="center"/>
              <w:rPr>
                <w:rFonts w:hint="default" w:ascii="Times New Roman" w:hAnsi="Times New Roman" w:eastAsia="宋体" w:cs="Times New Roman"/>
                <w:b/>
                <w:bCs/>
                <w:color w:val="auto"/>
                <w:u w:val="none"/>
                <w:lang w:val="en-US" w:eastAsia="zh-CN"/>
              </w:rPr>
            </w:pPr>
            <w:r>
              <w:rPr>
                <w:rFonts w:hint="default" w:ascii="Times New Roman" w:hAnsi="Times New Roman" w:eastAsia="宋体" w:cs="Times New Roman"/>
                <w:b/>
                <w:bCs/>
                <w:i w:val="0"/>
                <w:iCs w:val="0"/>
                <w:color w:val="auto"/>
                <w:kern w:val="0"/>
                <w:sz w:val="24"/>
                <w:szCs w:val="24"/>
                <w:u w:val="none"/>
                <w:lang w:val="en-US" w:eastAsia="zh-CN" w:bidi="ar"/>
              </w:rPr>
              <w:t>285305</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1" w:firstLineChars="100"/>
              <w:jc w:val="center"/>
              <w:textAlignment w:val="center"/>
              <w:rPr>
                <w:rFonts w:hint="default" w:ascii="Times New Roman" w:hAnsi="Times New Roman" w:cs="Times New Roman" w:eastAsiaTheme="minorEastAsia"/>
                <w:b/>
                <w:bCs/>
                <w:color w:val="auto"/>
                <w:u w:val="none"/>
                <w:lang w:val="en-US" w:eastAsia="zh-CN"/>
              </w:rPr>
            </w:pPr>
            <w:r>
              <w:rPr>
                <w:rFonts w:hint="default" w:ascii="Times New Roman" w:hAnsi="Times New Roman" w:eastAsia="宋体" w:cs="Times New Roman"/>
                <w:b/>
                <w:bCs/>
                <w:i w:val="0"/>
                <w:iCs w:val="0"/>
                <w:color w:val="auto"/>
                <w:kern w:val="0"/>
                <w:sz w:val="24"/>
                <w:szCs w:val="24"/>
                <w:u w:val="none"/>
                <w:lang w:val="en-US" w:eastAsia="zh-CN" w:bidi="ar"/>
              </w:rPr>
              <w:t>108640</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1" w:firstLineChars="100"/>
              <w:jc w:val="center"/>
              <w:textAlignment w:val="center"/>
              <w:rPr>
                <w:rFonts w:hint="default" w:ascii="Times New Roman" w:hAnsi="Times New Roman" w:cs="Times New Roman"/>
                <w:b/>
                <w:bCs/>
                <w:color w:val="auto"/>
                <w:u w:val="none"/>
                <w:lang w:val="en-US"/>
              </w:rPr>
            </w:pPr>
            <w:r>
              <w:rPr>
                <w:rFonts w:hint="default" w:ascii="Times New Roman" w:hAnsi="Times New Roman" w:eastAsia="宋体" w:cs="Times New Roman"/>
                <w:b/>
                <w:bCs/>
                <w:i w:val="0"/>
                <w:iCs w:val="0"/>
                <w:color w:val="auto"/>
                <w:kern w:val="0"/>
                <w:sz w:val="24"/>
                <w:szCs w:val="24"/>
                <w:u w:val="none"/>
                <w:lang w:val="en-US" w:eastAsia="zh-CN" w:bidi="ar"/>
              </w:rPr>
              <w:t>284</w:t>
            </w:r>
            <w:r>
              <w:rPr>
                <w:rFonts w:hint="eastAsia" w:ascii="Times New Roman" w:hAnsi="Times New Roman" w:eastAsia="宋体" w:cs="Times New Roman"/>
                <w:b/>
                <w:bCs/>
                <w:i w:val="0"/>
                <w:iCs w:val="0"/>
                <w:color w:val="auto"/>
                <w:kern w:val="0"/>
                <w:sz w:val="24"/>
                <w:szCs w:val="24"/>
                <w:u w:val="none"/>
                <w:lang w:val="en-US" w:eastAsia="zh-CN" w:bidi="ar"/>
              </w:rPr>
              <w:t>57</w:t>
            </w:r>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1" w:firstLineChars="100"/>
              <w:jc w:val="center"/>
              <w:textAlignment w:val="center"/>
              <w:rPr>
                <w:rFonts w:ascii="Times New Roman" w:hAnsi="Times New Roman" w:cs="Times New Roman"/>
                <w:b/>
                <w:bCs/>
                <w:color w:val="auto"/>
                <w:u w:val="none"/>
              </w:rPr>
            </w:pPr>
            <w:r>
              <w:rPr>
                <w:rFonts w:hint="default" w:ascii="Times New Roman" w:hAnsi="Times New Roman" w:eastAsia="宋体" w:cs="Times New Roman"/>
                <w:b/>
                <w:bCs/>
                <w:i w:val="0"/>
                <w:iCs w:val="0"/>
                <w:color w:val="auto"/>
                <w:kern w:val="0"/>
                <w:sz w:val="24"/>
                <w:szCs w:val="24"/>
                <w:u w:val="none"/>
                <w:lang w:val="en-US" w:eastAsia="zh-CN" w:bidi="ar"/>
              </w:rPr>
              <w:t>42240</w:t>
            </w:r>
            <w:r>
              <w:rPr>
                <w:rFonts w:hint="eastAsia" w:ascii="Times New Roman" w:hAnsi="Times New Roman" w:eastAsia="宋体" w:cs="Times New Roman"/>
                <w:b/>
                <w:bCs/>
                <w:i w:val="0"/>
                <w:iCs w:val="0"/>
                <w:color w:val="auto"/>
                <w:kern w:val="0"/>
                <w:sz w:val="24"/>
                <w:szCs w:val="24"/>
                <w:u w:val="none"/>
                <w:lang w:val="en-US" w:eastAsia="zh-CN" w:bidi="ar"/>
              </w:rPr>
              <w:t>2</w:t>
            </w:r>
          </w:p>
        </w:tc>
      </w:tr>
    </w:tbl>
    <w:p>
      <w:pPr>
        <w:rPr>
          <w:rFonts w:ascii="Times New Roman" w:hAnsi="Times New Roman" w:eastAsia="黑体" w:cs="Times New Roman"/>
          <w:color w:val="auto"/>
          <w:sz w:val="32"/>
          <w:szCs w:val="32"/>
          <w:u w:val="none"/>
        </w:rPr>
      </w:pPr>
      <w:r>
        <w:rPr>
          <w:rFonts w:ascii="Times New Roman" w:hAnsi="Times New Roman" w:eastAsia="宋体" w:cs="Times New Roman"/>
          <w:b/>
          <w:bCs/>
          <w:color w:val="auto"/>
          <w:kern w:val="0"/>
          <w:sz w:val="52"/>
          <w:szCs w:val="52"/>
          <w:u w:val="none"/>
        </w:rPr>
        <w:br w:type="page"/>
      </w:r>
    </w:p>
    <w:p>
      <w:pPr>
        <w:pStyle w:val="2"/>
        <w:jc w:val="both"/>
        <w:rPr>
          <w:rFonts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表3</w:t>
      </w:r>
    </w:p>
    <w:p>
      <w:pPr>
        <w:pStyle w:val="2"/>
        <w:jc w:val="center"/>
        <w:rPr>
          <w:rFonts w:ascii="方正小标宋简体" w:hAnsi="方正小标宋简体" w:eastAsia="方正小标宋简体" w:cs="方正小标宋简体"/>
          <w:b w:val="0"/>
          <w:bCs w:val="0"/>
          <w:i w:val="0"/>
          <w:iCs w:val="0"/>
          <w:color w:val="auto"/>
          <w:kern w:val="0"/>
          <w:sz w:val="36"/>
          <w:szCs w:val="36"/>
          <w:u w:val="none"/>
          <w:lang w:val="en-US" w:eastAsia="zh-CN" w:bidi="ar"/>
        </w:rPr>
      </w:pPr>
      <w:r>
        <w:rPr>
          <w:rFonts w:hint="default" w:ascii="Times New Roman" w:hAnsi="Times New Roman" w:eastAsia="宋体" w:cs="Times New Roman"/>
          <w:b w:val="0"/>
          <w:bCs w:val="0"/>
          <w:i w:val="0"/>
          <w:iCs w:val="0"/>
          <w:color w:val="auto"/>
          <w:kern w:val="0"/>
          <w:sz w:val="36"/>
          <w:szCs w:val="36"/>
          <w:u w:val="none"/>
          <w:lang w:val="en-US" w:eastAsia="zh-CN" w:bidi="ar"/>
        </w:rPr>
        <w:t>2025</w:t>
      </w:r>
      <w:r>
        <w:rPr>
          <w:rFonts w:ascii="方正小标宋简体" w:hAnsi="方正小标宋简体" w:eastAsia="方正小标宋简体" w:cs="方正小标宋简体"/>
          <w:b w:val="0"/>
          <w:bCs w:val="0"/>
          <w:i w:val="0"/>
          <w:iCs w:val="0"/>
          <w:color w:val="auto"/>
          <w:kern w:val="0"/>
          <w:sz w:val="36"/>
          <w:szCs w:val="36"/>
          <w:u w:val="none"/>
          <w:lang w:val="en-US" w:eastAsia="zh-CN" w:bidi="ar"/>
        </w:rPr>
        <w:t>年茶陵县政府性基金预算收支（草案）表</w:t>
      </w:r>
    </w:p>
    <w:p>
      <w:pPr>
        <w:pStyle w:val="2"/>
        <w:jc w:val="right"/>
        <w:rPr>
          <w:rFonts w:ascii="Times New Roman" w:hAnsi="Times New Roman" w:eastAsia="黑体" w:cs="Times New Roman"/>
          <w:color w:val="auto"/>
          <w:sz w:val="32"/>
          <w:szCs w:val="32"/>
          <w:u w:val="none"/>
        </w:rPr>
      </w:pPr>
      <w:r>
        <w:rPr>
          <w:rFonts w:hint="eastAsia" w:ascii="宋体" w:hAnsi="宋体" w:eastAsia="宋体" w:cs="宋体"/>
          <w:i w:val="0"/>
          <w:iCs w:val="0"/>
          <w:color w:val="auto"/>
          <w:kern w:val="0"/>
          <w:sz w:val="22"/>
          <w:szCs w:val="22"/>
          <w:u w:val="none"/>
          <w:lang w:val="en-US" w:eastAsia="zh-CN" w:bidi="ar"/>
        </w:rPr>
        <w:t>单位：万元</w:t>
      </w:r>
    </w:p>
    <w:tbl>
      <w:tblPr>
        <w:tblStyle w:val="12"/>
        <w:tblW w:w="9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8"/>
        <w:gridCol w:w="1156"/>
        <w:gridCol w:w="3684"/>
        <w:gridCol w:w="1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收入</w:t>
            </w:r>
          </w:p>
        </w:tc>
        <w:tc>
          <w:tcPr>
            <w:tcW w:w="5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项目名称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2025年预算数</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项目名称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4"/>
                <w:szCs w:val="24"/>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一、城乡社区支出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1、国有土地使用权出让收入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1、国有土地使用权出让收入及对应专项债务收入安排的支出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2、收回尾欠款</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其中：地方政府专项债券利息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3、处置地面资产（含土地）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隐性债务财政付息</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4、城市基础设施配套费收入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政府性基金其他支出资金（自然资源事务管理经费400万元）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5、污水处理费收入</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2、城市基础设施配套费及对应专项债务收入安排的支出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4"/>
                <w:szCs w:val="24"/>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3、污水处理费及对应专项债务收入安排的支出</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政府性基金收入总计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政府性基金支出总计</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31500</w:t>
            </w:r>
          </w:p>
        </w:tc>
      </w:tr>
    </w:tbl>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hint="eastAsia"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表</w:t>
      </w:r>
      <w:r>
        <w:rPr>
          <w:rFonts w:hint="eastAsia" w:ascii="Times New Roman" w:hAnsi="Times New Roman" w:eastAsia="黑体" w:cs="Times New Roman"/>
          <w:color w:val="auto"/>
          <w:sz w:val="32"/>
          <w:szCs w:val="32"/>
          <w:u w:val="none"/>
        </w:rPr>
        <w:t>4</w:t>
      </w:r>
    </w:p>
    <w:p>
      <w:pPr>
        <w:pStyle w:val="2"/>
        <w:jc w:val="center"/>
        <w:rPr>
          <w:rFonts w:ascii="方正小标宋简体" w:hAnsi="方正小标宋简体" w:eastAsia="方正小标宋简体" w:cs="方正小标宋简体"/>
          <w:b w:val="0"/>
          <w:bCs w:val="0"/>
          <w:i w:val="0"/>
          <w:iCs w:val="0"/>
          <w:color w:val="auto"/>
          <w:kern w:val="0"/>
          <w:sz w:val="36"/>
          <w:szCs w:val="36"/>
          <w:u w:val="none"/>
          <w:lang w:val="en-US" w:eastAsia="zh-CN" w:bidi="ar"/>
        </w:rPr>
      </w:pPr>
      <w:r>
        <w:rPr>
          <w:rStyle w:val="34"/>
          <w:rFonts w:eastAsia="宋体"/>
          <w:b w:val="0"/>
          <w:bCs w:val="0"/>
          <w:color w:val="auto"/>
          <w:sz w:val="36"/>
          <w:szCs w:val="36"/>
          <w:u w:val="none"/>
          <w:lang w:val="en-US" w:eastAsia="zh-CN" w:bidi="ar"/>
        </w:rPr>
        <w:t>2025</w:t>
      </w:r>
      <w:r>
        <w:rPr>
          <w:rFonts w:ascii="方正小标宋简体" w:hAnsi="方正小标宋简体" w:eastAsia="方正小标宋简体" w:cs="方正小标宋简体"/>
          <w:b w:val="0"/>
          <w:bCs w:val="0"/>
          <w:i w:val="0"/>
          <w:iCs w:val="0"/>
          <w:color w:val="auto"/>
          <w:kern w:val="0"/>
          <w:sz w:val="36"/>
          <w:szCs w:val="36"/>
          <w:u w:val="none"/>
          <w:lang w:val="en-US" w:eastAsia="zh-CN" w:bidi="ar"/>
        </w:rPr>
        <w:t>年茶陵县国有资本经营预算收支（草案）表</w:t>
      </w:r>
    </w:p>
    <w:p>
      <w:pPr>
        <w:pStyle w:val="2"/>
        <w:ind w:right="-307" w:rightChars="-146"/>
        <w:jc w:val="right"/>
        <w:rPr>
          <w:rFonts w:ascii="Times New Roman" w:hAnsi="Times New Roman" w:eastAsia="黑体" w:cs="Times New Roman"/>
          <w:b w:val="0"/>
          <w:bCs w:val="0"/>
          <w:color w:val="auto"/>
          <w:sz w:val="36"/>
          <w:szCs w:val="36"/>
          <w:u w:val="none"/>
        </w:rPr>
      </w:pPr>
      <w:r>
        <w:rPr>
          <w:rStyle w:val="35"/>
          <w:rFonts w:hAnsi="Times New Roman"/>
          <w:color w:val="auto"/>
          <w:u w:val="none"/>
          <w:lang w:val="en-US" w:eastAsia="zh-CN" w:bidi="ar"/>
        </w:rPr>
        <w:t>单位：万元</w:t>
      </w:r>
    </w:p>
    <w:tbl>
      <w:tblPr>
        <w:tblStyle w:val="12"/>
        <w:tblW w:w="95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3405"/>
        <w:gridCol w:w="1062"/>
        <w:gridCol w:w="800"/>
        <w:gridCol w:w="1975"/>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5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国有资本经营预算收入</w:t>
            </w:r>
          </w:p>
        </w:tc>
        <w:tc>
          <w:tcPr>
            <w:tcW w:w="3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科目代码</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预算科目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2025年预算数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科目代码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预算科目（支出项目名称）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2025年预算数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auto"/>
                <w:sz w:val="21"/>
                <w:szCs w:val="21"/>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一、本年收入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55318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一、本年支出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1030601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电力企业利润收入（龙下灌区）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22399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其他国有资本经营预算支出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1030602</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国有参股公司股利、股息收入（洣水集团）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国有企业资本金注入（洣水集团）</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1030603</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国有产权转让收入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国有资本经营预算调出资金</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1030604</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清算收入</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1030698</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其他国有资本经营收入（①（洣水集团）砂石销售收入</w:t>
            </w:r>
            <w:r>
              <w:rPr>
                <w:rFonts w:hint="eastAsia" w:asciiTheme="minorEastAsia" w:hAnsiTheme="minorEastAsia" w:cstheme="minorEastAsia"/>
                <w:i w:val="0"/>
                <w:iCs w:val="0"/>
                <w:color w:val="auto"/>
                <w:kern w:val="0"/>
                <w:sz w:val="21"/>
                <w:szCs w:val="21"/>
                <w:u w:val="none"/>
                <w:lang w:val="en-US" w:eastAsia="zh-CN" w:bidi="ar"/>
              </w:rPr>
              <w:t>100</w:t>
            </w:r>
            <w:r>
              <w:rPr>
                <w:rFonts w:hint="eastAsia" w:asciiTheme="minorEastAsia" w:hAnsiTheme="minorEastAsia" w:eastAsiaTheme="minorEastAsia" w:cstheme="minorEastAsia"/>
                <w:i w:val="0"/>
                <w:iCs w:val="0"/>
                <w:color w:val="auto"/>
                <w:kern w:val="0"/>
                <w:sz w:val="21"/>
                <w:szCs w:val="21"/>
                <w:u w:val="none"/>
                <w:lang w:val="en-US" w:eastAsia="zh-CN" w:bidi="ar"/>
              </w:rPr>
              <w:t>00万元，②（洣水集团）行政事业单位租金收入400万元，③（龙下局）右岸电站扶贫收益金193.6万元，④户外充电桩经营权出让收入10000万元（株洲市市区2023年已出让；先进案例株洲市），⑤</w:t>
            </w:r>
            <w:r>
              <w:rPr>
                <w:rFonts w:hint="eastAsia" w:asciiTheme="minorEastAsia" w:hAnsiTheme="minorEastAsia" w:cstheme="minorEastAsia"/>
                <w:i w:val="0"/>
                <w:iCs w:val="0"/>
                <w:color w:val="auto"/>
                <w:kern w:val="0"/>
                <w:sz w:val="21"/>
                <w:szCs w:val="21"/>
                <w:u w:val="none"/>
                <w:lang w:val="en-US" w:eastAsia="zh-CN" w:bidi="ar"/>
              </w:rPr>
              <w:t>其他</w:t>
            </w:r>
            <w:r>
              <w:rPr>
                <w:rFonts w:hint="eastAsia" w:asciiTheme="minorEastAsia" w:hAnsiTheme="minorEastAsia" w:eastAsiaTheme="minorEastAsia" w:cstheme="minorEastAsia"/>
                <w:i w:val="0"/>
                <w:iCs w:val="0"/>
                <w:color w:val="auto"/>
                <w:kern w:val="0"/>
                <w:sz w:val="21"/>
                <w:szCs w:val="21"/>
                <w:u w:val="none"/>
                <w:lang w:val="en-US" w:eastAsia="zh-CN" w:bidi="ar"/>
              </w:rPr>
              <w:t>使用权出让收入</w:t>
            </w:r>
            <w:r>
              <w:rPr>
                <w:rFonts w:hint="eastAsia" w:asciiTheme="minorEastAsia" w:hAnsiTheme="minorEastAsia" w:cstheme="minorEastAsia"/>
                <w:i w:val="0"/>
                <w:iCs w:val="0"/>
                <w:color w:val="auto"/>
                <w:kern w:val="0"/>
                <w:sz w:val="21"/>
                <w:szCs w:val="21"/>
                <w:u w:val="none"/>
                <w:lang w:val="en-US" w:eastAsia="zh-CN" w:bidi="ar"/>
              </w:rPr>
              <w:t>146</w:t>
            </w:r>
            <w:r>
              <w:rPr>
                <w:rFonts w:hint="eastAsia" w:asciiTheme="minorEastAsia" w:hAnsiTheme="minorEastAsia" w:eastAsiaTheme="minorEastAsia" w:cstheme="minorEastAsia"/>
                <w:i w:val="0"/>
                <w:iCs w:val="0"/>
                <w:color w:val="auto"/>
                <w:kern w:val="0"/>
                <w:sz w:val="21"/>
                <w:szCs w:val="21"/>
                <w:u w:val="none"/>
                <w:lang w:val="en-US" w:eastAsia="zh-CN" w:bidi="ar"/>
              </w:rPr>
              <w:t>00万元，⑥国有林地林权流转收入20000万元（我县云阳林场已流转80000亩，剩余23971亩国有林地林木未流转；先进案例会同县）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55193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1"/>
                <w:szCs w:val="21"/>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二、转移性支出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auto"/>
                <w:sz w:val="21"/>
                <w:szCs w:val="21"/>
                <w:u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二、上年结余</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三、结余</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收入预算总计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55318</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支出预算总计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55318</w:t>
            </w:r>
          </w:p>
        </w:tc>
      </w:tr>
    </w:tbl>
    <w:p>
      <w:pPr>
        <w:pStyle w:val="2"/>
        <w:jc w:val="both"/>
        <w:rPr>
          <w:rFonts w:ascii="Times New Roman" w:hAnsi="Times New Roman" w:eastAsia="黑体" w:cs="Times New Roman"/>
          <w:color w:val="auto"/>
          <w:sz w:val="32"/>
          <w:szCs w:val="32"/>
          <w:u w:val="none"/>
        </w:rPr>
      </w:pPr>
    </w:p>
    <w:p>
      <w:pPr>
        <w:pStyle w:val="2"/>
        <w:jc w:val="both"/>
        <w:rPr>
          <w:rFonts w:ascii="Times New Roman" w:hAnsi="Times New Roman" w:eastAsia="黑体" w:cs="Times New Roman"/>
          <w:color w:val="auto"/>
          <w:sz w:val="32"/>
          <w:szCs w:val="32"/>
          <w:u w:val="none"/>
        </w:rPr>
      </w:pPr>
    </w:p>
    <w:p>
      <w:pPr>
        <w:pStyle w:val="2"/>
        <w:jc w:val="both"/>
        <w:rPr>
          <w:rFonts w:hint="eastAsia" w:ascii="Times New Roman" w:hAnsi="Times New Roman" w:eastAsia="黑体" w:cs="Times New Roman"/>
          <w:color w:val="auto"/>
          <w:sz w:val="32"/>
          <w:szCs w:val="32"/>
          <w:u w:val="none"/>
        </w:rPr>
      </w:pPr>
      <w:r>
        <w:rPr>
          <w:rFonts w:ascii="Times New Roman" w:hAnsi="Times New Roman" w:eastAsia="黑体" w:cs="Times New Roman"/>
          <w:color w:val="auto"/>
          <w:sz w:val="32"/>
          <w:szCs w:val="32"/>
          <w:u w:val="none"/>
        </w:rPr>
        <w:t>表</w:t>
      </w:r>
      <w:r>
        <w:rPr>
          <w:rFonts w:hint="eastAsia" w:ascii="Times New Roman" w:hAnsi="Times New Roman" w:eastAsia="黑体" w:cs="Times New Roman"/>
          <w:color w:val="auto"/>
          <w:sz w:val="32"/>
          <w:szCs w:val="32"/>
          <w:u w:val="none"/>
        </w:rPr>
        <w:t>5</w:t>
      </w:r>
    </w:p>
    <w:p>
      <w:pPr>
        <w:pStyle w:val="2"/>
        <w:jc w:val="center"/>
        <w:rPr>
          <w:rStyle w:val="36"/>
          <w:b w:val="0"/>
          <w:bCs w:val="0"/>
          <w:color w:val="auto"/>
          <w:sz w:val="36"/>
          <w:szCs w:val="36"/>
          <w:u w:val="none"/>
          <w:lang w:val="en-US" w:eastAsia="zh-CN" w:bidi="ar"/>
        </w:rPr>
      </w:pPr>
      <w:r>
        <w:rPr>
          <w:rFonts w:hint="default" w:ascii="Times New Roman" w:hAnsi="Times New Roman" w:eastAsia="宋体" w:cs="Times New Roman"/>
          <w:b w:val="0"/>
          <w:bCs w:val="0"/>
          <w:i w:val="0"/>
          <w:iCs w:val="0"/>
          <w:color w:val="auto"/>
          <w:kern w:val="0"/>
          <w:sz w:val="36"/>
          <w:szCs w:val="36"/>
          <w:u w:val="none"/>
          <w:lang w:val="en-US" w:eastAsia="zh-CN" w:bidi="ar"/>
        </w:rPr>
        <w:t>2025</w:t>
      </w:r>
      <w:r>
        <w:rPr>
          <w:rStyle w:val="36"/>
          <w:b w:val="0"/>
          <w:bCs w:val="0"/>
          <w:color w:val="auto"/>
          <w:sz w:val="36"/>
          <w:szCs w:val="36"/>
          <w:u w:val="none"/>
          <w:lang w:val="en-US" w:eastAsia="zh-CN" w:bidi="ar"/>
        </w:rPr>
        <w:t>年社会保险基金预算</w:t>
      </w:r>
      <w:r>
        <w:rPr>
          <w:rStyle w:val="36"/>
          <w:rFonts w:hint="eastAsia"/>
          <w:b w:val="0"/>
          <w:bCs w:val="0"/>
          <w:color w:val="auto"/>
          <w:sz w:val="36"/>
          <w:szCs w:val="36"/>
          <w:u w:val="none"/>
          <w:lang w:val="en-US" w:eastAsia="zh-CN" w:bidi="ar"/>
        </w:rPr>
        <w:t>收支</w:t>
      </w:r>
      <w:r>
        <w:rPr>
          <w:rStyle w:val="36"/>
          <w:b w:val="0"/>
          <w:bCs w:val="0"/>
          <w:color w:val="auto"/>
          <w:sz w:val="36"/>
          <w:szCs w:val="36"/>
          <w:u w:val="none"/>
          <w:lang w:val="en-US" w:eastAsia="zh-CN" w:bidi="ar"/>
        </w:rPr>
        <w:t>（草案）表</w:t>
      </w:r>
    </w:p>
    <w:p>
      <w:pPr>
        <w:pStyle w:val="2"/>
        <w:jc w:val="right"/>
        <w:rPr>
          <w:rFonts w:ascii="Times New Roman" w:hAnsi="Times New Roman" w:eastAsia="黑体" w:cs="Times New Roman"/>
          <w:color w:val="auto"/>
          <w:sz w:val="32"/>
          <w:szCs w:val="32"/>
          <w:u w:val="none"/>
        </w:rPr>
      </w:pPr>
      <w:r>
        <w:rPr>
          <w:rFonts w:hint="eastAsia" w:ascii="宋体" w:hAnsi="宋体" w:eastAsia="宋体" w:cs="宋体"/>
          <w:i w:val="0"/>
          <w:iCs w:val="0"/>
          <w:color w:val="auto"/>
          <w:kern w:val="0"/>
          <w:sz w:val="24"/>
          <w:szCs w:val="24"/>
          <w:u w:val="none"/>
          <w:lang w:val="en-US" w:eastAsia="zh-CN" w:bidi="ar"/>
        </w:rPr>
        <w:t>单位：万元</w:t>
      </w:r>
    </w:p>
    <w:tbl>
      <w:tblPr>
        <w:tblStyle w:val="12"/>
        <w:tblW w:w="9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1176"/>
        <w:gridCol w:w="1535"/>
        <w:gridCol w:w="1350"/>
        <w:gridCol w:w="1656"/>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城乡居民基本养老保险基金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机关事业单位基本养老保险基金</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工伤保险基金</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一、收入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76252.29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33863.29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42389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其中：1、保险费收入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34461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13289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21172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2、财政补贴收入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41225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20388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20837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3、利息收入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375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4、委托投资收益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5、其他收入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0.29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6、转移收入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191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160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7、省级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8、中央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二、支出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64052.09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21703.09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42349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其中：1、社会保险待遇支出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62651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21700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40951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2、其他支出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1311.29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1311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3、转移支出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89.8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87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4、中央</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 xml:space="preserve">  5、省级</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三、本年收支结余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12200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12160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40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四、年末滚存结余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91406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80280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ajorEastAsia" w:hAnsiTheme="majorEastAsia" w:eastAsiaTheme="majorEastAsia" w:cstheme="majorEastAsia"/>
                <w:i w:val="0"/>
                <w:iCs w:val="0"/>
                <w:color w:val="auto"/>
                <w:sz w:val="21"/>
                <w:szCs w:val="21"/>
                <w:u w:val="none"/>
              </w:rPr>
            </w:pPr>
            <w:r>
              <w:rPr>
                <w:rFonts w:hint="eastAsia" w:asciiTheme="majorEastAsia" w:hAnsiTheme="majorEastAsia" w:eastAsiaTheme="majorEastAsia" w:cstheme="majorEastAsia"/>
                <w:i w:val="0"/>
                <w:iCs w:val="0"/>
                <w:color w:val="auto"/>
                <w:kern w:val="0"/>
                <w:sz w:val="21"/>
                <w:szCs w:val="21"/>
                <w:u w:val="none"/>
                <w:lang w:val="en-US" w:eastAsia="zh-CN" w:bidi="ar"/>
              </w:rPr>
              <w:t>11126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ajorEastAsia" w:hAnsiTheme="majorEastAsia" w:eastAsiaTheme="majorEastAsia" w:cstheme="majorEastAsia"/>
                <w:i w:val="0"/>
                <w:iCs w:val="0"/>
                <w:color w:val="auto"/>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ajorEastAsia" w:hAnsiTheme="majorEastAsia" w:eastAsiaTheme="majorEastAsia" w:cstheme="majorEastAsia"/>
                <w:i w:val="0"/>
                <w:iCs w:val="0"/>
                <w:color w:val="auto"/>
                <w:sz w:val="21"/>
                <w:szCs w:val="21"/>
                <w:u w:val="none"/>
              </w:rPr>
            </w:pPr>
          </w:p>
        </w:tc>
      </w:tr>
    </w:tbl>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p>
    <w:sectPr>
      <w:footerReference r:id="rId3" w:type="default"/>
      <w:pgSz w:w="11906" w:h="16838"/>
      <w:pgMar w:top="1814" w:right="1474" w:bottom="1814" w:left="1474"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Pr>
                        <w:rFonts w:ascii="Times New Roman" w:hAnsi="Times New Roman" w:cs="Times New Roman"/>
                        <w:sz w:val="21"/>
                        <w:szCs w:val="32"/>
                      </w:rPr>
                      <w:t>45</w:t>
                    </w:r>
                    <w:r>
                      <w:rPr>
                        <w:rFonts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MWYwMjk5NjYwNGJlNzU0ZTU4ZjJhZDM5ZDc2MDEifQ=="/>
  </w:docVars>
  <w:rsids>
    <w:rsidRoot w:val="00E26F04"/>
    <w:rsid w:val="001B30F1"/>
    <w:rsid w:val="005874A0"/>
    <w:rsid w:val="00941B35"/>
    <w:rsid w:val="009C4A59"/>
    <w:rsid w:val="00D6150D"/>
    <w:rsid w:val="00E05F53"/>
    <w:rsid w:val="00E26F04"/>
    <w:rsid w:val="011E14C4"/>
    <w:rsid w:val="017C2A7F"/>
    <w:rsid w:val="018B12D0"/>
    <w:rsid w:val="01B87BAA"/>
    <w:rsid w:val="023870D5"/>
    <w:rsid w:val="023F2212"/>
    <w:rsid w:val="0267226A"/>
    <w:rsid w:val="028A2CD6"/>
    <w:rsid w:val="02AF33BB"/>
    <w:rsid w:val="02B55949"/>
    <w:rsid w:val="02BB1328"/>
    <w:rsid w:val="03A72764"/>
    <w:rsid w:val="03B6017D"/>
    <w:rsid w:val="04514B1F"/>
    <w:rsid w:val="04944DB6"/>
    <w:rsid w:val="05B34DFE"/>
    <w:rsid w:val="05FA08F2"/>
    <w:rsid w:val="060E09A9"/>
    <w:rsid w:val="06296507"/>
    <w:rsid w:val="06500B62"/>
    <w:rsid w:val="06733058"/>
    <w:rsid w:val="06C96073"/>
    <w:rsid w:val="06E3206B"/>
    <w:rsid w:val="06F85085"/>
    <w:rsid w:val="07245E7A"/>
    <w:rsid w:val="080A1514"/>
    <w:rsid w:val="085E7580"/>
    <w:rsid w:val="0870406A"/>
    <w:rsid w:val="089356DD"/>
    <w:rsid w:val="08C94845"/>
    <w:rsid w:val="092A7456"/>
    <w:rsid w:val="0995305F"/>
    <w:rsid w:val="09D826CE"/>
    <w:rsid w:val="0A7964DD"/>
    <w:rsid w:val="0A982E07"/>
    <w:rsid w:val="0AE0655C"/>
    <w:rsid w:val="0B1F7084"/>
    <w:rsid w:val="0BB27EF8"/>
    <w:rsid w:val="0BB46AA5"/>
    <w:rsid w:val="0C4C20FB"/>
    <w:rsid w:val="0C7332ED"/>
    <w:rsid w:val="0CF23561"/>
    <w:rsid w:val="0D0B3BD5"/>
    <w:rsid w:val="0DB13A5F"/>
    <w:rsid w:val="0DD8176C"/>
    <w:rsid w:val="0E1E1C73"/>
    <w:rsid w:val="0E323572"/>
    <w:rsid w:val="0E4017EB"/>
    <w:rsid w:val="0E424515"/>
    <w:rsid w:val="0EB07010"/>
    <w:rsid w:val="0EB11129"/>
    <w:rsid w:val="0EC046DA"/>
    <w:rsid w:val="0EC248F6"/>
    <w:rsid w:val="0EC95C85"/>
    <w:rsid w:val="0F1B23EE"/>
    <w:rsid w:val="0F29292B"/>
    <w:rsid w:val="0F3E37B7"/>
    <w:rsid w:val="0F977A24"/>
    <w:rsid w:val="0FFF1BC7"/>
    <w:rsid w:val="10015DA3"/>
    <w:rsid w:val="102E5529"/>
    <w:rsid w:val="10A4468A"/>
    <w:rsid w:val="1102722C"/>
    <w:rsid w:val="11DF131B"/>
    <w:rsid w:val="11EE77B0"/>
    <w:rsid w:val="12C642E5"/>
    <w:rsid w:val="12D76496"/>
    <w:rsid w:val="130C6140"/>
    <w:rsid w:val="134F427F"/>
    <w:rsid w:val="13961EAE"/>
    <w:rsid w:val="13CC057A"/>
    <w:rsid w:val="13CE24B4"/>
    <w:rsid w:val="14734001"/>
    <w:rsid w:val="149F1482"/>
    <w:rsid w:val="14EE1EB9"/>
    <w:rsid w:val="151E09FE"/>
    <w:rsid w:val="153761BC"/>
    <w:rsid w:val="155C3BB1"/>
    <w:rsid w:val="15727405"/>
    <w:rsid w:val="15B94704"/>
    <w:rsid w:val="15D942D4"/>
    <w:rsid w:val="161167C5"/>
    <w:rsid w:val="167A7865"/>
    <w:rsid w:val="169D0708"/>
    <w:rsid w:val="16B44D45"/>
    <w:rsid w:val="17E2538F"/>
    <w:rsid w:val="17EF6030"/>
    <w:rsid w:val="180748DC"/>
    <w:rsid w:val="180C18D0"/>
    <w:rsid w:val="181310F8"/>
    <w:rsid w:val="18502F73"/>
    <w:rsid w:val="18626984"/>
    <w:rsid w:val="186E51A7"/>
    <w:rsid w:val="187136CC"/>
    <w:rsid w:val="187D53EA"/>
    <w:rsid w:val="18CF0D54"/>
    <w:rsid w:val="18F27948"/>
    <w:rsid w:val="191F64A1"/>
    <w:rsid w:val="1954439D"/>
    <w:rsid w:val="19592637"/>
    <w:rsid w:val="19B65058"/>
    <w:rsid w:val="19C37774"/>
    <w:rsid w:val="19E452C4"/>
    <w:rsid w:val="1A2C77DE"/>
    <w:rsid w:val="1A7B1DFD"/>
    <w:rsid w:val="1AA4567E"/>
    <w:rsid w:val="1AF10380"/>
    <w:rsid w:val="1AFE62E1"/>
    <w:rsid w:val="1B290311"/>
    <w:rsid w:val="1B6108CA"/>
    <w:rsid w:val="1B735C9E"/>
    <w:rsid w:val="1B801FC6"/>
    <w:rsid w:val="1BC96A52"/>
    <w:rsid w:val="1BD143CB"/>
    <w:rsid w:val="1BE44D71"/>
    <w:rsid w:val="1C9C4DED"/>
    <w:rsid w:val="1CDD6D9F"/>
    <w:rsid w:val="1D240282"/>
    <w:rsid w:val="1D2D73DF"/>
    <w:rsid w:val="1DA177EB"/>
    <w:rsid w:val="1DB25B36"/>
    <w:rsid w:val="1DD53416"/>
    <w:rsid w:val="1DE915B2"/>
    <w:rsid w:val="1E6A5B9C"/>
    <w:rsid w:val="1EA17214"/>
    <w:rsid w:val="1EDB4145"/>
    <w:rsid w:val="1EFE587E"/>
    <w:rsid w:val="1F09007C"/>
    <w:rsid w:val="1F59654B"/>
    <w:rsid w:val="202D32CC"/>
    <w:rsid w:val="20783067"/>
    <w:rsid w:val="208F03B0"/>
    <w:rsid w:val="20943C19"/>
    <w:rsid w:val="209854B7"/>
    <w:rsid w:val="20C04A0E"/>
    <w:rsid w:val="20EF2BFD"/>
    <w:rsid w:val="211E32CF"/>
    <w:rsid w:val="21224918"/>
    <w:rsid w:val="215D5E4B"/>
    <w:rsid w:val="21DB5DD1"/>
    <w:rsid w:val="21F26E49"/>
    <w:rsid w:val="222300C9"/>
    <w:rsid w:val="22617B2B"/>
    <w:rsid w:val="22821F7B"/>
    <w:rsid w:val="229C2D82"/>
    <w:rsid w:val="22AF0896"/>
    <w:rsid w:val="22E42C35"/>
    <w:rsid w:val="230D749F"/>
    <w:rsid w:val="232B76C9"/>
    <w:rsid w:val="233A0AA7"/>
    <w:rsid w:val="233C211C"/>
    <w:rsid w:val="2349220A"/>
    <w:rsid w:val="23543760"/>
    <w:rsid w:val="23671171"/>
    <w:rsid w:val="23863CED"/>
    <w:rsid w:val="23865D37"/>
    <w:rsid w:val="238A4F99"/>
    <w:rsid w:val="23DE7685"/>
    <w:rsid w:val="242D5F16"/>
    <w:rsid w:val="24704055"/>
    <w:rsid w:val="24861ACA"/>
    <w:rsid w:val="24912EED"/>
    <w:rsid w:val="24BD675A"/>
    <w:rsid w:val="24C85C3F"/>
    <w:rsid w:val="24E03231"/>
    <w:rsid w:val="259879F8"/>
    <w:rsid w:val="2601765A"/>
    <w:rsid w:val="262F241A"/>
    <w:rsid w:val="263D14C7"/>
    <w:rsid w:val="264660BC"/>
    <w:rsid w:val="26F35398"/>
    <w:rsid w:val="275525FD"/>
    <w:rsid w:val="27802801"/>
    <w:rsid w:val="27A401A2"/>
    <w:rsid w:val="287F5F9F"/>
    <w:rsid w:val="28C17575"/>
    <w:rsid w:val="28D252DE"/>
    <w:rsid w:val="299B6018"/>
    <w:rsid w:val="29EB2AFB"/>
    <w:rsid w:val="29FA0F90"/>
    <w:rsid w:val="2A6E7289"/>
    <w:rsid w:val="2A930DCD"/>
    <w:rsid w:val="2B125E66"/>
    <w:rsid w:val="2B902D8F"/>
    <w:rsid w:val="2BB331A5"/>
    <w:rsid w:val="2BBC6ACE"/>
    <w:rsid w:val="2BCA6741"/>
    <w:rsid w:val="2BD10B3A"/>
    <w:rsid w:val="2BFA5CD2"/>
    <w:rsid w:val="2BFC1E32"/>
    <w:rsid w:val="2C2D623D"/>
    <w:rsid w:val="2C8678A7"/>
    <w:rsid w:val="2C893E25"/>
    <w:rsid w:val="2CAD5199"/>
    <w:rsid w:val="2CD961EF"/>
    <w:rsid w:val="2D250DF9"/>
    <w:rsid w:val="2D7C0659"/>
    <w:rsid w:val="2DAD17FB"/>
    <w:rsid w:val="2E7C1194"/>
    <w:rsid w:val="2E8D6E41"/>
    <w:rsid w:val="2F071E20"/>
    <w:rsid w:val="2F61560E"/>
    <w:rsid w:val="2F987ED7"/>
    <w:rsid w:val="2FDB4C6B"/>
    <w:rsid w:val="2FF12F39"/>
    <w:rsid w:val="300466C5"/>
    <w:rsid w:val="304F36B8"/>
    <w:rsid w:val="30CD4DEA"/>
    <w:rsid w:val="313B1C69"/>
    <w:rsid w:val="31466FC4"/>
    <w:rsid w:val="314F3AEB"/>
    <w:rsid w:val="316E7B6E"/>
    <w:rsid w:val="318C401D"/>
    <w:rsid w:val="318D30F7"/>
    <w:rsid w:val="321D5FD9"/>
    <w:rsid w:val="32786EF6"/>
    <w:rsid w:val="32865459"/>
    <w:rsid w:val="328A6C2A"/>
    <w:rsid w:val="32987598"/>
    <w:rsid w:val="32B16E09"/>
    <w:rsid w:val="32CC3DD2"/>
    <w:rsid w:val="32CE6B16"/>
    <w:rsid w:val="33087AD0"/>
    <w:rsid w:val="334D5380"/>
    <w:rsid w:val="336F6D78"/>
    <w:rsid w:val="33D11C8E"/>
    <w:rsid w:val="341E587B"/>
    <w:rsid w:val="34DA79F4"/>
    <w:rsid w:val="34FB796B"/>
    <w:rsid w:val="351C14B3"/>
    <w:rsid w:val="35243365"/>
    <w:rsid w:val="35494B7A"/>
    <w:rsid w:val="357D65D2"/>
    <w:rsid w:val="357E3EFC"/>
    <w:rsid w:val="35A05A0C"/>
    <w:rsid w:val="35A06DAC"/>
    <w:rsid w:val="35AE3C81"/>
    <w:rsid w:val="35B73253"/>
    <w:rsid w:val="35CB558F"/>
    <w:rsid w:val="35E46651"/>
    <w:rsid w:val="361A094E"/>
    <w:rsid w:val="365279A9"/>
    <w:rsid w:val="36E617CB"/>
    <w:rsid w:val="371A057C"/>
    <w:rsid w:val="372D6FE6"/>
    <w:rsid w:val="373C3BA7"/>
    <w:rsid w:val="37A75490"/>
    <w:rsid w:val="3817777D"/>
    <w:rsid w:val="38327B47"/>
    <w:rsid w:val="38477753"/>
    <w:rsid w:val="38586DA4"/>
    <w:rsid w:val="385E6B8E"/>
    <w:rsid w:val="3872749D"/>
    <w:rsid w:val="38D3486A"/>
    <w:rsid w:val="393B27E8"/>
    <w:rsid w:val="39C66799"/>
    <w:rsid w:val="39F37C60"/>
    <w:rsid w:val="3A0B29AF"/>
    <w:rsid w:val="3A131654"/>
    <w:rsid w:val="3AAB22D5"/>
    <w:rsid w:val="3AD2116E"/>
    <w:rsid w:val="3AD76784"/>
    <w:rsid w:val="3B8141AF"/>
    <w:rsid w:val="3BB865B6"/>
    <w:rsid w:val="3C3A521C"/>
    <w:rsid w:val="3C5069FC"/>
    <w:rsid w:val="3C8B3CCA"/>
    <w:rsid w:val="3CBA4944"/>
    <w:rsid w:val="3D235F5B"/>
    <w:rsid w:val="3D4C7FA7"/>
    <w:rsid w:val="3D6E1430"/>
    <w:rsid w:val="3D9B618F"/>
    <w:rsid w:val="3DAD4463"/>
    <w:rsid w:val="3DBD769F"/>
    <w:rsid w:val="3DE03BA2"/>
    <w:rsid w:val="3E2607ED"/>
    <w:rsid w:val="3E352D7B"/>
    <w:rsid w:val="3E8B7FB1"/>
    <w:rsid w:val="3E9A6446"/>
    <w:rsid w:val="3EFE4C27"/>
    <w:rsid w:val="3F170A05"/>
    <w:rsid w:val="3F5E1222"/>
    <w:rsid w:val="3FAF1A7E"/>
    <w:rsid w:val="40167D4F"/>
    <w:rsid w:val="40224AF8"/>
    <w:rsid w:val="403326AF"/>
    <w:rsid w:val="40B732E0"/>
    <w:rsid w:val="40DE75EE"/>
    <w:rsid w:val="40E27CC8"/>
    <w:rsid w:val="40E51BFB"/>
    <w:rsid w:val="41036525"/>
    <w:rsid w:val="41202C33"/>
    <w:rsid w:val="415200D0"/>
    <w:rsid w:val="42152356"/>
    <w:rsid w:val="421D3C7F"/>
    <w:rsid w:val="423746D8"/>
    <w:rsid w:val="424961B9"/>
    <w:rsid w:val="42925DB2"/>
    <w:rsid w:val="43757B5B"/>
    <w:rsid w:val="43851473"/>
    <w:rsid w:val="4400733E"/>
    <w:rsid w:val="4448459A"/>
    <w:rsid w:val="44B30262"/>
    <w:rsid w:val="44E421C9"/>
    <w:rsid w:val="45163644"/>
    <w:rsid w:val="45474EE2"/>
    <w:rsid w:val="45A232CD"/>
    <w:rsid w:val="46203B73"/>
    <w:rsid w:val="46780E1B"/>
    <w:rsid w:val="46DC75FC"/>
    <w:rsid w:val="472104F5"/>
    <w:rsid w:val="47215957"/>
    <w:rsid w:val="473A439A"/>
    <w:rsid w:val="473B3395"/>
    <w:rsid w:val="47994A2E"/>
    <w:rsid w:val="47EA03B1"/>
    <w:rsid w:val="48783354"/>
    <w:rsid w:val="488E1A9C"/>
    <w:rsid w:val="48C447EC"/>
    <w:rsid w:val="48F94ED4"/>
    <w:rsid w:val="491F1A22"/>
    <w:rsid w:val="492658EC"/>
    <w:rsid w:val="49B22896"/>
    <w:rsid w:val="49B54134"/>
    <w:rsid w:val="4A176B9D"/>
    <w:rsid w:val="4ADB406F"/>
    <w:rsid w:val="4AE90539"/>
    <w:rsid w:val="4B7037F9"/>
    <w:rsid w:val="4BB24F24"/>
    <w:rsid w:val="4C471511"/>
    <w:rsid w:val="4C8C0BFE"/>
    <w:rsid w:val="4DE17281"/>
    <w:rsid w:val="4E035DB6"/>
    <w:rsid w:val="4E2960EB"/>
    <w:rsid w:val="4E2F546C"/>
    <w:rsid w:val="4E5523E4"/>
    <w:rsid w:val="4E5B79A0"/>
    <w:rsid w:val="4E672B89"/>
    <w:rsid w:val="4E9B43F2"/>
    <w:rsid w:val="4EDD2163"/>
    <w:rsid w:val="4EE9060D"/>
    <w:rsid w:val="4F0453D8"/>
    <w:rsid w:val="4F0B1F70"/>
    <w:rsid w:val="4F530677"/>
    <w:rsid w:val="500115C5"/>
    <w:rsid w:val="50332CE3"/>
    <w:rsid w:val="509D6294"/>
    <w:rsid w:val="50B52C6C"/>
    <w:rsid w:val="50C17F5C"/>
    <w:rsid w:val="50C63438"/>
    <w:rsid w:val="51E24A36"/>
    <w:rsid w:val="51F15D90"/>
    <w:rsid w:val="52174742"/>
    <w:rsid w:val="52190FE2"/>
    <w:rsid w:val="522956BF"/>
    <w:rsid w:val="52C00129"/>
    <w:rsid w:val="52C61160"/>
    <w:rsid w:val="52EA12F3"/>
    <w:rsid w:val="53D657FE"/>
    <w:rsid w:val="53E33406"/>
    <w:rsid w:val="54431EF9"/>
    <w:rsid w:val="545D07F6"/>
    <w:rsid w:val="546B0317"/>
    <w:rsid w:val="54C60A84"/>
    <w:rsid w:val="550F5F0F"/>
    <w:rsid w:val="55397E8E"/>
    <w:rsid w:val="558B6D3A"/>
    <w:rsid w:val="55C10852"/>
    <w:rsid w:val="55C670B5"/>
    <w:rsid w:val="55D55EC7"/>
    <w:rsid w:val="55E04670"/>
    <w:rsid w:val="55F0687F"/>
    <w:rsid w:val="563B4A3C"/>
    <w:rsid w:val="566C3ED5"/>
    <w:rsid w:val="568577BE"/>
    <w:rsid w:val="56AB2B47"/>
    <w:rsid w:val="571903F8"/>
    <w:rsid w:val="59080725"/>
    <w:rsid w:val="59140E77"/>
    <w:rsid w:val="594554D5"/>
    <w:rsid w:val="59904470"/>
    <w:rsid w:val="59FA62BF"/>
    <w:rsid w:val="5A04713E"/>
    <w:rsid w:val="5A0F7891"/>
    <w:rsid w:val="5A3317D1"/>
    <w:rsid w:val="5A761091"/>
    <w:rsid w:val="5AAE360B"/>
    <w:rsid w:val="5B51600B"/>
    <w:rsid w:val="5B9E41CC"/>
    <w:rsid w:val="5C441A74"/>
    <w:rsid w:val="5CA949CF"/>
    <w:rsid w:val="5CAC586B"/>
    <w:rsid w:val="5CB40B4C"/>
    <w:rsid w:val="5D3C274B"/>
    <w:rsid w:val="5D5F6439"/>
    <w:rsid w:val="5DA30DE2"/>
    <w:rsid w:val="5E3B2E0F"/>
    <w:rsid w:val="5E4E6830"/>
    <w:rsid w:val="5E577EF0"/>
    <w:rsid w:val="5E6C30C9"/>
    <w:rsid w:val="5EB65908"/>
    <w:rsid w:val="5EF264F9"/>
    <w:rsid w:val="5F77407E"/>
    <w:rsid w:val="5F815200"/>
    <w:rsid w:val="5F845D15"/>
    <w:rsid w:val="5F9E593F"/>
    <w:rsid w:val="5FB21F70"/>
    <w:rsid w:val="5FF91C7A"/>
    <w:rsid w:val="60065292"/>
    <w:rsid w:val="604C539B"/>
    <w:rsid w:val="60653E6F"/>
    <w:rsid w:val="608440B8"/>
    <w:rsid w:val="60D55390"/>
    <w:rsid w:val="61932B55"/>
    <w:rsid w:val="62AF1C11"/>
    <w:rsid w:val="6353242B"/>
    <w:rsid w:val="63DF02D4"/>
    <w:rsid w:val="64153CF6"/>
    <w:rsid w:val="647A1DAB"/>
    <w:rsid w:val="648207A4"/>
    <w:rsid w:val="648D5F82"/>
    <w:rsid w:val="64E773F1"/>
    <w:rsid w:val="64EA7396"/>
    <w:rsid w:val="65242442"/>
    <w:rsid w:val="65544026"/>
    <w:rsid w:val="65C82760"/>
    <w:rsid w:val="65D10135"/>
    <w:rsid w:val="65F93B87"/>
    <w:rsid w:val="6674153C"/>
    <w:rsid w:val="66BE2423"/>
    <w:rsid w:val="67136C12"/>
    <w:rsid w:val="67660E44"/>
    <w:rsid w:val="676905E0"/>
    <w:rsid w:val="67852F40"/>
    <w:rsid w:val="67B11F87"/>
    <w:rsid w:val="67F66F56"/>
    <w:rsid w:val="67F7228C"/>
    <w:rsid w:val="684B23DC"/>
    <w:rsid w:val="688B41A9"/>
    <w:rsid w:val="68910183"/>
    <w:rsid w:val="6917406C"/>
    <w:rsid w:val="6918249D"/>
    <w:rsid w:val="695D78AE"/>
    <w:rsid w:val="69855479"/>
    <w:rsid w:val="6991723B"/>
    <w:rsid w:val="69CF0E9E"/>
    <w:rsid w:val="69D31390"/>
    <w:rsid w:val="69D56401"/>
    <w:rsid w:val="6A7F636D"/>
    <w:rsid w:val="6AC1179B"/>
    <w:rsid w:val="6AD93CCF"/>
    <w:rsid w:val="6B6317EA"/>
    <w:rsid w:val="6B8359E9"/>
    <w:rsid w:val="6B8934B7"/>
    <w:rsid w:val="6BA46F9F"/>
    <w:rsid w:val="6BAD26B6"/>
    <w:rsid w:val="6BB91B0B"/>
    <w:rsid w:val="6C4E35E5"/>
    <w:rsid w:val="6C86465E"/>
    <w:rsid w:val="6CB57E24"/>
    <w:rsid w:val="6CDE381E"/>
    <w:rsid w:val="6D147240"/>
    <w:rsid w:val="6D4C4C2C"/>
    <w:rsid w:val="6D4E47B4"/>
    <w:rsid w:val="6DBD3434"/>
    <w:rsid w:val="6DE85FD7"/>
    <w:rsid w:val="6E606064"/>
    <w:rsid w:val="6EBE684B"/>
    <w:rsid w:val="6F467459"/>
    <w:rsid w:val="6F6A75EB"/>
    <w:rsid w:val="6FA4641A"/>
    <w:rsid w:val="70123442"/>
    <w:rsid w:val="7016507D"/>
    <w:rsid w:val="70B84386"/>
    <w:rsid w:val="71213384"/>
    <w:rsid w:val="713C4FB8"/>
    <w:rsid w:val="713E17FB"/>
    <w:rsid w:val="717B3FBD"/>
    <w:rsid w:val="718F158B"/>
    <w:rsid w:val="71A1309D"/>
    <w:rsid w:val="71C07997"/>
    <w:rsid w:val="71F63B03"/>
    <w:rsid w:val="71FE2F4C"/>
    <w:rsid w:val="722A651C"/>
    <w:rsid w:val="72340912"/>
    <w:rsid w:val="72556331"/>
    <w:rsid w:val="72E66F89"/>
    <w:rsid w:val="73572803"/>
    <w:rsid w:val="73910F80"/>
    <w:rsid w:val="73D47729"/>
    <w:rsid w:val="74004AB1"/>
    <w:rsid w:val="742359B3"/>
    <w:rsid w:val="749D668F"/>
    <w:rsid w:val="74CE0284"/>
    <w:rsid w:val="74F251FD"/>
    <w:rsid w:val="7513273D"/>
    <w:rsid w:val="751B2C17"/>
    <w:rsid w:val="759233F8"/>
    <w:rsid w:val="75A0768A"/>
    <w:rsid w:val="75AB317B"/>
    <w:rsid w:val="76D57A40"/>
    <w:rsid w:val="7703663C"/>
    <w:rsid w:val="771236EF"/>
    <w:rsid w:val="77650D57"/>
    <w:rsid w:val="777A2396"/>
    <w:rsid w:val="77C80759"/>
    <w:rsid w:val="78631E6C"/>
    <w:rsid w:val="78A51A56"/>
    <w:rsid w:val="7935424C"/>
    <w:rsid w:val="795D45C7"/>
    <w:rsid w:val="79636A23"/>
    <w:rsid w:val="79F30FA6"/>
    <w:rsid w:val="79FF3E6E"/>
    <w:rsid w:val="7A043225"/>
    <w:rsid w:val="7A0F14BB"/>
    <w:rsid w:val="7B7612F7"/>
    <w:rsid w:val="7BC776F6"/>
    <w:rsid w:val="7BD16404"/>
    <w:rsid w:val="7BDC361F"/>
    <w:rsid w:val="7BF05773"/>
    <w:rsid w:val="7C5F7DAC"/>
    <w:rsid w:val="7C746FCD"/>
    <w:rsid w:val="7CED3EA5"/>
    <w:rsid w:val="7D065472"/>
    <w:rsid w:val="7D221166"/>
    <w:rsid w:val="7D2F59D0"/>
    <w:rsid w:val="7D4B50A3"/>
    <w:rsid w:val="7D641B1E"/>
    <w:rsid w:val="7D9A5540"/>
    <w:rsid w:val="7DA95783"/>
    <w:rsid w:val="7DC72B12"/>
    <w:rsid w:val="7E070207"/>
    <w:rsid w:val="7E1D1CCD"/>
    <w:rsid w:val="7E7500A3"/>
    <w:rsid w:val="7E945A74"/>
    <w:rsid w:val="7E9D1C20"/>
    <w:rsid w:val="7EC00C29"/>
    <w:rsid w:val="7F2A644F"/>
    <w:rsid w:val="7F72124B"/>
    <w:rsid w:val="7FA867A9"/>
    <w:rsid w:val="7FAC601E"/>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600" w:lineRule="exact"/>
      <w:jc w:val="center"/>
      <w:outlineLvl w:val="0"/>
    </w:pPr>
    <w:rPr>
      <w:rFonts w:eastAsia="方正小标宋简体"/>
      <w:kern w:val="44"/>
      <w:sz w:val="44"/>
    </w:rPr>
  </w:style>
  <w:style w:type="paragraph" w:styleId="3">
    <w:name w:val="heading 2"/>
    <w:basedOn w:val="1"/>
    <w:next w:val="1"/>
    <w:semiHidden/>
    <w:unhideWhenUsed/>
    <w:qFormat/>
    <w:uiPriority w:val="0"/>
    <w:pPr>
      <w:jc w:val="left"/>
      <w:outlineLvl w:val="1"/>
    </w:pPr>
    <w:rPr>
      <w:rFonts w:hint="eastAsia" w:ascii="微软雅黑" w:hAnsi="微软雅黑" w:eastAsia="微软雅黑" w:cs="Times New Roman"/>
      <w:b/>
      <w:bCs/>
      <w:color w:val="333333"/>
      <w:kern w:val="0"/>
      <w:sz w:val="24"/>
    </w:rPr>
  </w:style>
  <w:style w:type="paragraph" w:styleId="4">
    <w:name w:val="heading 4"/>
    <w:basedOn w:val="1"/>
    <w:next w:val="1"/>
    <w:qFormat/>
    <w:uiPriority w:val="0"/>
    <w:pPr>
      <w:keepNext/>
      <w:keepLines/>
      <w:spacing w:line="480" w:lineRule="auto"/>
      <w:jc w:val="center"/>
      <w:outlineLvl w:val="3"/>
    </w:pPr>
    <w:rPr>
      <w:rFonts w:ascii="Arial" w:hAnsi="Arial" w:eastAsia="楷体_GB2312"/>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Calibri" w:hAnsi="Calibri" w:eastAsia="宋体"/>
      <w:sz w:val="18"/>
    </w:rPr>
  </w:style>
  <w:style w:type="paragraph" w:styleId="7">
    <w:name w:val="Body Text Indent"/>
    <w:basedOn w:val="1"/>
    <w:qFormat/>
    <w:uiPriority w:val="0"/>
    <w:pPr>
      <w:spacing w:after="120"/>
      <w:ind w:left="42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textAlignment w:val="center"/>
    </w:pPr>
    <w:rPr>
      <w:rFonts w:hint="eastAsia" w:ascii="微软雅黑" w:hAnsi="微软雅黑" w:eastAsia="微软雅黑" w:cs="Times New Roman"/>
      <w:color w:val="333333"/>
      <w:kern w:val="0"/>
      <w:szCs w:val="21"/>
    </w:rPr>
  </w:style>
  <w:style w:type="paragraph" w:styleId="11">
    <w:name w:val="Body Text First Indent 2"/>
    <w:basedOn w:val="7"/>
    <w:qFormat/>
    <w:uiPriority w:val="0"/>
    <w:pPr>
      <w:ind w:left="0" w:firstLine="420"/>
    </w:pPr>
    <w:rPr>
      <w:rFonts w:ascii="仿宋_GB2312" w:eastAsia="仿宋_GB2312" w:cs="仿宋_GB2312"/>
      <w:sz w:val="32"/>
      <w:szCs w:val="32"/>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微软雅黑" w:hAnsi="微软雅黑" w:eastAsia="微软雅黑" w:cs="微软雅黑"/>
      <w:color w:val="333333"/>
      <w:sz w:val="21"/>
      <w:szCs w:val="21"/>
    </w:rPr>
  </w:style>
  <w:style w:type="character" w:styleId="22">
    <w:name w:val="HTML Cite"/>
    <w:basedOn w:val="13"/>
    <w:qFormat/>
    <w:uiPriority w:val="0"/>
  </w:style>
  <w:style w:type="character" w:customStyle="1" w:styleId="23">
    <w:name w:val="font11"/>
    <w:basedOn w:val="13"/>
    <w:qFormat/>
    <w:uiPriority w:val="0"/>
    <w:rPr>
      <w:rFonts w:hint="default" w:ascii="Times New Roman" w:hAnsi="Times New Roman" w:cs="Times New Roman"/>
      <w:color w:val="000000"/>
      <w:sz w:val="24"/>
      <w:szCs w:val="24"/>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 w:type="character" w:customStyle="1" w:styleId="25">
    <w:name w:val="font81"/>
    <w:basedOn w:val="13"/>
    <w:qFormat/>
    <w:uiPriority w:val="0"/>
    <w:rPr>
      <w:rFonts w:ascii="黑体" w:eastAsia="黑体" w:cs="黑体"/>
      <w:color w:val="333333"/>
      <w:sz w:val="52"/>
      <w:szCs w:val="52"/>
      <w:u w:val="none"/>
    </w:rPr>
  </w:style>
  <w:style w:type="character" w:customStyle="1" w:styleId="26">
    <w:name w:val="font01"/>
    <w:basedOn w:val="13"/>
    <w:qFormat/>
    <w:uiPriority w:val="0"/>
    <w:rPr>
      <w:rFonts w:hint="eastAsia" w:ascii="宋体" w:hAnsi="宋体" w:eastAsia="宋体" w:cs="宋体"/>
      <w:color w:val="000000"/>
      <w:sz w:val="24"/>
      <w:szCs w:val="24"/>
      <w:u w:val="none"/>
    </w:rPr>
  </w:style>
  <w:style w:type="character" w:customStyle="1" w:styleId="27">
    <w:name w:val="font101"/>
    <w:basedOn w:val="13"/>
    <w:qFormat/>
    <w:uiPriority w:val="0"/>
    <w:rPr>
      <w:rFonts w:hint="eastAsia" w:ascii="宋体" w:hAnsi="宋体" w:eastAsia="宋体" w:cs="宋体"/>
      <w:b/>
      <w:bCs/>
      <w:color w:val="000000"/>
      <w:sz w:val="24"/>
      <w:szCs w:val="24"/>
      <w:u w:val="none"/>
    </w:rPr>
  </w:style>
  <w:style w:type="character" w:customStyle="1" w:styleId="28">
    <w:name w:val="font91"/>
    <w:basedOn w:val="13"/>
    <w:qFormat/>
    <w:uiPriority w:val="0"/>
    <w:rPr>
      <w:rFonts w:ascii="华文仿宋" w:hAnsi="华文仿宋" w:eastAsia="华文仿宋" w:cs="华文仿宋"/>
      <w:b/>
      <w:bCs/>
      <w:color w:val="000000"/>
      <w:sz w:val="24"/>
      <w:szCs w:val="24"/>
      <w:u w:val="none"/>
    </w:rPr>
  </w:style>
  <w:style w:type="character" w:customStyle="1" w:styleId="29">
    <w:name w:val="font121"/>
    <w:basedOn w:val="13"/>
    <w:qFormat/>
    <w:uiPriority w:val="0"/>
    <w:rPr>
      <w:rFonts w:ascii="华文仿宋" w:hAnsi="华文仿宋" w:eastAsia="华文仿宋" w:cs="华文仿宋"/>
      <w:b/>
      <w:bCs/>
      <w:color w:val="000000"/>
      <w:sz w:val="24"/>
      <w:szCs w:val="24"/>
      <w:u w:val="none"/>
    </w:rPr>
  </w:style>
  <w:style w:type="character" w:customStyle="1" w:styleId="30">
    <w:name w:val="font171"/>
    <w:basedOn w:val="13"/>
    <w:qFormat/>
    <w:uiPriority w:val="0"/>
    <w:rPr>
      <w:rFonts w:hint="eastAsia" w:ascii="华文仿宋" w:hAnsi="华文仿宋" w:eastAsia="华文仿宋" w:cs="华文仿宋"/>
      <w:color w:val="000000"/>
      <w:sz w:val="18"/>
      <w:szCs w:val="18"/>
      <w:u w:val="none"/>
    </w:rPr>
  </w:style>
  <w:style w:type="character" w:customStyle="1" w:styleId="31">
    <w:name w:val="font181"/>
    <w:basedOn w:val="13"/>
    <w:qFormat/>
    <w:uiPriority w:val="0"/>
    <w:rPr>
      <w:rFonts w:hint="eastAsia" w:ascii="华文仿宋" w:hAnsi="华文仿宋" w:eastAsia="华文仿宋" w:cs="华文仿宋"/>
      <w:b/>
      <w:bCs/>
      <w:color w:val="000000"/>
      <w:sz w:val="24"/>
      <w:szCs w:val="24"/>
      <w:u w:val="none"/>
    </w:rPr>
  </w:style>
  <w:style w:type="character" w:customStyle="1" w:styleId="32">
    <w:name w:val="font21"/>
    <w:basedOn w:val="13"/>
    <w:qFormat/>
    <w:uiPriority w:val="0"/>
    <w:rPr>
      <w:rFonts w:hint="default" w:ascii="Times New Roman" w:hAnsi="Times New Roman" w:cs="Times New Roman"/>
      <w:color w:val="000000"/>
      <w:sz w:val="24"/>
      <w:szCs w:val="24"/>
      <w:u w:val="none"/>
    </w:rPr>
  </w:style>
  <w:style w:type="character" w:customStyle="1" w:styleId="33">
    <w:name w:val="font51"/>
    <w:basedOn w:val="13"/>
    <w:qFormat/>
    <w:uiPriority w:val="0"/>
    <w:rPr>
      <w:rFonts w:hint="eastAsia" w:ascii="宋体" w:hAnsi="宋体" w:eastAsia="宋体" w:cs="宋体"/>
      <w:color w:val="000000"/>
      <w:sz w:val="24"/>
      <w:szCs w:val="24"/>
      <w:u w:val="none"/>
    </w:rPr>
  </w:style>
  <w:style w:type="character" w:customStyle="1" w:styleId="34">
    <w:name w:val="font41"/>
    <w:basedOn w:val="13"/>
    <w:qFormat/>
    <w:uiPriority w:val="0"/>
    <w:rPr>
      <w:rFonts w:hint="default" w:ascii="Times New Roman" w:hAnsi="Times New Roman" w:cs="Times New Roman"/>
      <w:b/>
      <w:bCs/>
      <w:color w:val="000000"/>
      <w:sz w:val="40"/>
      <w:szCs w:val="40"/>
      <w:u w:val="none"/>
    </w:rPr>
  </w:style>
  <w:style w:type="character" w:customStyle="1" w:styleId="35">
    <w:name w:val="font131"/>
    <w:basedOn w:val="13"/>
    <w:qFormat/>
    <w:uiPriority w:val="0"/>
    <w:rPr>
      <w:rFonts w:ascii="仿宋_GB2312" w:eastAsia="仿宋_GB2312" w:cs="仿宋_GB2312"/>
      <w:color w:val="000000"/>
      <w:sz w:val="24"/>
      <w:szCs w:val="24"/>
      <w:u w:val="none"/>
    </w:rPr>
  </w:style>
  <w:style w:type="character" w:customStyle="1" w:styleId="36">
    <w:name w:val="font71"/>
    <w:basedOn w:val="13"/>
    <w:qFormat/>
    <w:uiPriority w:val="0"/>
    <w:rPr>
      <w:rFonts w:ascii="方正小标宋简体" w:hAnsi="方正小标宋简体" w:eastAsia="方正小标宋简体" w:cs="方正小标宋简体"/>
      <w:b/>
      <w:bCs/>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6557</Words>
  <Characters>7883</Characters>
  <Lines>251</Lines>
  <Paragraphs>70</Paragraphs>
  <TotalTime>69</TotalTime>
  <ScaleCrop>false</ScaleCrop>
  <LinksUpToDate>false</LinksUpToDate>
  <CharactersWithSpaces>7908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2023-01-31T02:29:00Z</dcterms:created>
  <dc:creator>Administrator</dc:creator>
  <cp:lastModifiedBy>雨之人也</cp:lastModifiedBy>
  <cp:lastPrinted>2025-03-11T08:05:00Z</cp:lastPrinted>
  <dcterms:modified xsi:type="dcterms:W3CDTF">2025-04-30T01:40:49Z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3C16E9D899E34D95B818CED8F2ADD412_13</vt:lpwstr>
  </property>
  <property fmtid="{D5CDD505-2E9C-101B-9397-08002B2CF9AE}" pid="4" name="KSOTemplateDocerSaveRecord">
    <vt:lpwstr>eyJoZGlkIjoiYTM2MjFkMTAzZjE3ODc2M2RjYjhjZTJiOGMxMmZkNzgifQ==</vt:lpwstr>
  </property>
</Properties>
</file>