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snapToGrid w:val="0"/>
        <w:spacing w:line="560" w:lineRule="exact"/>
        <w:jc w:val="left"/>
        <w:rPr>
          <w:rFonts w:hint="eastAsia" w:ascii="仿宋_GB2312" w:eastAsia="仿宋_GB2312"/>
          <w:bCs/>
          <w:sz w:val="32"/>
          <w:szCs w:val="32"/>
        </w:rPr>
      </w:pPr>
    </w:p>
    <w:p>
      <w:pPr>
        <w:tabs>
          <w:tab w:val="left" w:pos="7560"/>
        </w:tabs>
        <w:snapToGrid w:val="0"/>
        <w:spacing w:line="560" w:lineRule="exact"/>
        <w:jc w:val="center"/>
        <w:rPr>
          <w:rFonts w:eastAsia="方正小标宋简体"/>
          <w:bCs/>
          <w:sz w:val="44"/>
          <w:szCs w:val="44"/>
        </w:rPr>
      </w:pPr>
      <w:r>
        <w:rPr>
          <w:rFonts w:eastAsia="方正小标宋简体"/>
          <w:bCs/>
          <w:sz w:val="44"/>
          <w:szCs w:val="44"/>
        </w:rPr>
        <w:t>株洲市石峰区</w:t>
      </w:r>
      <w:r>
        <w:rPr>
          <w:rFonts w:hint="eastAsia" w:ascii="方正小标宋简体" w:eastAsia="方正小标宋简体"/>
          <w:bCs/>
          <w:color w:val="000000"/>
          <w:sz w:val="44"/>
          <w:szCs w:val="44"/>
          <w:lang w:val="en-US" w:eastAsia="zh-CN"/>
        </w:rPr>
        <w:t>杨梅塘小学</w:t>
      </w:r>
    </w:p>
    <w:p>
      <w:pPr>
        <w:tabs>
          <w:tab w:val="left" w:pos="7560"/>
        </w:tabs>
        <w:snapToGrid w:val="0"/>
        <w:spacing w:line="560" w:lineRule="exact"/>
        <w:jc w:val="center"/>
        <w:rPr>
          <w:rFonts w:hint="eastAsia" w:ascii="方正小标宋简体" w:eastAsia="方正小标宋简体"/>
          <w:bCs/>
          <w:color w:val="000000"/>
          <w:sz w:val="44"/>
          <w:szCs w:val="44"/>
          <w:lang w:val="en-US" w:eastAsia="zh-CN"/>
        </w:rPr>
      </w:pPr>
      <w:r>
        <w:rPr>
          <w:rFonts w:hint="eastAsia" w:ascii="方正小标宋简体" w:eastAsia="方正小标宋简体"/>
          <w:bCs/>
          <w:color w:val="000000"/>
          <w:sz w:val="44"/>
          <w:szCs w:val="44"/>
          <w:lang w:val="en-US" w:eastAsia="zh-CN"/>
        </w:rPr>
        <w:t>2024</w:t>
      </w:r>
      <w:r>
        <w:rPr>
          <w:rFonts w:hint="eastAsia" w:ascii="方正小标宋简体" w:eastAsia="方正小标宋简体"/>
          <w:bCs/>
          <w:color w:val="000000"/>
          <w:sz w:val="44"/>
          <w:szCs w:val="44"/>
        </w:rPr>
        <w:t>年部门预算公开说明</w:t>
      </w:r>
    </w:p>
    <w:p>
      <w:pPr>
        <w:tabs>
          <w:tab w:val="left" w:pos="7560"/>
        </w:tabs>
        <w:snapToGrid w:val="0"/>
        <w:spacing w:line="560" w:lineRule="exact"/>
        <w:jc w:val="left"/>
        <w:rPr>
          <w:rFonts w:hint="eastAsia" w:ascii="仿宋_GB2312" w:eastAsia="仿宋_GB2312"/>
          <w:bCs/>
          <w:sz w:val="32"/>
          <w:szCs w:val="32"/>
        </w:rPr>
      </w:pPr>
    </w:p>
    <w:p>
      <w:pPr>
        <w:tabs>
          <w:tab w:val="left" w:pos="7560"/>
        </w:tabs>
        <w:snapToGrid w:val="0"/>
        <w:spacing w:line="560" w:lineRule="exact"/>
        <w:ind w:firstLine="640" w:firstLineChars="200"/>
        <w:jc w:val="center"/>
        <w:rPr>
          <w:rFonts w:hint="eastAsia" w:ascii="黑体" w:hAnsi="黑体" w:eastAsia="黑体"/>
          <w:bCs/>
          <w:sz w:val="32"/>
          <w:szCs w:val="32"/>
        </w:rPr>
      </w:pPr>
      <w:r>
        <w:rPr>
          <w:rFonts w:hint="eastAsia" w:ascii="黑体" w:hAnsi="黑体" w:eastAsia="黑体"/>
          <w:bCs/>
          <w:sz w:val="32"/>
          <w:szCs w:val="32"/>
        </w:rPr>
        <w:t>部门预算公开信息目录</w:t>
      </w:r>
    </w:p>
    <w:p>
      <w:pPr>
        <w:tabs>
          <w:tab w:val="left" w:pos="7560"/>
        </w:tabs>
        <w:snapToGrid w:val="0"/>
        <w:spacing w:line="560" w:lineRule="exact"/>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一、部门职能职责</w:t>
      </w:r>
    </w:p>
    <w:p>
      <w:pPr>
        <w:tabs>
          <w:tab w:val="left" w:pos="7560"/>
        </w:tabs>
        <w:snapToGrid w:val="0"/>
        <w:spacing w:line="560" w:lineRule="exact"/>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二、机构设置</w:t>
      </w:r>
    </w:p>
    <w:p>
      <w:pPr>
        <w:tabs>
          <w:tab w:val="left" w:pos="7560"/>
        </w:tabs>
        <w:snapToGrid w:val="0"/>
        <w:spacing w:line="560" w:lineRule="exact"/>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三、部门收支概况</w:t>
      </w:r>
    </w:p>
    <w:p>
      <w:pPr>
        <w:tabs>
          <w:tab w:val="left" w:pos="7560"/>
        </w:tabs>
        <w:snapToGrid w:val="0"/>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（一）收入预算</w:t>
      </w:r>
    </w:p>
    <w:p>
      <w:pPr>
        <w:tabs>
          <w:tab w:val="left" w:pos="7560"/>
        </w:tabs>
        <w:snapToGrid w:val="0"/>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w:t>
      </w:r>
      <w:r>
        <w:rPr>
          <w:rFonts w:hint="eastAsia" w:ascii="仿宋_GB2312" w:hAnsi="仿宋_GB2312" w:eastAsia="仿宋_GB2312"/>
          <w:sz w:val="32"/>
          <w:szCs w:val="32"/>
        </w:rPr>
        <w:t>二）支出预算</w:t>
      </w:r>
    </w:p>
    <w:p>
      <w:pPr>
        <w:tabs>
          <w:tab w:val="left" w:pos="7560"/>
        </w:tabs>
        <w:snapToGrid w:val="0"/>
        <w:spacing w:line="560" w:lineRule="exact"/>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（三）预算收支增减变化情况说明</w:t>
      </w:r>
    </w:p>
    <w:p>
      <w:pPr>
        <w:tabs>
          <w:tab w:val="left" w:pos="7560"/>
        </w:tabs>
        <w:snapToGrid w:val="0"/>
        <w:spacing w:line="560" w:lineRule="exact"/>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四、其他重要事项情况说明</w:t>
      </w:r>
    </w:p>
    <w:p>
      <w:pPr>
        <w:tabs>
          <w:tab w:val="left" w:pos="7560"/>
        </w:tabs>
        <w:snapToGrid w:val="0"/>
        <w:spacing w:line="560" w:lineRule="exact"/>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（一）机关运行经费</w:t>
      </w:r>
    </w:p>
    <w:p>
      <w:pPr>
        <w:tabs>
          <w:tab w:val="left" w:pos="7560"/>
        </w:tabs>
        <w:snapToGrid w:val="0"/>
        <w:spacing w:line="560" w:lineRule="exact"/>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（二）政府采购预算</w:t>
      </w:r>
    </w:p>
    <w:p>
      <w:pPr>
        <w:tabs>
          <w:tab w:val="left" w:pos="7560"/>
        </w:tabs>
        <w:snapToGrid w:val="0"/>
        <w:spacing w:line="560" w:lineRule="exact"/>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（三）国有资产占有情况</w:t>
      </w:r>
    </w:p>
    <w:p>
      <w:pPr>
        <w:tabs>
          <w:tab w:val="left" w:pos="7560"/>
        </w:tabs>
        <w:snapToGrid w:val="0"/>
        <w:spacing w:line="560" w:lineRule="exact"/>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（四）预算绩效目标</w:t>
      </w:r>
    </w:p>
    <w:p>
      <w:pPr>
        <w:tabs>
          <w:tab w:val="left" w:pos="7560"/>
        </w:tabs>
        <w:snapToGrid w:val="0"/>
        <w:spacing w:line="560" w:lineRule="exact"/>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（五）“三公”经费预算</w:t>
      </w:r>
    </w:p>
    <w:p>
      <w:pPr>
        <w:tabs>
          <w:tab w:val="left" w:pos="7560"/>
        </w:tabs>
        <w:snapToGrid w:val="0"/>
        <w:spacing w:line="560" w:lineRule="exact"/>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（六）会议费、培训费</w:t>
      </w:r>
    </w:p>
    <w:p>
      <w:pPr>
        <w:tabs>
          <w:tab w:val="left" w:pos="7560"/>
        </w:tabs>
        <w:snapToGrid w:val="0"/>
        <w:spacing w:line="560" w:lineRule="exact"/>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（七）其他事项</w:t>
      </w:r>
    </w:p>
    <w:p>
      <w:pPr>
        <w:tabs>
          <w:tab w:val="left" w:pos="7560"/>
        </w:tabs>
        <w:snapToGrid w:val="0"/>
        <w:spacing w:line="560" w:lineRule="exact"/>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五、名词解释</w:t>
      </w:r>
    </w:p>
    <w:p>
      <w:pPr>
        <w:tabs>
          <w:tab w:val="left" w:pos="7560"/>
        </w:tabs>
        <w:snapToGrid w:val="0"/>
        <w:spacing w:line="560" w:lineRule="exact"/>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六、部门预算公开表格</w:t>
      </w:r>
    </w:p>
    <w:p>
      <w:pPr>
        <w:tabs>
          <w:tab w:val="left" w:pos="7560"/>
        </w:tabs>
        <w:snapToGrid w:val="0"/>
        <w:spacing w:line="560" w:lineRule="exact"/>
        <w:ind w:firstLine="640" w:firstLineChars="200"/>
        <w:jc w:val="left"/>
        <w:rPr>
          <w:rFonts w:hint="eastAsia" w:ascii="仿宋_GB2312" w:hAnsi="仿宋_GB2312" w:eastAsia="仿宋_GB2312"/>
          <w:sz w:val="32"/>
          <w:szCs w:val="32"/>
          <w:lang w:eastAsia="zh-CN"/>
        </w:rPr>
      </w:pPr>
    </w:p>
    <w:p>
      <w:pPr>
        <w:tabs>
          <w:tab w:val="left" w:pos="7560"/>
        </w:tabs>
        <w:snapToGrid w:val="0"/>
        <w:spacing w:line="560" w:lineRule="exact"/>
        <w:jc w:val="left"/>
        <w:rPr>
          <w:rFonts w:hint="eastAsia" w:ascii="仿宋_GB2312" w:hAnsi="仿宋_GB2312" w:eastAsia="仿宋_GB2312"/>
          <w:sz w:val="32"/>
          <w:szCs w:val="32"/>
        </w:rPr>
      </w:pPr>
    </w:p>
    <w:p>
      <w:pPr>
        <w:tabs>
          <w:tab w:val="left" w:pos="7560"/>
        </w:tabs>
        <w:snapToGrid w:val="0"/>
        <w:spacing w:line="560" w:lineRule="exact"/>
        <w:jc w:val="left"/>
        <w:rPr>
          <w:rFonts w:hint="eastAsia" w:ascii="仿宋_GB2312" w:hAnsi="仿宋_GB2312" w:eastAsia="仿宋_GB2312"/>
          <w:sz w:val="32"/>
          <w:szCs w:val="32"/>
        </w:rPr>
      </w:pPr>
    </w:p>
    <w:p>
      <w:pPr>
        <w:tabs>
          <w:tab w:val="left" w:pos="7560"/>
        </w:tabs>
        <w:snapToGrid w:val="0"/>
        <w:spacing w:line="560" w:lineRule="exact"/>
        <w:ind w:firstLine="640" w:firstLineChars="200"/>
        <w:jc w:val="left"/>
        <w:rPr>
          <w:rFonts w:hint="eastAsia" w:ascii="黑体" w:hAnsi="黑体" w:eastAsia="黑体"/>
          <w:sz w:val="32"/>
          <w:szCs w:val="32"/>
        </w:rPr>
      </w:pPr>
      <w:r>
        <w:rPr>
          <w:rFonts w:hint="eastAsia" w:ascii="黑体" w:hAnsi="黑体" w:eastAsia="黑体"/>
          <w:sz w:val="32"/>
          <w:szCs w:val="32"/>
        </w:rPr>
        <w:t>一、部门职能职责</w:t>
      </w:r>
    </w:p>
    <w:p>
      <w:pPr>
        <w:widowControl/>
        <w:shd w:val="clear" w:color="auto" w:fill="FFFFFF"/>
        <w:spacing w:line="420" w:lineRule="atLeast"/>
        <w:ind w:firstLine="562"/>
        <w:rPr>
          <w:rFonts w:hint="eastAsia" w:ascii="仿宋_GB2312" w:eastAsia="仿宋_GB2312"/>
          <w:color w:val="000000"/>
          <w:sz w:val="32"/>
          <w:szCs w:val="32"/>
        </w:rPr>
      </w:pPr>
      <w:r>
        <w:rPr>
          <w:rFonts w:hint="eastAsia" w:ascii="仿宋_GB2312" w:eastAsia="仿宋_GB2312"/>
          <w:color w:val="000000"/>
          <w:sz w:val="32"/>
          <w:szCs w:val="32"/>
        </w:rPr>
        <w:t>我单位主要工作是认真贯彻落实党和国家的方针、政策，正确执行上级主管部门的决议和指示，全面实施素质教育，培养德、智、体、美等方面全面发展的社会主义事业的建设者和接班人。</w:t>
      </w:r>
    </w:p>
    <w:p>
      <w:pPr>
        <w:tabs>
          <w:tab w:val="left" w:pos="7560"/>
        </w:tabs>
        <w:snapToGrid w:val="0"/>
        <w:spacing w:line="560" w:lineRule="exact"/>
        <w:ind w:firstLine="640" w:firstLineChars="200"/>
        <w:jc w:val="left"/>
        <w:rPr>
          <w:rFonts w:hint="eastAsia" w:ascii="黑体" w:hAnsi="黑体" w:eastAsia="黑体"/>
          <w:color w:val="000000"/>
          <w:sz w:val="32"/>
          <w:szCs w:val="32"/>
        </w:rPr>
      </w:pPr>
      <w:r>
        <w:rPr>
          <w:rFonts w:hint="eastAsia" w:ascii="黑体" w:hAnsi="黑体" w:eastAsia="黑体"/>
          <w:color w:val="000000"/>
          <w:sz w:val="32"/>
          <w:szCs w:val="32"/>
        </w:rPr>
        <w:t>二、机构设置</w:t>
      </w:r>
    </w:p>
    <w:p>
      <w:pPr>
        <w:widowControl/>
        <w:shd w:val="clear" w:color="auto" w:fill="FFFFFF"/>
        <w:spacing w:line="420" w:lineRule="atLeast"/>
        <w:ind w:firstLine="562"/>
        <w:rPr>
          <w:rFonts w:hint="eastAsia" w:ascii="仿宋_GB2312" w:eastAsia="仿宋_GB2312"/>
          <w:bCs/>
          <w:color w:val="000000"/>
          <w:sz w:val="32"/>
          <w:szCs w:val="32"/>
        </w:rPr>
      </w:pPr>
      <w:r>
        <w:rPr>
          <w:rFonts w:hint="eastAsia" w:ascii="仿宋_GB2312" w:eastAsia="仿宋_GB2312"/>
          <w:bCs/>
          <w:color w:val="000000"/>
          <w:sz w:val="32"/>
          <w:szCs w:val="32"/>
        </w:rPr>
        <w:t> </w:t>
      </w:r>
      <w:r>
        <w:rPr>
          <w:rFonts w:hint="eastAsia" w:ascii="仿宋_GB2312" w:eastAsia="仿宋_GB2312"/>
          <w:color w:val="000000"/>
          <w:sz w:val="32"/>
          <w:szCs w:val="32"/>
        </w:rPr>
        <w:t>本部门共有编制人数</w:t>
      </w:r>
      <w:r>
        <w:rPr>
          <w:rFonts w:hint="eastAsia" w:ascii="仿宋_GB2312" w:eastAsia="仿宋_GB2312"/>
          <w:color w:val="000000"/>
          <w:sz w:val="32"/>
          <w:szCs w:val="32"/>
          <w:lang w:val="en-US" w:eastAsia="zh-CN"/>
        </w:rPr>
        <w:t>13</w:t>
      </w:r>
      <w:r>
        <w:rPr>
          <w:rFonts w:hint="eastAsia" w:ascii="仿宋_GB2312" w:eastAsia="仿宋_GB2312"/>
          <w:color w:val="000000"/>
          <w:sz w:val="32"/>
          <w:szCs w:val="32"/>
        </w:rPr>
        <w:t>人，实有人数</w:t>
      </w:r>
      <w:r>
        <w:rPr>
          <w:rFonts w:hint="eastAsia" w:ascii="仿宋_GB2312" w:eastAsia="仿宋_GB2312"/>
          <w:color w:val="000000"/>
          <w:sz w:val="32"/>
          <w:szCs w:val="32"/>
          <w:lang w:val="en-US" w:eastAsia="zh-CN"/>
        </w:rPr>
        <w:t>13</w:t>
      </w:r>
      <w:r>
        <w:rPr>
          <w:rFonts w:hint="eastAsia" w:ascii="仿宋_GB2312" w:eastAsia="仿宋_GB2312"/>
          <w:color w:val="000000"/>
          <w:sz w:val="32"/>
          <w:szCs w:val="32"/>
        </w:rPr>
        <w:t>人。部门预算主要由一个单位构成：株洲市石峰区</w:t>
      </w:r>
      <w:r>
        <w:rPr>
          <w:rFonts w:hint="eastAsia" w:ascii="仿宋_GB2312" w:eastAsia="仿宋_GB2312"/>
          <w:color w:val="000000"/>
          <w:sz w:val="32"/>
          <w:szCs w:val="32"/>
          <w:lang w:val="en-US" w:eastAsia="zh-CN"/>
        </w:rPr>
        <w:t>杨梅塘小学</w:t>
      </w:r>
      <w:r>
        <w:rPr>
          <w:rFonts w:hint="eastAsia" w:ascii="仿宋_GB2312" w:eastAsia="仿宋_GB2312"/>
          <w:color w:val="000000"/>
          <w:sz w:val="32"/>
          <w:szCs w:val="32"/>
        </w:rPr>
        <w:t>，本部门预算</w:t>
      </w:r>
      <w:r>
        <w:rPr>
          <w:rFonts w:hint="eastAsia" w:ascii="仿宋_GB2312" w:eastAsia="仿宋_GB2312"/>
          <w:color w:val="000000"/>
          <w:sz w:val="32"/>
          <w:szCs w:val="32"/>
          <w:lang w:val="en-US" w:eastAsia="zh-CN"/>
        </w:rPr>
        <w:t>只</w:t>
      </w:r>
      <w:r>
        <w:rPr>
          <w:rFonts w:hint="eastAsia" w:ascii="仿宋_GB2312" w:eastAsia="仿宋_GB2312"/>
          <w:color w:val="000000"/>
          <w:sz w:val="32"/>
          <w:szCs w:val="32"/>
        </w:rPr>
        <w:t>包</w:t>
      </w:r>
      <w:r>
        <w:rPr>
          <w:rFonts w:hint="eastAsia" w:ascii="仿宋_GB2312" w:eastAsia="仿宋_GB2312"/>
          <w:color w:val="000000"/>
          <w:sz w:val="32"/>
          <w:szCs w:val="32"/>
          <w:lang w:val="en-US" w:eastAsia="zh-CN"/>
        </w:rPr>
        <w:t>含</w:t>
      </w:r>
      <w:r>
        <w:rPr>
          <w:rFonts w:hint="eastAsia" w:ascii="仿宋_GB2312" w:eastAsia="仿宋_GB2312"/>
          <w:color w:val="000000"/>
          <w:sz w:val="32"/>
          <w:szCs w:val="32"/>
        </w:rPr>
        <w:t>本级预算。</w:t>
      </w:r>
    </w:p>
    <w:p>
      <w:pPr>
        <w:tabs>
          <w:tab w:val="left" w:pos="7560"/>
        </w:tabs>
        <w:snapToGrid w:val="0"/>
        <w:spacing w:line="560" w:lineRule="exact"/>
        <w:ind w:firstLine="640" w:firstLineChars="200"/>
        <w:jc w:val="left"/>
        <w:rPr>
          <w:rFonts w:hint="eastAsia" w:ascii="黑体" w:hAnsi="黑体" w:eastAsia="黑体"/>
          <w:color w:val="000000"/>
          <w:sz w:val="32"/>
          <w:szCs w:val="32"/>
        </w:rPr>
      </w:pPr>
      <w:r>
        <w:rPr>
          <w:rFonts w:hint="eastAsia" w:ascii="黑体" w:hAnsi="黑体" w:eastAsia="黑体"/>
          <w:color w:val="000000"/>
          <w:sz w:val="32"/>
          <w:szCs w:val="32"/>
        </w:rPr>
        <w:t>三、 部门收支概况</w:t>
      </w:r>
    </w:p>
    <w:p>
      <w:pPr>
        <w:tabs>
          <w:tab w:val="left" w:pos="7560"/>
        </w:tabs>
        <w:snapToGrid w:val="0"/>
        <w:spacing w:line="560" w:lineRule="exact"/>
        <w:ind w:firstLine="640" w:firstLineChars="200"/>
        <w:jc w:val="left"/>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2024</w:t>
      </w:r>
      <w:r>
        <w:rPr>
          <w:rFonts w:hint="eastAsia" w:ascii="仿宋_GB2312" w:eastAsia="仿宋_GB2312"/>
          <w:color w:val="000000"/>
          <w:sz w:val="32"/>
          <w:szCs w:val="32"/>
        </w:rPr>
        <w:t>年部门预算编报范围</w:t>
      </w:r>
      <w:r>
        <w:rPr>
          <w:rFonts w:hint="eastAsia" w:ascii="仿宋_GB2312" w:eastAsia="仿宋_GB2312"/>
          <w:color w:val="000000"/>
          <w:sz w:val="32"/>
          <w:szCs w:val="32"/>
          <w:lang w:eastAsia="zh-CN"/>
        </w:rPr>
        <w:t>仅为石峰区</w:t>
      </w:r>
      <w:r>
        <w:rPr>
          <w:rFonts w:hint="eastAsia" w:ascii="仿宋_GB2312" w:eastAsia="仿宋_GB2312"/>
          <w:color w:val="000000"/>
          <w:sz w:val="32"/>
          <w:szCs w:val="32"/>
          <w:lang w:val="en-US" w:eastAsia="zh-CN"/>
        </w:rPr>
        <w:t>杨梅塘小学</w:t>
      </w:r>
      <w:r>
        <w:rPr>
          <w:rFonts w:hint="eastAsia" w:ascii="仿宋_GB2312" w:eastAsia="仿宋_GB2312"/>
          <w:color w:val="000000"/>
          <w:sz w:val="32"/>
          <w:szCs w:val="32"/>
          <w:lang w:eastAsia="zh-CN"/>
        </w:rPr>
        <w:t>本单位</w:t>
      </w:r>
      <w:r>
        <w:rPr>
          <w:rFonts w:hint="eastAsia" w:ascii="仿宋_GB2312" w:eastAsia="仿宋_GB2312"/>
          <w:color w:val="000000"/>
          <w:sz w:val="32"/>
          <w:szCs w:val="32"/>
        </w:rPr>
        <w:t>。收入</w:t>
      </w:r>
      <w:r>
        <w:rPr>
          <w:rFonts w:hint="eastAsia" w:ascii="仿宋_GB2312" w:eastAsia="仿宋_GB2312"/>
          <w:color w:val="000000"/>
          <w:sz w:val="32"/>
          <w:szCs w:val="32"/>
          <w:lang w:val="en-US" w:eastAsia="zh-CN"/>
        </w:rPr>
        <w:t>为</w:t>
      </w:r>
      <w:r>
        <w:rPr>
          <w:rFonts w:hint="eastAsia" w:ascii="仿宋_GB2312" w:eastAsia="仿宋_GB2312"/>
          <w:color w:val="000000"/>
          <w:sz w:val="32"/>
          <w:szCs w:val="32"/>
        </w:rPr>
        <w:t>一般公共预算收入；支出</w:t>
      </w:r>
      <w:r>
        <w:rPr>
          <w:rFonts w:hint="eastAsia" w:ascii="仿宋_GB2312" w:eastAsia="仿宋_GB2312"/>
          <w:color w:val="000000"/>
          <w:sz w:val="32"/>
          <w:szCs w:val="32"/>
          <w:lang w:val="en-US" w:eastAsia="zh-CN"/>
        </w:rPr>
        <w:t>为本</w:t>
      </w:r>
      <w:r>
        <w:rPr>
          <w:rFonts w:hint="eastAsia" w:ascii="仿宋_GB2312" w:eastAsia="仿宋_GB2312"/>
          <w:color w:val="000000"/>
          <w:sz w:val="32"/>
          <w:szCs w:val="32"/>
        </w:rPr>
        <w:t>单位基本运行的经费。</w:t>
      </w:r>
    </w:p>
    <w:p>
      <w:pPr>
        <w:tabs>
          <w:tab w:val="left" w:pos="7560"/>
        </w:tabs>
        <w:snapToGrid w:val="0"/>
        <w:spacing w:line="560" w:lineRule="exact"/>
        <w:ind w:firstLine="640" w:firstLineChars="200"/>
        <w:jc w:val="left"/>
        <w:rPr>
          <w:rFonts w:hint="eastAsia" w:ascii="楷体_GB2312" w:eastAsia="楷体_GB2312"/>
          <w:bCs/>
          <w:color w:val="000000"/>
          <w:sz w:val="32"/>
          <w:szCs w:val="32"/>
        </w:rPr>
      </w:pPr>
      <w:r>
        <w:rPr>
          <w:rFonts w:hint="eastAsia" w:ascii="楷体_GB2312" w:eastAsia="楷体_GB2312"/>
          <w:bCs/>
          <w:color w:val="000000"/>
          <w:sz w:val="32"/>
          <w:szCs w:val="32"/>
        </w:rPr>
        <w:t>（一）收入预算：</w:t>
      </w:r>
      <w:r>
        <w:rPr>
          <w:rFonts w:hint="eastAsia" w:ascii="楷体_GB2312" w:eastAsia="楷体_GB2312"/>
          <w:bCs/>
          <w:color w:val="000000"/>
          <w:sz w:val="32"/>
          <w:szCs w:val="32"/>
          <w:lang w:eastAsia="zh-CN"/>
        </w:rPr>
        <w:t>本单位</w:t>
      </w:r>
      <w:r>
        <w:rPr>
          <w:rFonts w:hint="eastAsia" w:ascii="仿宋_GB2312" w:eastAsia="仿宋_GB2312"/>
          <w:color w:val="000000"/>
          <w:sz w:val="32"/>
          <w:szCs w:val="32"/>
          <w:lang w:val="en-US" w:eastAsia="zh-CN"/>
        </w:rPr>
        <w:t>2024</w:t>
      </w:r>
      <w:r>
        <w:rPr>
          <w:rFonts w:hint="eastAsia" w:ascii="仿宋_GB2312" w:eastAsia="仿宋_GB2312"/>
          <w:color w:val="000000"/>
          <w:sz w:val="32"/>
          <w:szCs w:val="32"/>
        </w:rPr>
        <w:t>年年初预算数</w:t>
      </w:r>
      <w:r>
        <w:rPr>
          <w:rFonts w:hint="eastAsia" w:ascii="仿宋_GB2312" w:eastAsia="仿宋_GB2312"/>
          <w:color w:val="000000"/>
          <w:sz w:val="32"/>
          <w:szCs w:val="32"/>
          <w:lang w:val="en-US" w:eastAsia="zh-CN"/>
        </w:rPr>
        <w:t>251.14</w:t>
      </w:r>
      <w:r>
        <w:rPr>
          <w:rFonts w:hint="eastAsia" w:ascii="仿宋_GB2312" w:eastAsia="仿宋_GB2312"/>
          <w:color w:val="000000"/>
          <w:sz w:val="32"/>
          <w:szCs w:val="32"/>
        </w:rPr>
        <w:t>万元，其中，一般公共预算拨款</w:t>
      </w:r>
      <w:r>
        <w:rPr>
          <w:rFonts w:hint="eastAsia" w:ascii="仿宋_GB2312" w:eastAsia="仿宋_GB2312"/>
          <w:color w:val="000000"/>
          <w:sz w:val="32"/>
          <w:szCs w:val="32"/>
          <w:lang w:val="en-US" w:eastAsia="zh-CN"/>
        </w:rPr>
        <w:t>251.14</w:t>
      </w:r>
      <w:r>
        <w:rPr>
          <w:rFonts w:hint="eastAsia" w:ascii="仿宋_GB2312" w:eastAsia="仿宋_GB2312"/>
          <w:color w:val="000000"/>
          <w:sz w:val="32"/>
          <w:szCs w:val="32"/>
        </w:rPr>
        <w:t>万元。</w:t>
      </w:r>
    </w:p>
    <w:p>
      <w:pPr>
        <w:tabs>
          <w:tab w:val="left" w:pos="7560"/>
        </w:tabs>
        <w:snapToGrid w:val="0"/>
        <w:spacing w:line="560" w:lineRule="exact"/>
        <w:ind w:firstLine="640" w:firstLineChars="200"/>
        <w:jc w:val="left"/>
        <w:rPr>
          <w:rFonts w:hint="eastAsia" w:ascii="楷体_GB2312" w:eastAsia="楷体_GB2312"/>
          <w:bCs/>
          <w:color w:val="000000"/>
          <w:sz w:val="32"/>
          <w:szCs w:val="32"/>
        </w:rPr>
      </w:pPr>
      <w:r>
        <w:rPr>
          <w:rFonts w:hint="eastAsia" w:ascii="楷体_GB2312" w:eastAsia="楷体_GB2312"/>
          <w:bCs/>
          <w:color w:val="000000"/>
          <w:sz w:val="32"/>
          <w:szCs w:val="32"/>
        </w:rPr>
        <w:t>（二）支出预算：</w:t>
      </w:r>
      <w:r>
        <w:rPr>
          <w:rFonts w:hint="eastAsia" w:ascii="仿宋_GB2312" w:eastAsia="仿宋_GB2312"/>
          <w:color w:val="000000"/>
          <w:sz w:val="32"/>
          <w:szCs w:val="32"/>
          <w:lang w:val="en-US" w:eastAsia="zh-CN"/>
        </w:rPr>
        <w:t>2024</w:t>
      </w:r>
      <w:r>
        <w:rPr>
          <w:rFonts w:hint="eastAsia" w:ascii="仿宋_GB2312" w:eastAsia="仿宋_GB2312"/>
          <w:color w:val="000000"/>
          <w:sz w:val="32"/>
          <w:szCs w:val="32"/>
        </w:rPr>
        <w:t>年年初预算数</w:t>
      </w:r>
      <w:r>
        <w:rPr>
          <w:rFonts w:hint="eastAsia" w:ascii="仿宋_GB2312" w:eastAsia="仿宋_GB2312"/>
          <w:color w:val="000000"/>
          <w:sz w:val="32"/>
          <w:szCs w:val="32"/>
          <w:lang w:val="en-US" w:eastAsia="zh-CN"/>
        </w:rPr>
        <w:t>251.14</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其中</w:t>
      </w:r>
      <w:r>
        <w:rPr>
          <w:rFonts w:hint="eastAsia" w:ascii="仿宋_GB2312" w:eastAsia="仿宋_GB2312"/>
          <w:color w:val="000000"/>
          <w:sz w:val="32"/>
          <w:szCs w:val="32"/>
        </w:rPr>
        <w:t>教育</w:t>
      </w:r>
      <w:r>
        <w:rPr>
          <w:rFonts w:hint="eastAsia" w:ascii="仿宋_GB2312" w:eastAsia="仿宋_GB2312"/>
          <w:color w:val="000000"/>
          <w:sz w:val="32"/>
          <w:szCs w:val="32"/>
          <w:lang w:eastAsia="zh-CN"/>
        </w:rPr>
        <w:t>支出</w:t>
      </w:r>
      <w:r>
        <w:rPr>
          <w:rFonts w:hint="eastAsia" w:ascii="仿宋_GB2312" w:eastAsia="仿宋_GB2312"/>
          <w:color w:val="000000"/>
          <w:sz w:val="32"/>
          <w:szCs w:val="32"/>
          <w:lang w:val="en-US" w:eastAsia="zh-CN"/>
        </w:rPr>
        <w:t>251.14</w:t>
      </w:r>
      <w:r>
        <w:rPr>
          <w:rFonts w:hint="eastAsia" w:ascii="仿宋_GB2312" w:eastAsia="仿宋_GB2312"/>
          <w:color w:val="000000"/>
          <w:sz w:val="32"/>
          <w:szCs w:val="32"/>
        </w:rPr>
        <w:t>万元。</w:t>
      </w:r>
    </w:p>
    <w:p>
      <w:pPr>
        <w:tabs>
          <w:tab w:val="left" w:pos="7560"/>
        </w:tabs>
        <w:snapToGrid w:val="0"/>
        <w:spacing w:line="56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具体安排如下：</w:t>
      </w:r>
    </w:p>
    <w:p>
      <w:pPr>
        <w:tabs>
          <w:tab w:val="left" w:pos="7560"/>
        </w:tabs>
        <w:snapToGrid w:val="0"/>
        <w:spacing w:line="560" w:lineRule="exact"/>
        <w:ind w:firstLine="642" w:firstLineChars="200"/>
        <w:jc w:val="left"/>
        <w:rPr>
          <w:rFonts w:hint="eastAsia" w:ascii="仿宋_GB2312" w:eastAsia="仿宋_GB2312"/>
          <w:b/>
          <w:color w:val="000000"/>
          <w:sz w:val="32"/>
          <w:szCs w:val="32"/>
        </w:rPr>
      </w:pPr>
      <w:r>
        <w:rPr>
          <w:rFonts w:hint="eastAsia" w:ascii="仿宋_GB2312" w:eastAsia="仿宋_GB2312"/>
          <w:b/>
          <w:color w:val="000000"/>
          <w:sz w:val="32"/>
          <w:szCs w:val="32"/>
        </w:rPr>
        <w:t>1.基本支出：</w:t>
      </w:r>
      <w:r>
        <w:rPr>
          <w:rFonts w:hint="eastAsia" w:ascii="仿宋_GB2312" w:eastAsia="仿宋_GB2312"/>
          <w:color w:val="000000"/>
          <w:sz w:val="32"/>
          <w:szCs w:val="32"/>
          <w:lang w:val="en-US" w:eastAsia="zh-CN"/>
        </w:rPr>
        <w:t>2024</w:t>
      </w:r>
      <w:r>
        <w:rPr>
          <w:rFonts w:hint="eastAsia" w:ascii="仿宋_GB2312" w:eastAsia="仿宋_GB2312"/>
          <w:color w:val="000000"/>
          <w:sz w:val="32"/>
          <w:szCs w:val="32"/>
        </w:rPr>
        <w:t>年年初预算数为</w:t>
      </w:r>
      <w:r>
        <w:rPr>
          <w:rFonts w:hint="eastAsia" w:ascii="仿宋_GB2312" w:eastAsia="仿宋_GB2312"/>
          <w:color w:val="000000"/>
          <w:sz w:val="32"/>
          <w:szCs w:val="32"/>
          <w:lang w:val="en-US" w:eastAsia="zh-CN"/>
        </w:rPr>
        <w:t>242.51</w:t>
      </w:r>
      <w:r>
        <w:rPr>
          <w:rFonts w:hint="eastAsia" w:ascii="仿宋_GB2312" w:eastAsia="仿宋_GB2312"/>
          <w:color w:val="000000"/>
          <w:sz w:val="32"/>
          <w:szCs w:val="32"/>
        </w:rPr>
        <w:t>万元，是指为保障单位机构正常运转、完成日常工作任务而发生的各项支出，包括用于基本工资、津贴补贴等人员经费以及日常公用经费、业务性商品和服务支出。其中包括工资福利支出</w:t>
      </w:r>
      <w:r>
        <w:rPr>
          <w:rFonts w:hint="eastAsia" w:ascii="仿宋_GB2312" w:eastAsia="仿宋_GB2312"/>
          <w:color w:val="000000"/>
          <w:sz w:val="32"/>
          <w:szCs w:val="32"/>
          <w:lang w:val="en-US" w:eastAsia="zh-CN"/>
        </w:rPr>
        <w:t>214.08</w:t>
      </w:r>
      <w:r>
        <w:rPr>
          <w:rFonts w:hint="eastAsia" w:ascii="仿宋_GB2312" w:eastAsia="仿宋_GB2312"/>
          <w:color w:val="000000"/>
          <w:sz w:val="32"/>
          <w:szCs w:val="32"/>
        </w:rPr>
        <w:t>万元、对个人和家庭的补助</w:t>
      </w:r>
      <w:r>
        <w:rPr>
          <w:rFonts w:hint="eastAsia" w:ascii="仿宋_GB2312" w:eastAsia="仿宋_GB2312"/>
          <w:color w:val="000000"/>
          <w:sz w:val="32"/>
          <w:szCs w:val="32"/>
          <w:lang w:val="en-US" w:eastAsia="zh-CN"/>
        </w:rPr>
        <w:t>28.43</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p>
    <w:p>
      <w:pPr>
        <w:tabs>
          <w:tab w:val="left" w:pos="7560"/>
        </w:tabs>
        <w:snapToGrid w:val="0"/>
        <w:spacing w:line="560" w:lineRule="exact"/>
        <w:ind w:firstLine="642" w:firstLineChars="200"/>
        <w:jc w:val="left"/>
        <w:rPr>
          <w:rFonts w:hint="eastAsia" w:ascii="仿宋_GB2312" w:eastAsia="仿宋_GB2312"/>
          <w:b/>
          <w:color w:val="000000"/>
          <w:sz w:val="32"/>
          <w:szCs w:val="32"/>
        </w:rPr>
      </w:pPr>
      <w:r>
        <w:rPr>
          <w:rFonts w:hint="eastAsia" w:ascii="仿宋_GB2312" w:eastAsia="仿宋_GB2312"/>
          <w:b/>
          <w:color w:val="000000"/>
          <w:sz w:val="32"/>
          <w:szCs w:val="32"/>
        </w:rPr>
        <w:t>2.项目支出：</w:t>
      </w:r>
      <w:r>
        <w:rPr>
          <w:rFonts w:hint="eastAsia" w:ascii="仿宋_GB2312" w:eastAsia="仿宋_GB2312"/>
          <w:color w:val="000000"/>
          <w:sz w:val="32"/>
          <w:szCs w:val="32"/>
          <w:lang w:val="en-US" w:eastAsia="zh-CN"/>
        </w:rPr>
        <w:t>2024</w:t>
      </w:r>
      <w:r>
        <w:rPr>
          <w:rFonts w:hint="eastAsia" w:ascii="仿宋_GB2312" w:eastAsia="仿宋_GB2312"/>
          <w:color w:val="000000"/>
          <w:sz w:val="32"/>
          <w:szCs w:val="32"/>
        </w:rPr>
        <w:t>年年初预算数为</w:t>
      </w:r>
      <w:r>
        <w:rPr>
          <w:rFonts w:hint="eastAsia" w:ascii="仿宋_GB2312" w:eastAsia="仿宋_GB2312"/>
          <w:color w:val="000000"/>
          <w:sz w:val="32"/>
          <w:szCs w:val="32"/>
          <w:lang w:val="en-US" w:eastAsia="zh-CN"/>
        </w:rPr>
        <w:t>8.64</w:t>
      </w:r>
      <w:r>
        <w:rPr>
          <w:rFonts w:hint="eastAsia" w:ascii="仿宋_GB2312" w:eastAsia="仿宋_GB2312"/>
          <w:color w:val="000000"/>
          <w:sz w:val="32"/>
          <w:szCs w:val="32"/>
        </w:rPr>
        <w:t>万元，是指单位为完成特定行政工作任务或事业发展目标而发生的支出，包括有关事业发展专项、基本建设支出、资本性支出等。其中：</w:t>
      </w:r>
    </w:p>
    <w:p>
      <w:pPr>
        <w:tabs>
          <w:tab w:val="left" w:pos="7560"/>
        </w:tabs>
        <w:snapToGrid w:val="0"/>
        <w:spacing w:line="56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福利费</w:t>
      </w:r>
      <w:r>
        <w:rPr>
          <w:rFonts w:hint="eastAsia" w:ascii="仿宋_GB2312" w:eastAsia="仿宋_GB2312"/>
          <w:color w:val="000000"/>
          <w:sz w:val="32"/>
          <w:szCs w:val="32"/>
        </w:rPr>
        <w:t>专项</w:t>
      </w:r>
      <w:r>
        <w:rPr>
          <w:rFonts w:hint="eastAsia" w:ascii="仿宋_GB2312" w:eastAsia="仿宋_GB2312"/>
          <w:color w:val="000000"/>
          <w:sz w:val="32"/>
          <w:szCs w:val="32"/>
          <w:lang w:val="en-US" w:eastAsia="zh-CN"/>
        </w:rPr>
        <w:t>4.14</w:t>
      </w:r>
      <w:r>
        <w:rPr>
          <w:rFonts w:hint="eastAsia" w:ascii="仿宋_GB2312" w:eastAsia="仿宋_GB2312"/>
          <w:color w:val="000000"/>
          <w:sz w:val="32"/>
          <w:szCs w:val="32"/>
        </w:rPr>
        <w:t>万元。主要用于</w:t>
      </w:r>
      <w:r>
        <w:rPr>
          <w:rFonts w:hint="eastAsia" w:ascii="仿宋_GB2312" w:eastAsia="仿宋_GB2312"/>
          <w:color w:val="000000"/>
          <w:sz w:val="32"/>
          <w:szCs w:val="32"/>
          <w:lang w:val="en-US" w:eastAsia="zh-CN"/>
        </w:rPr>
        <w:t>对教职工进行各项法律规定的慰问及节日慰问，以增进教职工身心健康，提升生活幸福感。</w:t>
      </w:r>
    </w:p>
    <w:p>
      <w:pPr>
        <w:tabs>
          <w:tab w:val="left" w:pos="7560"/>
        </w:tabs>
        <w:snapToGrid w:val="0"/>
        <w:spacing w:line="56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工会经费2.76</w:t>
      </w:r>
      <w:r>
        <w:rPr>
          <w:rFonts w:hint="eastAsia" w:ascii="仿宋_GB2312" w:eastAsia="仿宋_GB2312"/>
          <w:color w:val="000000"/>
          <w:sz w:val="32"/>
          <w:szCs w:val="32"/>
        </w:rPr>
        <w:t>万元。主要用于支持工会运营及服务会员的合法权利</w:t>
      </w:r>
      <w:r>
        <w:rPr>
          <w:rFonts w:hint="eastAsia" w:ascii="仿宋_GB2312" w:eastAsia="仿宋_GB2312"/>
          <w:color w:val="000000"/>
          <w:sz w:val="32"/>
          <w:szCs w:val="32"/>
          <w:lang w:eastAsia="zh-CN"/>
        </w:rPr>
        <w:t>。</w:t>
      </w:r>
    </w:p>
    <w:p>
      <w:pPr>
        <w:tabs>
          <w:tab w:val="left" w:pos="7560"/>
        </w:tabs>
        <w:snapToGrid w:val="0"/>
        <w:spacing w:line="560" w:lineRule="exact"/>
        <w:ind w:firstLine="640" w:firstLineChars="200"/>
        <w:jc w:val="left"/>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民生补助专项1.73万元，为区级资金，主要用于维持学校正常运营等各项支出。</w:t>
      </w:r>
    </w:p>
    <w:p>
      <w:pPr>
        <w:tabs>
          <w:tab w:val="left" w:pos="7560"/>
        </w:tabs>
        <w:snapToGrid w:val="0"/>
        <w:spacing w:line="560" w:lineRule="exact"/>
        <w:ind w:firstLine="640" w:firstLineChars="200"/>
        <w:jc w:val="left"/>
        <w:rPr>
          <w:rFonts w:hint="eastAsia" w:ascii="楷体_GB2312" w:eastAsia="楷体_GB2312"/>
          <w:bCs/>
          <w:color w:val="000000"/>
          <w:sz w:val="32"/>
          <w:szCs w:val="32"/>
        </w:rPr>
      </w:pPr>
      <w:r>
        <w:rPr>
          <w:rFonts w:hint="eastAsia" w:ascii="楷体_GB2312" w:eastAsia="楷体_GB2312"/>
          <w:bCs/>
          <w:color w:val="000000"/>
          <w:sz w:val="32"/>
          <w:szCs w:val="32"/>
        </w:rPr>
        <w:t>（三）预算收支增减变化情况说明：</w:t>
      </w:r>
      <w:r>
        <w:rPr>
          <w:rFonts w:hint="eastAsia" w:ascii="仿宋_GB2312" w:eastAsia="仿宋_GB2312"/>
          <w:color w:val="000000"/>
          <w:sz w:val="32"/>
          <w:szCs w:val="32"/>
          <w:lang w:eastAsia="zh-CN"/>
        </w:rPr>
        <w:t>2023年度本本单位年初预算数为302.69万元，202</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年度本单位年初预算数为</w:t>
      </w:r>
      <w:r>
        <w:rPr>
          <w:rFonts w:hint="eastAsia" w:ascii="仿宋_GB2312" w:eastAsia="仿宋_GB2312"/>
          <w:color w:val="000000"/>
          <w:sz w:val="32"/>
          <w:szCs w:val="32"/>
          <w:lang w:val="en-US" w:eastAsia="zh-CN"/>
        </w:rPr>
        <w:t>251.14</w:t>
      </w:r>
      <w:r>
        <w:rPr>
          <w:rFonts w:hint="eastAsia" w:ascii="仿宋_GB2312" w:eastAsia="仿宋_GB2312"/>
          <w:color w:val="000000"/>
          <w:sz w:val="32"/>
          <w:szCs w:val="32"/>
        </w:rPr>
        <w:t>万元，比上年</w:t>
      </w:r>
      <w:r>
        <w:rPr>
          <w:rFonts w:hint="eastAsia" w:ascii="仿宋_GB2312" w:eastAsia="仿宋_GB2312"/>
          <w:color w:val="000000"/>
          <w:sz w:val="32"/>
          <w:szCs w:val="32"/>
          <w:lang w:val="en-US" w:eastAsia="zh-CN"/>
        </w:rPr>
        <w:t>减少51.55</w:t>
      </w:r>
      <w:r>
        <w:rPr>
          <w:rFonts w:hint="eastAsia" w:ascii="仿宋_GB2312" w:eastAsia="仿宋_GB2312"/>
          <w:color w:val="000000"/>
          <w:sz w:val="32"/>
          <w:szCs w:val="32"/>
        </w:rPr>
        <w:t>万元，主要原因是</w:t>
      </w:r>
      <w:r>
        <w:rPr>
          <w:rFonts w:hint="eastAsia" w:ascii="仿宋_GB2312" w:eastAsia="仿宋_GB2312"/>
          <w:color w:val="000000"/>
          <w:sz w:val="32"/>
          <w:szCs w:val="32"/>
          <w:lang w:val="en-US" w:eastAsia="zh-CN"/>
        </w:rPr>
        <w:t>学校2019年开始停止招生，师生逐年减少，编制人员减少，人员经费跟着减少。</w:t>
      </w:r>
    </w:p>
    <w:p>
      <w:pPr>
        <w:tabs>
          <w:tab w:val="left" w:pos="7560"/>
        </w:tabs>
        <w:snapToGrid w:val="0"/>
        <w:spacing w:line="560" w:lineRule="exact"/>
        <w:ind w:firstLine="640" w:firstLineChars="200"/>
        <w:jc w:val="left"/>
        <w:rPr>
          <w:rFonts w:hint="eastAsia" w:ascii="黑体" w:hAnsi="黑体" w:eastAsia="黑体"/>
          <w:color w:val="000000"/>
          <w:sz w:val="32"/>
          <w:szCs w:val="32"/>
        </w:rPr>
      </w:pPr>
      <w:r>
        <w:rPr>
          <w:rFonts w:hint="eastAsia" w:ascii="黑体" w:hAnsi="黑体" w:eastAsia="黑体"/>
          <w:color w:val="000000"/>
          <w:sz w:val="32"/>
          <w:szCs w:val="32"/>
        </w:rPr>
        <w:t>四、其他重要事项情况说明</w:t>
      </w:r>
    </w:p>
    <w:p>
      <w:pPr>
        <w:tabs>
          <w:tab w:val="left" w:pos="7560"/>
        </w:tabs>
        <w:adjustRightInd w:val="0"/>
        <w:snapToGrid w:val="0"/>
        <w:spacing w:line="560" w:lineRule="exact"/>
        <w:ind w:firstLine="640" w:firstLineChars="200"/>
        <w:jc w:val="left"/>
        <w:rPr>
          <w:rFonts w:hint="eastAsia" w:ascii="仿宋_GB2312" w:eastAsia="仿宋_GB2312"/>
          <w:color w:val="000000"/>
          <w:sz w:val="32"/>
          <w:szCs w:val="32"/>
        </w:rPr>
      </w:pPr>
      <w:r>
        <w:rPr>
          <w:rFonts w:hint="eastAsia" w:ascii="楷体_GB2312" w:eastAsia="楷体_GB2312"/>
          <w:bCs/>
          <w:color w:val="000000"/>
          <w:sz w:val="32"/>
          <w:szCs w:val="32"/>
        </w:rPr>
        <w:t>（一）机关运行经费：</w:t>
      </w:r>
      <w:r>
        <w:rPr>
          <w:rFonts w:hint="eastAsia" w:ascii="仿宋_GB2312" w:eastAsia="仿宋_GB2312"/>
          <w:color w:val="000000"/>
          <w:sz w:val="32"/>
          <w:szCs w:val="32"/>
        </w:rPr>
        <w:t>本部门2024年年初预算机关运行经费(一般商品和服务支出)安排</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val="en-US" w:eastAsia="zh-CN"/>
        </w:rPr>
        <w:t>。</w:t>
      </w:r>
    </w:p>
    <w:p>
      <w:pPr>
        <w:tabs>
          <w:tab w:val="left" w:pos="7560"/>
        </w:tabs>
        <w:snapToGrid w:val="0"/>
        <w:spacing w:line="560" w:lineRule="exact"/>
        <w:ind w:firstLine="640" w:firstLineChars="200"/>
        <w:jc w:val="left"/>
        <w:rPr>
          <w:rFonts w:hint="eastAsia" w:ascii="楷体_GB2312" w:eastAsia="楷体_GB2312"/>
          <w:bCs/>
          <w:color w:val="000000"/>
          <w:sz w:val="32"/>
          <w:szCs w:val="32"/>
        </w:rPr>
      </w:pPr>
      <w:r>
        <w:rPr>
          <w:rFonts w:hint="eastAsia" w:ascii="楷体_GB2312" w:eastAsia="楷体_GB2312"/>
          <w:bCs/>
          <w:color w:val="000000"/>
          <w:sz w:val="32"/>
          <w:szCs w:val="32"/>
          <w:lang w:eastAsia="zh-CN"/>
        </w:rPr>
        <w:t>（二）</w:t>
      </w:r>
      <w:r>
        <w:rPr>
          <w:rFonts w:hint="eastAsia" w:ascii="楷体_GB2312" w:eastAsia="楷体_GB2312"/>
          <w:bCs/>
          <w:color w:val="000000"/>
          <w:sz w:val="32"/>
          <w:szCs w:val="32"/>
        </w:rPr>
        <w:t>政府采购预算：</w:t>
      </w:r>
      <w:r>
        <w:rPr>
          <w:rFonts w:hint="eastAsia" w:ascii="仿宋_GB2312" w:eastAsia="仿宋_GB2312"/>
          <w:color w:val="000000"/>
          <w:sz w:val="32"/>
          <w:szCs w:val="32"/>
          <w:lang w:val="en-US" w:eastAsia="zh-CN"/>
        </w:rPr>
        <w:t>2024</w:t>
      </w:r>
      <w:r>
        <w:rPr>
          <w:rFonts w:hint="eastAsia" w:ascii="仿宋_GB2312" w:eastAsia="仿宋_GB2312"/>
          <w:color w:val="000000"/>
          <w:sz w:val="32"/>
          <w:szCs w:val="32"/>
        </w:rPr>
        <w:t>年年初预算数为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万元。包含：</w:t>
      </w:r>
      <w:r>
        <w:rPr>
          <w:rFonts w:hint="eastAsia" w:ascii="仿宋_GB2312" w:eastAsia="仿宋_GB2312"/>
          <w:color w:val="000000"/>
          <w:sz w:val="32"/>
          <w:szCs w:val="32"/>
          <w:lang w:eastAsia="zh-CN"/>
        </w:rPr>
        <w:t>货物类采购</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val="en-US" w:eastAsia="zh-CN"/>
        </w:rPr>
        <w:t>、</w:t>
      </w:r>
      <w:r>
        <w:rPr>
          <w:rFonts w:hint="eastAsia" w:ascii="Times New Roman" w:hAnsi="Times New Roman" w:eastAsia="仿宋_GB2312" w:cs="Times New Roman"/>
          <w:color w:val="000000"/>
          <w:sz w:val="32"/>
          <w:szCs w:val="32"/>
        </w:rPr>
        <w:t>服</w:t>
      </w:r>
      <w:r>
        <w:rPr>
          <w:rFonts w:hint="eastAsia" w:ascii="仿宋_GB2312" w:eastAsia="仿宋_GB2312"/>
          <w:color w:val="000000"/>
          <w:sz w:val="32"/>
          <w:szCs w:val="32"/>
          <w:highlight w:val="none"/>
          <w:lang w:val="en-US" w:eastAsia="zh-CN"/>
        </w:rPr>
        <w:t>务类采购0万元、工程类采购0万元</w:t>
      </w:r>
      <w:bookmarkStart w:id="0" w:name="_GoBack"/>
      <w:bookmarkEnd w:id="0"/>
      <w:r>
        <w:rPr>
          <w:rFonts w:hint="eastAsia" w:ascii="仿宋_GB2312" w:eastAsia="仿宋_GB2312"/>
          <w:color w:val="000000"/>
          <w:sz w:val="32"/>
          <w:szCs w:val="32"/>
        </w:rPr>
        <w:t>。</w:t>
      </w:r>
    </w:p>
    <w:p>
      <w:pPr>
        <w:tabs>
          <w:tab w:val="left" w:pos="7560"/>
        </w:tabs>
        <w:snapToGrid w:val="0"/>
        <w:spacing w:line="560" w:lineRule="exact"/>
        <w:ind w:firstLine="640" w:firstLineChars="200"/>
        <w:jc w:val="left"/>
        <w:rPr>
          <w:rFonts w:hint="eastAsia" w:ascii="楷体_GB2312" w:eastAsia="楷体_GB2312"/>
          <w:bCs/>
          <w:color w:val="000000"/>
          <w:sz w:val="32"/>
          <w:szCs w:val="32"/>
        </w:rPr>
      </w:pPr>
      <w:r>
        <w:rPr>
          <w:rFonts w:hint="eastAsia" w:ascii="楷体_GB2312" w:eastAsia="楷体_GB2312"/>
          <w:bCs/>
          <w:color w:val="000000"/>
          <w:sz w:val="32"/>
          <w:szCs w:val="32"/>
        </w:rPr>
        <w:t>（三）国有资产占有情况：</w:t>
      </w:r>
      <w:r>
        <w:rPr>
          <w:rFonts w:hint="eastAsia" w:ascii="仿宋_GB2312" w:eastAsia="仿宋_GB2312"/>
          <w:color w:val="000000"/>
          <w:sz w:val="32"/>
          <w:szCs w:val="32"/>
        </w:rPr>
        <w:t>截止20</w:t>
      </w:r>
      <w:r>
        <w:rPr>
          <w:rFonts w:hint="eastAsia" w:ascii="仿宋_GB2312" w:eastAsia="仿宋_GB2312"/>
          <w:color w:val="000000"/>
          <w:sz w:val="32"/>
          <w:szCs w:val="32"/>
          <w:lang w:val="en-US" w:eastAsia="zh-CN"/>
        </w:rPr>
        <w:t>23</w:t>
      </w:r>
      <w:r>
        <w:rPr>
          <w:rFonts w:hint="eastAsia" w:ascii="仿宋_GB2312" w:eastAsia="仿宋_GB2312"/>
          <w:color w:val="000000"/>
          <w:sz w:val="32"/>
          <w:szCs w:val="32"/>
        </w:rPr>
        <w:t>年12月31日，本部门共有办公及业务用房</w:t>
      </w:r>
      <w:r>
        <w:rPr>
          <w:rFonts w:hint="eastAsia" w:ascii="仿宋_GB2312" w:eastAsia="仿宋_GB2312"/>
          <w:color w:val="000000"/>
          <w:sz w:val="32"/>
          <w:szCs w:val="32"/>
          <w:lang w:val="en-US" w:eastAsia="zh-CN"/>
        </w:rPr>
        <w:t>4917</w:t>
      </w:r>
      <w:r>
        <w:rPr>
          <w:rFonts w:hint="eastAsia" w:ascii="仿宋_GB2312" w:eastAsia="仿宋_GB2312"/>
          <w:color w:val="000000"/>
          <w:sz w:val="32"/>
          <w:szCs w:val="32"/>
        </w:rPr>
        <w:t>平方米；车辆</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辆，其中一般公务用车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辆、一般执法执勤用车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辆、货币化用车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辆；单位价值200万以上大型设备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套。</w:t>
      </w:r>
      <w:r>
        <w:rPr>
          <w:rFonts w:hint="eastAsia" w:ascii="仿宋_GB2312" w:eastAsia="仿宋_GB2312"/>
          <w:color w:val="000000"/>
          <w:sz w:val="32"/>
          <w:szCs w:val="32"/>
          <w:lang w:eastAsia="zh-CN"/>
        </w:rPr>
        <w:t>202</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年部门预算安排购置车辆</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辆，预算安排购置价值200万以上大型设备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套。</w:t>
      </w:r>
    </w:p>
    <w:p>
      <w:pPr>
        <w:tabs>
          <w:tab w:val="left" w:pos="7560"/>
        </w:tabs>
        <w:snapToGrid w:val="0"/>
        <w:spacing w:line="560" w:lineRule="exact"/>
        <w:ind w:firstLine="640" w:firstLineChars="200"/>
        <w:jc w:val="left"/>
        <w:rPr>
          <w:rFonts w:hint="eastAsia" w:ascii="楷体_GB2312" w:eastAsia="楷体_GB2312"/>
          <w:bCs/>
          <w:color w:val="000000"/>
          <w:sz w:val="32"/>
          <w:szCs w:val="32"/>
        </w:rPr>
      </w:pPr>
      <w:r>
        <w:rPr>
          <w:rFonts w:hint="eastAsia" w:ascii="楷体_GB2312" w:eastAsia="楷体_GB2312"/>
          <w:bCs/>
          <w:color w:val="000000"/>
          <w:sz w:val="32"/>
          <w:szCs w:val="32"/>
        </w:rPr>
        <w:t>（四）预算绩效目标：</w:t>
      </w:r>
      <w:r>
        <w:rPr>
          <w:rFonts w:hint="eastAsia" w:ascii="仿宋_GB2312" w:eastAsia="仿宋_GB2312"/>
          <w:color w:val="000000"/>
          <w:sz w:val="32"/>
          <w:szCs w:val="32"/>
        </w:rPr>
        <w:t>本部门整体支出和项目支出实行绩效目标管理，纳入</w:t>
      </w:r>
      <w:r>
        <w:rPr>
          <w:rFonts w:hint="eastAsia" w:ascii="仿宋_GB2312" w:eastAsia="仿宋_GB2312"/>
          <w:color w:val="000000"/>
          <w:sz w:val="32"/>
          <w:szCs w:val="32"/>
          <w:lang w:eastAsia="zh-CN"/>
        </w:rPr>
        <w:t>202</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年部门整体支出绩效目标的金额为</w:t>
      </w:r>
      <w:r>
        <w:rPr>
          <w:rFonts w:hint="eastAsia" w:ascii="仿宋_GB2312" w:eastAsia="仿宋_GB2312"/>
          <w:color w:val="000000"/>
          <w:sz w:val="32"/>
          <w:szCs w:val="32"/>
          <w:lang w:val="en-US" w:eastAsia="zh-CN"/>
        </w:rPr>
        <w:t>251.14</w:t>
      </w:r>
      <w:r>
        <w:rPr>
          <w:rFonts w:hint="eastAsia" w:ascii="仿宋_GB2312" w:eastAsia="仿宋_GB2312"/>
          <w:color w:val="000000"/>
          <w:sz w:val="32"/>
          <w:szCs w:val="32"/>
        </w:rPr>
        <w:t>万元，其中，基本支出</w:t>
      </w:r>
      <w:r>
        <w:rPr>
          <w:rFonts w:hint="eastAsia" w:ascii="仿宋_GB2312" w:eastAsia="仿宋_GB2312"/>
          <w:color w:val="000000"/>
          <w:sz w:val="32"/>
          <w:szCs w:val="32"/>
          <w:lang w:val="en-US" w:eastAsia="zh-CN"/>
        </w:rPr>
        <w:t>242.51</w:t>
      </w:r>
      <w:r>
        <w:rPr>
          <w:rFonts w:hint="eastAsia" w:ascii="仿宋_GB2312" w:eastAsia="仿宋_GB2312"/>
          <w:color w:val="000000"/>
          <w:sz w:val="32"/>
          <w:szCs w:val="32"/>
        </w:rPr>
        <w:t>万元，项目支出</w:t>
      </w:r>
      <w:r>
        <w:rPr>
          <w:rFonts w:hint="eastAsia" w:ascii="仿宋_GB2312" w:eastAsia="仿宋_GB2312"/>
          <w:color w:val="000000"/>
          <w:sz w:val="32"/>
          <w:szCs w:val="32"/>
          <w:lang w:val="en-US" w:eastAsia="zh-CN"/>
        </w:rPr>
        <w:t>8.64</w:t>
      </w:r>
      <w:r>
        <w:rPr>
          <w:rFonts w:hint="eastAsia" w:ascii="仿宋_GB2312" w:eastAsia="仿宋_GB2312"/>
          <w:color w:val="000000"/>
          <w:sz w:val="32"/>
          <w:szCs w:val="32"/>
        </w:rPr>
        <w:t>万元。 </w:t>
      </w:r>
    </w:p>
    <w:p>
      <w:pPr>
        <w:tabs>
          <w:tab w:val="left" w:pos="7560"/>
        </w:tabs>
        <w:adjustRightInd w:val="0"/>
        <w:snapToGrid w:val="0"/>
        <w:spacing w:line="560" w:lineRule="exact"/>
        <w:ind w:firstLine="640" w:firstLineChars="200"/>
        <w:jc w:val="left"/>
        <w:rPr>
          <w:rFonts w:hint="eastAsia" w:ascii="仿宋_GB2312" w:eastAsia="仿宋_GB2312"/>
          <w:b/>
          <w:bCs/>
          <w:color w:val="000000"/>
          <w:sz w:val="32"/>
          <w:szCs w:val="32"/>
        </w:rPr>
      </w:pPr>
      <w:r>
        <w:rPr>
          <w:rFonts w:hint="eastAsia" w:ascii="楷体_GB2312" w:eastAsia="楷体_GB2312"/>
          <w:bCs/>
          <w:color w:val="000000"/>
          <w:sz w:val="32"/>
          <w:szCs w:val="32"/>
        </w:rPr>
        <w:t>（五）“三公”经费预算：</w:t>
      </w:r>
      <w:r>
        <w:rPr>
          <w:rFonts w:hint="eastAsia" w:ascii="仿宋_GB2312" w:eastAsia="仿宋_GB2312"/>
          <w:color w:val="000000"/>
          <w:sz w:val="32"/>
          <w:szCs w:val="32"/>
        </w:rPr>
        <w:t>2024年“三公”经费预算数0万元，其中：公务接待费0万元、公务用车购置费0万元，公务用车运行费0万元、因公出国（境）费0万元。2024年公务用车购置数0台。</w:t>
      </w:r>
    </w:p>
    <w:p>
      <w:pPr>
        <w:tabs>
          <w:tab w:val="left" w:pos="7560"/>
        </w:tabs>
        <w:adjustRightInd w:val="0"/>
        <w:snapToGrid w:val="0"/>
        <w:spacing w:line="560" w:lineRule="exact"/>
        <w:ind w:firstLine="640" w:firstLineChars="200"/>
        <w:jc w:val="left"/>
        <w:rPr>
          <w:rFonts w:hint="eastAsia" w:ascii="楷体_GB2312" w:eastAsia="楷体_GB2312"/>
          <w:bCs/>
          <w:color w:val="000000"/>
          <w:sz w:val="32"/>
          <w:szCs w:val="32"/>
          <w:lang w:val="en-US" w:eastAsia="zh-CN"/>
        </w:rPr>
      </w:pPr>
      <w:r>
        <w:rPr>
          <w:rFonts w:hint="eastAsia" w:ascii="仿宋_GB2312" w:eastAsia="仿宋_GB2312"/>
          <w:color w:val="000000"/>
          <w:sz w:val="32"/>
          <w:szCs w:val="32"/>
        </w:rPr>
        <w:t>2024年“三公”经费预算数比2023年</w:t>
      </w:r>
      <w:r>
        <w:rPr>
          <w:rFonts w:hint="eastAsia" w:ascii="仿宋_GB2312" w:eastAsia="仿宋_GB2312"/>
          <w:color w:val="000000"/>
          <w:sz w:val="32"/>
          <w:szCs w:val="32"/>
          <w:lang w:eastAsia="zh-CN"/>
        </w:rPr>
        <w:t>无变化</w:t>
      </w:r>
      <w:r>
        <w:rPr>
          <w:rFonts w:hint="eastAsia" w:ascii="仿宋_GB2312" w:eastAsia="仿宋_GB2312"/>
          <w:color w:val="000000"/>
          <w:sz w:val="32"/>
          <w:szCs w:val="32"/>
        </w:rPr>
        <w:t>。</w:t>
      </w:r>
    </w:p>
    <w:p>
      <w:pPr>
        <w:tabs>
          <w:tab w:val="left" w:pos="7560"/>
        </w:tabs>
        <w:adjustRightInd w:val="0"/>
        <w:snapToGrid w:val="0"/>
        <w:spacing w:line="560" w:lineRule="exact"/>
        <w:ind w:firstLine="640" w:firstLineChars="200"/>
        <w:jc w:val="left"/>
        <w:rPr>
          <w:rFonts w:hint="eastAsia" w:ascii="楷体_GB2312" w:eastAsia="楷体_GB2312"/>
          <w:bCs/>
          <w:color w:val="000000"/>
          <w:sz w:val="32"/>
          <w:szCs w:val="32"/>
        </w:rPr>
      </w:pPr>
      <w:r>
        <w:rPr>
          <w:rFonts w:hint="eastAsia" w:ascii="楷体_GB2312" w:eastAsia="楷体_GB2312"/>
          <w:bCs/>
          <w:color w:val="000000"/>
          <w:sz w:val="32"/>
          <w:szCs w:val="32"/>
        </w:rPr>
        <w:t>（六）会议费、培训费预算：</w:t>
      </w:r>
    </w:p>
    <w:p>
      <w:pPr>
        <w:tabs>
          <w:tab w:val="left" w:pos="7560"/>
        </w:tabs>
        <w:adjustRightInd w:val="0"/>
        <w:snapToGrid w:val="0"/>
        <w:spacing w:line="56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2024年预算安排会议费</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tabs>
          <w:tab w:val="left" w:pos="7560"/>
        </w:tabs>
        <w:adjustRightInd w:val="0"/>
        <w:snapToGrid w:val="0"/>
        <w:spacing w:line="560" w:lineRule="exact"/>
        <w:ind w:firstLine="640" w:firstLineChars="200"/>
        <w:jc w:val="left"/>
        <w:rPr>
          <w:rFonts w:hint="eastAsia" w:ascii="仿宋_GB2312" w:eastAsia="仿宋_GB2312"/>
          <w:color w:val="000000"/>
          <w:sz w:val="32"/>
          <w:szCs w:val="32"/>
          <w:lang w:eastAsia="zh-CN"/>
        </w:rPr>
      </w:pPr>
      <w:r>
        <w:rPr>
          <w:rFonts w:hint="eastAsia" w:ascii="仿宋_GB2312" w:eastAsia="仿宋_GB2312"/>
          <w:color w:val="000000"/>
          <w:sz w:val="32"/>
          <w:szCs w:val="32"/>
        </w:rPr>
        <w:t>2024年预算安排培训费</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tabs>
          <w:tab w:val="left" w:pos="7560"/>
        </w:tabs>
        <w:adjustRightInd w:val="0"/>
        <w:snapToGrid w:val="0"/>
        <w:spacing w:line="560" w:lineRule="exact"/>
        <w:ind w:firstLine="640" w:firstLineChars="200"/>
        <w:jc w:val="left"/>
        <w:rPr>
          <w:rFonts w:hint="eastAsia" w:ascii="楷体_GB2312" w:eastAsia="楷体_GB2312"/>
          <w:bCs/>
          <w:color w:val="000000"/>
          <w:sz w:val="32"/>
          <w:szCs w:val="32"/>
        </w:rPr>
      </w:pPr>
      <w:r>
        <w:rPr>
          <w:rFonts w:hint="eastAsia" w:ascii="楷体_GB2312" w:eastAsia="楷体_GB2312"/>
          <w:bCs/>
          <w:color w:val="000000"/>
          <w:sz w:val="32"/>
          <w:szCs w:val="32"/>
          <w:lang w:eastAsia="zh-CN"/>
        </w:rPr>
        <w:t>（七）</w:t>
      </w:r>
      <w:r>
        <w:rPr>
          <w:rFonts w:hint="eastAsia" w:ascii="楷体_GB2312" w:eastAsia="楷体_GB2312"/>
          <w:bCs/>
          <w:color w:val="000000"/>
          <w:sz w:val="32"/>
          <w:szCs w:val="32"/>
        </w:rPr>
        <w:t>其他事项。</w:t>
      </w:r>
      <w:r>
        <w:rPr>
          <w:rFonts w:eastAsia="仿宋_GB2312"/>
          <w:sz w:val="32"/>
          <w:szCs w:val="32"/>
        </w:rPr>
        <w:t>公开表格中的空白表格，均为本部门不涉及的内容，如政府性基金预算表、</w:t>
      </w:r>
      <w:r>
        <w:rPr>
          <w:rFonts w:hint="eastAsia" w:eastAsia="仿宋_GB2312"/>
          <w:sz w:val="32"/>
          <w:szCs w:val="32"/>
          <w:lang w:eastAsia="zh-CN"/>
        </w:rPr>
        <w:t>财政专户管理资金预算支出表</w:t>
      </w:r>
      <w:r>
        <w:rPr>
          <w:rFonts w:eastAsia="仿宋_GB2312"/>
          <w:sz w:val="32"/>
          <w:szCs w:val="32"/>
        </w:rPr>
        <w:t>，以及其他金额为零的相关事项等。</w:t>
      </w:r>
    </w:p>
    <w:p>
      <w:pPr>
        <w:tabs>
          <w:tab w:val="left" w:pos="7560"/>
        </w:tabs>
        <w:snapToGrid w:val="0"/>
        <w:spacing w:line="560" w:lineRule="exact"/>
        <w:ind w:firstLine="640" w:firstLineChars="200"/>
        <w:jc w:val="left"/>
        <w:rPr>
          <w:rFonts w:hint="eastAsia" w:ascii="黑体" w:hAnsi="黑体" w:eastAsia="黑体"/>
          <w:color w:val="000000"/>
          <w:sz w:val="32"/>
          <w:szCs w:val="32"/>
          <w:lang w:eastAsia="zh-CN"/>
        </w:rPr>
      </w:pPr>
      <w:r>
        <w:rPr>
          <w:rFonts w:hint="eastAsia" w:ascii="黑体" w:hAnsi="黑体" w:eastAsia="黑体"/>
          <w:color w:val="000000"/>
          <w:sz w:val="32"/>
          <w:szCs w:val="32"/>
          <w:lang w:eastAsia="zh-CN"/>
        </w:rPr>
        <w:t>五</w:t>
      </w:r>
      <w:r>
        <w:rPr>
          <w:rFonts w:hint="eastAsia" w:ascii="黑体" w:hAnsi="黑体" w:eastAsia="黑体"/>
          <w:color w:val="000000"/>
          <w:sz w:val="32"/>
          <w:szCs w:val="32"/>
        </w:rPr>
        <w:t>、</w:t>
      </w:r>
      <w:r>
        <w:rPr>
          <w:rFonts w:hint="eastAsia" w:ascii="黑体" w:hAnsi="黑体" w:eastAsia="黑体"/>
          <w:color w:val="000000"/>
          <w:sz w:val="32"/>
          <w:szCs w:val="32"/>
          <w:lang w:eastAsia="zh-CN"/>
        </w:rPr>
        <w:t>名词解释：</w:t>
      </w:r>
    </w:p>
    <w:p>
      <w:pPr>
        <w:tabs>
          <w:tab w:val="left" w:pos="7560"/>
        </w:tabs>
        <w:snapToGrid w:val="0"/>
        <w:spacing w:line="560" w:lineRule="exact"/>
        <w:ind w:firstLine="642" w:firstLineChars="200"/>
        <w:jc w:val="left"/>
        <w:rPr>
          <w:rFonts w:hint="eastAsia" w:ascii="仿宋_GB2312" w:eastAsia="仿宋_GB2312"/>
          <w:b/>
          <w:sz w:val="32"/>
          <w:szCs w:val="32"/>
        </w:rPr>
      </w:pPr>
      <w:r>
        <w:rPr>
          <w:rFonts w:hint="eastAsia" w:ascii="仿宋_GB2312" w:eastAsia="仿宋_GB2312"/>
          <w:b/>
          <w:sz w:val="32"/>
          <w:szCs w:val="32"/>
        </w:rPr>
        <w:t>1.一般公共预算:</w:t>
      </w:r>
      <w:r>
        <w:rPr>
          <w:rFonts w:hint="eastAsia" w:ascii="仿宋_GB2312" w:eastAsia="仿宋_GB2312"/>
          <w:sz w:val="32"/>
          <w:szCs w:val="32"/>
        </w:rPr>
        <w:t xml:space="preserve"> 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p>
    <w:p>
      <w:pPr>
        <w:tabs>
          <w:tab w:val="left" w:pos="7560"/>
        </w:tabs>
        <w:snapToGrid w:val="0"/>
        <w:spacing w:line="560" w:lineRule="exact"/>
        <w:ind w:firstLine="642" w:firstLineChars="200"/>
        <w:jc w:val="left"/>
        <w:rPr>
          <w:rFonts w:hint="eastAsia" w:ascii="仿宋_GB2312" w:eastAsia="仿宋_GB2312"/>
          <w:b/>
          <w:sz w:val="32"/>
          <w:szCs w:val="32"/>
        </w:rPr>
      </w:pPr>
      <w:r>
        <w:rPr>
          <w:rFonts w:hint="eastAsia" w:ascii="仿宋_GB2312" w:eastAsia="仿宋_GB2312"/>
          <w:b/>
          <w:sz w:val="32"/>
          <w:szCs w:val="32"/>
        </w:rPr>
        <w:t>2.政府性基金预算:</w:t>
      </w:r>
      <w:r>
        <w:rPr>
          <w:rFonts w:hint="eastAsia" w:ascii="仿宋_GB2312" w:eastAsia="仿宋_GB2312"/>
          <w:sz w:val="32"/>
          <w:szCs w:val="32"/>
        </w:rPr>
        <w:t xml:space="preserve"> 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tabs>
          <w:tab w:val="left" w:pos="7560"/>
        </w:tabs>
        <w:snapToGrid w:val="0"/>
        <w:spacing w:line="560" w:lineRule="exact"/>
        <w:ind w:firstLine="642" w:firstLineChars="200"/>
        <w:jc w:val="left"/>
        <w:rPr>
          <w:rFonts w:hint="eastAsia" w:ascii="仿宋_GB2312" w:eastAsia="仿宋_GB2312"/>
          <w:b/>
          <w:sz w:val="32"/>
          <w:szCs w:val="32"/>
        </w:rPr>
      </w:pPr>
      <w:r>
        <w:rPr>
          <w:rFonts w:hint="eastAsia" w:ascii="仿宋_GB2312" w:eastAsia="仿宋_GB2312"/>
          <w:b/>
          <w:sz w:val="32"/>
          <w:szCs w:val="32"/>
        </w:rPr>
        <w:t xml:space="preserve">3.国有资本经营预算: </w:t>
      </w:r>
      <w:r>
        <w:rPr>
          <w:rFonts w:hint="eastAsia" w:ascii="仿宋_GB2312" w:eastAsia="仿宋_GB2312"/>
          <w:sz w:val="32"/>
          <w:szCs w:val="32"/>
        </w:rPr>
        <w:t>是对国有资本收益作出支出安排的收支预算。应当按照收支平衡的原则编制，不列赤字，并安排资金调入一般公共预算。</w:t>
      </w:r>
    </w:p>
    <w:p>
      <w:pPr>
        <w:tabs>
          <w:tab w:val="left" w:pos="7560"/>
        </w:tabs>
        <w:snapToGrid w:val="0"/>
        <w:spacing w:line="560" w:lineRule="exact"/>
        <w:ind w:firstLine="642" w:firstLineChars="200"/>
        <w:jc w:val="left"/>
        <w:rPr>
          <w:rFonts w:hint="eastAsia" w:ascii="仿宋_GB2312" w:eastAsia="仿宋_GB2312"/>
          <w:b/>
          <w:sz w:val="32"/>
          <w:szCs w:val="32"/>
        </w:rPr>
      </w:pPr>
      <w:r>
        <w:rPr>
          <w:rFonts w:hint="eastAsia" w:ascii="仿宋_GB2312" w:eastAsia="仿宋_GB2312"/>
          <w:b/>
          <w:sz w:val="32"/>
          <w:szCs w:val="32"/>
        </w:rPr>
        <w:t>4.社会保险基金预算:</w:t>
      </w:r>
      <w:r>
        <w:rPr>
          <w:rFonts w:hint="eastAsia" w:ascii="仿宋_GB2312" w:eastAsia="仿宋_GB2312"/>
          <w:sz w:val="32"/>
          <w:szCs w:val="32"/>
        </w:rPr>
        <w:t xml:space="preserve"> 是对社会保险缴款、一般公共预算安排和其他方式筹集的资金，专项用于社会保险的收支预算。应当按照统筹层次和社会保险项目分别编制，做到收支平衡。</w:t>
      </w:r>
    </w:p>
    <w:p>
      <w:pPr>
        <w:tabs>
          <w:tab w:val="left" w:pos="7560"/>
        </w:tabs>
        <w:snapToGrid w:val="0"/>
        <w:spacing w:line="560" w:lineRule="exact"/>
        <w:ind w:firstLine="642" w:firstLineChars="200"/>
        <w:jc w:val="left"/>
        <w:rPr>
          <w:rFonts w:hint="eastAsia" w:ascii="仿宋_GB2312" w:eastAsia="仿宋_GB2312"/>
          <w:b/>
          <w:sz w:val="32"/>
          <w:szCs w:val="32"/>
        </w:rPr>
      </w:pPr>
      <w:r>
        <w:rPr>
          <w:rFonts w:hint="eastAsia" w:ascii="仿宋_GB2312" w:eastAsia="仿宋_GB2312"/>
          <w:b/>
          <w:sz w:val="32"/>
          <w:szCs w:val="32"/>
        </w:rPr>
        <w:t>5.基本支出：</w:t>
      </w:r>
      <w:r>
        <w:rPr>
          <w:rFonts w:hint="eastAsia" w:ascii="仿宋_GB2312" w:eastAsia="仿宋_GB2312"/>
          <w:sz w:val="32"/>
          <w:szCs w:val="32"/>
        </w:rPr>
        <w:t>指为保障机构正常运转、完成日常工作任务而发生的人员支出和公用支出。</w:t>
      </w:r>
    </w:p>
    <w:p>
      <w:pPr>
        <w:tabs>
          <w:tab w:val="left" w:pos="7560"/>
        </w:tabs>
        <w:snapToGrid w:val="0"/>
        <w:spacing w:line="560" w:lineRule="exact"/>
        <w:ind w:firstLine="642" w:firstLineChars="200"/>
        <w:jc w:val="left"/>
        <w:rPr>
          <w:rFonts w:hint="eastAsia" w:ascii="仿宋_GB2312" w:eastAsia="仿宋_GB2312"/>
          <w:b/>
          <w:sz w:val="32"/>
          <w:szCs w:val="32"/>
        </w:rPr>
      </w:pPr>
      <w:r>
        <w:rPr>
          <w:rFonts w:hint="eastAsia" w:ascii="仿宋_GB2312" w:eastAsia="仿宋_GB2312"/>
          <w:b/>
          <w:sz w:val="32"/>
          <w:szCs w:val="32"/>
        </w:rPr>
        <w:t>6.项目支出：</w:t>
      </w:r>
      <w:r>
        <w:rPr>
          <w:rFonts w:hint="eastAsia" w:ascii="仿宋_GB2312" w:eastAsia="仿宋_GB2312"/>
          <w:sz w:val="32"/>
          <w:szCs w:val="32"/>
        </w:rPr>
        <w:t>指在基本支出之外为完成特定行政任务和事业发展目标所发生的支出。</w:t>
      </w:r>
    </w:p>
    <w:p>
      <w:pPr>
        <w:tabs>
          <w:tab w:val="left" w:pos="7560"/>
        </w:tabs>
        <w:snapToGrid w:val="0"/>
        <w:spacing w:line="560" w:lineRule="exact"/>
        <w:ind w:firstLine="642" w:firstLineChars="200"/>
        <w:jc w:val="left"/>
        <w:rPr>
          <w:rFonts w:hint="eastAsia" w:ascii="仿宋_GB2312" w:eastAsia="仿宋_GB2312"/>
          <w:b/>
          <w:sz w:val="32"/>
          <w:szCs w:val="32"/>
        </w:rPr>
      </w:pPr>
      <w:r>
        <w:rPr>
          <w:rFonts w:hint="eastAsia" w:ascii="仿宋_GB2312" w:eastAsia="仿宋_GB2312"/>
          <w:b/>
          <w:sz w:val="32"/>
          <w:szCs w:val="32"/>
        </w:rPr>
        <w:t>7.“三公”经费：</w:t>
      </w:r>
      <w:r>
        <w:rPr>
          <w:rFonts w:hint="eastAsia" w:ascii="仿宋_GB2312" w:eastAsia="仿宋_GB2312"/>
          <w:sz w:val="32"/>
          <w:szCs w:val="32"/>
        </w:rPr>
        <w:t>是指商品和服务支出中的因公出国（境）费用、公务用车购置及运行维护费和公务接待费。</w:t>
      </w:r>
    </w:p>
    <w:p>
      <w:pPr>
        <w:tabs>
          <w:tab w:val="left" w:pos="7560"/>
        </w:tabs>
        <w:snapToGrid w:val="0"/>
        <w:spacing w:line="560" w:lineRule="exact"/>
        <w:ind w:firstLine="642" w:firstLineChars="200"/>
        <w:jc w:val="left"/>
        <w:rPr>
          <w:rFonts w:hint="eastAsia" w:ascii="仿宋_GB2312" w:eastAsia="仿宋_GB2312"/>
          <w:b/>
          <w:sz w:val="32"/>
          <w:szCs w:val="32"/>
        </w:rPr>
      </w:pPr>
      <w:r>
        <w:rPr>
          <w:rFonts w:hint="eastAsia" w:ascii="仿宋_GB2312" w:eastAsia="仿宋_GB2312"/>
          <w:b/>
          <w:sz w:val="32"/>
          <w:szCs w:val="32"/>
        </w:rPr>
        <w:t>8.机关运行经费：</w:t>
      </w:r>
      <w:r>
        <w:rPr>
          <w:rFonts w:hint="eastAsia" w:ascii="仿宋_GB2312" w:eastAsia="仿宋_GB2312"/>
          <w:sz w:val="32"/>
          <w:szCs w:val="32"/>
        </w:rPr>
        <w:t>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tabs>
          <w:tab w:val="left" w:pos="7560"/>
        </w:tabs>
        <w:snapToGrid w:val="0"/>
        <w:spacing w:line="560" w:lineRule="exact"/>
        <w:ind w:firstLine="640" w:firstLineChars="200"/>
        <w:rPr>
          <w:rFonts w:hint="eastAsia" w:ascii="仿宋_GB2312" w:eastAsia="仿宋_GB2312"/>
          <w:sz w:val="32"/>
          <w:szCs w:val="32"/>
        </w:rPr>
      </w:pPr>
    </w:p>
    <w:p>
      <w:pPr>
        <w:tabs>
          <w:tab w:val="left" w:pos="7560"/>
        </w:tabs>
        <w:snapToGrid w:val="0"/>
        <w:spacing w:line="560" w:lineRule="exact"/>
        <w:ind w:firstLine="640" w:firstLineChars="200"/>
        <w:jc w:val="left"/>
        <w:rPr>
          <w:rFonts w:hint="eastAsia" w:ascii="黑体" w:hAnsi="黑体" w:eastAsia="黑体"/>
          <w:color w:val="000000"/>
          <w:sz w:val="32"/>
          <w:szCs w:val="32"/>
          <w:lang w:eastAsia="zh-CN"/>
        </w:rPr>
      </w:pPr>
      <w:r>
        <w:rPr>
          <w:rFonts w:hint="eastAsia" w:ascii="黑体" w:hAnsi="黑体" w:eastAsia="黑体"/>
          <w:color w:val="000000"/>
          <w:sz w:val="32"/>
          <w:szCs w:val="32"/>
          <w:lang w:eastAsia="zh-CN"/>
        </w:rPr>
        <w:t>六</w:t>
      </w:r>
      <w:r>
        <w:rPr>
          <w:rFonts w:hint="eastAsia" w:ascii="黑体" w:hAnsi="黑体" w:eastAsia="黑体"/>
          <w:color w:val="000000"/>
          <w:sz w:val="32"/>
          <w:szCs w:val="32"/>
        </w:rPr>
        <w:t>、部门预算公开表格</w:t>
      </w:r>
    </w:p>
    <w:p>
      <w:pPr>
        <w:tabs>
          <w:tab w:val="left" w:pos="7560"/>
        </w:tabs>
        <w:snapToGrid w:val="0"/>
        <w:spacing w:line="560" w:lineRule="exact"/>
        <w:ind w:firstLine="640" w:firstLineChars="200"/>
        <w:jc w:val="left"/>
        <w:rPr>
          <w:rFonts w:hint="eastAsia" w:ascii="仿宋_GB2312" w:eastAsia="仿宋_GB2312"/>
          <w:sz w:val="32"/>
          <w:szCs w:val="32"/>
          <w:lang w:eastAsia="zh-CN"/>
        </w:rPr>
      </w:pPr>
      <w:r>
        <w:rPr>
          <w:rFonts w:hint="eastAsia" w:ascii="仿宋_GB2312" w:eastAsia="仿宋_GB2312"/>
          <w:sz w:val="32"/>
          <w:szCs w:val="32"/>
          <w:lang w:eastAsia="zh-CN"/>
        </w:rPr>
        <w:t>（具体见石峰区部门预算公开表）</w:t>
      </w:r>
    </w:p>
    <w:p>
      <w:pPr>
        <w:tabs>
          <w:tab w:val="left" w:pos="7560"/>
        </w:tabs>
        <w:snapToGrid w:val="0"/>
        <w:spacing w:line="560" w:lineRule="exact"/>
        <w:ind w:firstLine="640" w:firstLineChars="200"/>
        <w:jc w:val="left"/>
        <w:rPr>
          <w:rFonts w:hint="eastAsia" w:ascii="楷体_GB2312" w:eastAsia="楷体_GB2312"/>
          <w:bCs/>
          <w:color w:val="000000"/>
          <w:sz w:val="32"/>
          <w:szCs w:val="32"/>
          <w:lang w:eastAsia="zh-CN"/>
        </w:rPr>
      </w:pPr>
    </w:p>
    <w:p>
      <w:pPr>
        <w:tabs>
          <w:tab w:val="left" w:pos="7560"/>
        </w:tabs>
        <w:snapToGrid w:val="0"/>
        <w:spacing w:line="560" w:lineRule="exact"/>
        <w:ind w:firstLine="640" w:firstLineChars="200"/>
        <w:jc w:val="left"/>
        <w:rPr>
          <w:rFonts w:hint="eastAsia" w:ascii="楷体_GB2312" w:eastAsia="楷体_GB2312"/>
          <w:bCs/>
          <w:color w:val="000000"/>
          <w:sz w:val="32"/>
          <w:szCs w:val="32"/>
          <w:lang w:eastAsia="zh-CN"/>
        </w:rPr>
      </w:pPr>
    </w:p>
    <w:p>
      <w:pPr>
        <w:tabs>
          <w:tab w:val="left" w:pos="7560"/>
        </w:tabs>
        <w:snapToGrid w:val="0"/>
        <w:spacing w:line="560" w:lineRule="exact"/>
        <w:ind w:firstLine="640" w:firstLineChars="200"/>
        <w:jc w:val="left"/>
        <w:rPr>
          <w:rFonts w:hint="eastAsia" w:ascii="楷体_GB2312" w:eastAsia="楷体_GB2312"/>
          <w:bCs/>
          <w:color w:val="000000"/>
          <w:sz w:val="32"/>
          <w:szCs w:val="32"/>
          <w:lang w:eastAsia="zh-CN"/>
        </w:rPr>
      </w:pPr>
    </w:p>
    <w:p>
      <w:pPr>
        <w:tabs>
          <w:tab w:val="left" w:pos="7560"/>
        </w:tabs>
        <w:snapToGrid w:val="0"/>
        <w:spacing w:line="560" w:lineRule="exact"/>
        <w:ind w:firstLine="640" w:firstLineChars="200"/>
        <w:jc w:val="left"/>
        <w:rPr>
          <w:rFonts w:hint="eastAsia" w:ascii="楷体_GB2312" w:eastAsia="楷体_GB2312"/>
          <w:bCs/>
          <w:color w:val="000000"/>
          <w:sz w:val="32"/>
          <w:szCs w:val="32"/>
          <w:lang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00"/>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isplayHorizontalDrawingGridEvery w:val="1"/>
  <w:displayVerticalDrawingGridEvery w:val="1"/>
  <w:compat>
    <w:balanceSingleByteDoubleByteWidth/>
    <w:doNotLeaveBackslashAlone/>
    <w:ulTrailSpace/>
    <w:doNotExpandShiftReturn/>
    <w:adjustLineHeightInTable/>
    <w:useFELayout/>
    <w:compatSetting w:name="compatibilityMode" w:uri="http://schemas.microsoft.com/office/word" w:val="11"/>
  </w:compat>
  <w:docVars>
    <w:docVar w:name="commondata" w:val="eyJoZGlkIjoiZTM4NWM4NGNkNjZkMzhmOTMwOGQxZDdmN2IxODY3ZmEifQ=="/>
  </w:docVars>
  <w:rsids>
    <w:rsidRoot w:val="00000000"/>
    <w:rsid w:val="3B427A85"/>
    <w:rsid w:val="9BFFE7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4"/>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默认段落字体1"/>
    <w:link w:val="1"/>
    <w:semiHidden/>
    <w:qFormat/>
    <w:uiPriority w:val="0"/>
  </w:style>
  <w:style w:type="table" w:customStyle="1" w:styleId="5">
    <w:name w:val="普通表格1"/>
    <w:semiHidden/>
    <w:qFormat/>
    <w:uiPriority w:val="0"/>
  </w:style>
  <w:style w:type="paragraph" w:customStyle="1" w:styleId="6">
    <w:name w:val="页脚1"/>
    <w:basedOn w:val="1"/>
    <w:qFormat/>
    <w:uiPriority w:val="0"/>
    <w:pPr>
      <w:tabs>
        <w:tab w:val="center" w:pos="4153"/>
        <w:tab w:val="right" w:pos="8306"/>
      </w:tabs>
      <w:snapToGrid w:val="0"/>
      <w:jc w:val="left"/>
    </w:pPr>
    <w:rPr>
      <w:sz w:val="18"/>
    </w:rPr>
  </w:style>
  <w:style w:type="paragraph" w:customStyle="1" w:styleId="7">
    <w:name w:val="页眉1"/>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0</Words>
  <Characters>0</Characters>
  <Lines>0</Lines>
  <Paragraphs>0</Paragraphs>
  <TotalTime>0</TotalTime>
  <ScaleCrop>false</ScaleCrop>
  <LinksUpToDate>false</LinksUpToDate>
  <CharactersWithSpaces>0</CharactersWithSpaces>
  <Application>WPS Office_12.8.2.1112_F1E327BC-269C-435d-A152-05C5408002CA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2024-03-25T15:00:00Z</dcterms:created>
  <dc:creator>Administrator</dc:creator>
  <cp:lastModifiedBy>sfqczj</cp:lastModifiedBy>
  <dcterms:modified xsi:type="dcterms:W3CDTF">2025-04-27T17:18:32Z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9AE391A0322F45AFBAA27CAAB0460012_12</vt:lpwstr>
  </property>
</Properties>
</file>