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napToGrid w:val="0"/>
        <w:spacing w:line="560" w:lineRule="exact"/>
        <w:jc w:val="center"/>
        <w:rPr>
          <w:rFonts w:ascii="方正小标宋简体;黑体" w:hAnsi="方正小标宋简体;黑体" w:eastAsia="方正小标宋简体;黑体"/>
          <w:b/>
          <w:bCs w:val="0"/>
          <w:color w:val="000000"/>
          <w:sz w:val="44"/>
          <w:szCs w:val="44"/>
        </w:rPr>
      </w:pPr>
      <w:r>
        <w:rPr>
          <w:rFonts w:eastAsia="方正小标宋简体;黑体"/>
          <w:b/>
          <w:bCs w:val="0"/>
          <w:sz w:val="44"/>
          <w:szCs w:val="44"/>
        </w:rPr>
        <w:t>株洲市石峰区司法局</w:t>
      </w:r>
    </w:p>
    <w:p>
      <w:pPr>
        <w:tabs>
          <w:tab w:val="left" w:pos="7560"/>
        </w:tabs>
        <w:snapToGrid w:val="0"/>
        <w:spacing w:line="560" w:lineRule="exact"/>
        <w:jc w:val="center"/>
        <w:rPr>
          <w:rFonts w:ascii="方正小标宋简体;黑体" w:hAnsi="方正小标宋简体;黑体" w:eastAsia="方正小标宋简体;黑体"/>
          <w:bCs/>
          <w:color w:val="000000"/>
          <w:sz w:val="44"/>
          <w:szCs w:val="44"/>
        </w:rPr>
      </w:pPr>
      <w:r>
        <w:rPr>
          <w:rFonts w:ascii="方正小标宋简体;黑体" w:hAnsi="方正小标宋简体;黑体" w:eastAsia="方正小标宋简体;黑体"/>
          <w:b/>
          <w:bCs w:val="0"/>
          <w:color w:val="000000"/>
          <w:sz w:val="44"/>
          <w:szCs w:val="44"/>
        </w:rPr>
        <w:t>202</w:t>
      </w:r>
      <w:r>
        <w:rPr>
          <w:rFonts w:hint="eastAsia" w:ascii="方正小标宋简体;黑体" w:hAnsi="方正小标宋简体;黑体" w:eastAsia="方正小标宋简体;黑体"/>
          <w:b/>
          <w:bCs w:val="0"/>
          <w:color w:val="000000"/>
          <w:sz w:val="44"/>
          <w:szCs w:val="44"/>
        </w:rPr>
        <w:t>4</w:t>
      </w:r>
      <w:r>
        <w:rPr>
          <w:rFonts w:ascii="方正小标宋简体;黑体" w:hAnsi="方正小标宋简体;黑体" w:eastAsia="方正小标宋简体;黑体"/>
          <w:b/>
          <w:bCs w:val="0"/>
          <w:color w:val="000000"/>
          <w:sz w:val="44"/>
          <w:szCs w:val="44"/>
        </w:rPr>
        <w:t>年部门预算公开说明</w:t>
      </w:r>
    </w:p>
    <w:p>
      <w:pPr>
        <w:tabs>
          <w:tab w:val="left" w:pos="7560"/>
        </w:tabs>
        <w:snapToGrid w:val="0"/>
        <w:spacing w:line="560" w:lineRule="exact"/>
        <w:jc w:val="left"/>
        <w:rPr>
          <w:rFonts w:ascii="仿宋_GB2312;仿宋" w:hAnsi="仿宋_GB2312;仿宋" w:eastAsia="仿宋_GB2312;仿宋"/>
          <w:bCs/>
          <w:color w:val="000000"/>
          <w:sz w:val="32"/>
          <w:szCs w:val="32"/>
        </w:rPr>
      </w:pPr>
    </w:p>
    <w:p>
      <w:pPr>
        <w:tabs>
          <w:tab w:val="left" w:pos="7560"/>
        </w:tabs>
        <w:snapToGrid w:val="0"/>
        <w:spacing w:line="560" w:lineRule="exact"/>
        <w:jc w:val="center"/>
        <w:rPr>
          <w:rFonts w:ascii="黑体" w:hAnsi="黑体" w:eastAsia="黑体" w:cs="黑体"/>
          <w:bCs/>
          <w:sz w:val="32"/>
          <w:szCs w:val="32"/>
        </w:rPr>
      </w:pPr>
      <w:r>
        <w:rPr>
          <w:rFonts w:ascii="黑体" w:hAnsi="黑体" w:eastAsia="黑体" w:cs="黑体"/>
          <w:bCs/>
          <w:sz w:val="32"/>
          <w:szCs w:val="32"/>
        </w:rPr>
        <w:t>部门预算公开信息目录</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一、部门职能职责</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三、部门收支概况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（三）预算收支增减变化情况说明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（三）国有资产占有情况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（四）预算绩效目标</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（五）“三公”经费预算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（六）会议费、培训费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（七）其他事项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五、名词解释</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六、部门预算公开表格</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七、绩效目标申报表格</w:t>
      </w:r>
    </w:p>
    <w:p>
      <w:pPr>
        <w:tabs>
          <w:tab w:val="left" w:pos="7560"/>
        </w:tabs>
        <w:snapToGrid w:val="0"/>
        <w:spacing w:line="560" w:lineRule="exact"/>
        <w:jc w:val="left"/>
        <w:rPr>
          <w:rFonts w:hint="eastAsia" w:ascii="仿宋_GB2312;仿宋" w:hAnsi="仿宋_GB2312;仿宋" w:eastAsia="仿宋_GB2312;仿宋" w:cs="仿宋_GB2312;仿宋"/>
          <w:sz w:val="32"/>
          <w:szCs w:val="32"/>
        </w:rPr>
      </w:pPr>
    </w:p>
    <w:p>
      <w:pPr>
        <w:tabs>
          <w:tab w:val="left" w:pos="7560"/>
        </w:tabs>
        <w:snapToGrid w:val="0"/>
        <w:spacing w:line="560" w:lineRule="exact"/>
        <w:jc w:val="left"/>
        <w:rPr>
          <w:rFonts w:ascii="仿宋_GB2312;仿宋" w:hAnsi="仿宋_GB2312;仿宋" w:eastAsia="仿宋_GB2312;仿宋" w:cs="仿宋_GB2312;仿宋"/>
          <w:sz w:val="32"/>
          <w:szCs w:val="32"/>
        </w:rPr>
      </w:pPr>
    </w:p>
    <w:p>
      <w:pPr>
        <w:tabs>
          <w:tab w:val="left" w:pos="7560"/>
        </w:tabs>
        <w:snapToGrid w:val="0"/>
        <w:spacing w:line="560" w:lineRule="exact"/>
        <w:jc w:val="left"/>
        <w:rPr>
          <w:rFonts w:ascii="仿宋_GB2312;仿宋" w:hAnsi="仿宋_GB2312;仿宋" w:eastAsia="仿宋_GB2312;仿宋" w:cs="仿宋_GB2312;仿宋"/>
          <w:sz w:val="32"/>
          <w:szCs w:val="32"/>
        </w:rPr>
      </w:pPr>
    </w:p>
    <w:p>
      <w:pPr>
        <w:keepNext w:val="0"/>
        <w:keepLines w:val="0"/>
        <w:pageBreakBefore w:val="0"/>
        <w:numPr>
          <w:ilvl w:val="0"/>
          <w:numId w:val="1"/>
        </w:numPr>
        <w:tabs>
          <w:tab w:val="left" w:pos="7560"/>
        </w:tabs>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sz w:val="32"/>
          <w:szCs w:val="32"/>
        </w:rPr>
      </w:pPr>
      <w:r>
        <w:rPr>
          <w:rFonts w:ascii="黑体" w:hAnsi="黑体" w:eastAsia="黑体" w:cs="黑体"/>
          <w:sz w:val="32"/>
          <w:szCs w:val="32"/>
        </w:rPr>
        <w:t>部门职能职责</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（一）承担全面依法治区重大问题的政策研究，拟定全面依法治区中长期规划建议，负责全区相关重大决策部署落实的指导、督察工作。</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指导全区规范性文件管理有关工作，承担区政府规范性文件送审稿的合法性审查工作，承办区政府及其各部门规范性文件的登记工作。负责报送备案区政府规范性文件。负责区政府规范性文件备案审查工作。受理有关规范性文件违法的审查申请。组织开展规范性文件清理工作。</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(三)承担区政府法律顾问工作。负责对区政府重大行政决策进行合法性审查或论证说明。指导、监督全区党政群团机关、企事业单位的法律顾问工作。</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负责区政府合同的审查管理工作。参与、指导、监督区政府合同的谈判、起草、签订、备案、履行的有关工作。负责指导区政府重大合同纠纷的仲裁、诉讼及执行工作。负责区政府交办的其他法律事务处理。指导、检查全区党政群团机关、企事业单位的合同事务。</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承担统筹推进法治政府建设的责任。指导、监督区政府各部门、街道依法行政工作。负责综合协调全区行政执法，承担推进全区行政执法体制改革有关工作，推进严格规范公正文明执法。负责行政执法主体资格的审核、公告。指导、监督全区行政复议和行政应诉工作。负责区政府行政复议、行政赔偿和行政应诉、被行政复议案件办理及统计分析工作。承担区政府行政复议办公室的日常工作。负责区政府法治对外合作工作。</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承担统筹规划全区法治社会建设的责任。负责拟订全区法治宣传教育规划，组织实施普法宣传工作，组织对外法治宣传。制定全区法治宣传教育和普及法律常识规划并组织实施，指导全区开展普法宣传和法治教育工作。</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（七）负责指导、管理全区社区矫正工作。指导全区刑满释放人员帮教安置工作。</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负责拟订全区公共法律服务体系建设规划并指导实施，统筹和布局城乡、区域法律服务资源。指导、监督全区法律服务援助中心、律师事务所和基层法律服务管理工作。推动人民参与和促进法治建设。指导全区人民调解工作，推进全区司法所建设。负责全区人民陪审员和人民监督员选任工作。</w:t>
      </w:r>
    </w:p>
    <w:p>
      <w:pPr>
        <w:pStyle w:val="3"/>
        <w:keepNext w:val="0"/>
        <w:keepLines w:val="0"/>
        <w:pageBreakBefore w:val="0"/>
        <w:shd w:val="clear" w:color="auto" w:fill="FFFFFF"/>
        <w:kinsoku/>
        <w:wordWrap/>
        <w:overflowPunct/>
        <w:topLinePunct w:val="0"/>
        <w:autoSpaceDE/>
        <w:autoSpaceDN/>
        <w:bidi w:val="0"/>
        <w:adjustRightInd/>
        <w:spacing w:beforeLines="0" w:afterLines="0" w:line="579"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（九）完成区委、区政府和区委全面依法治区委员会交办的其它任务。</w:t>
      </w:r>
    </w:p>
    <w:p>
      <w:pPr>
        <w:tabs>
          <w:tab w:val="left" w:pos="7560"/>
        </w:tabs>
        <w:snapToGrid w:val="0"/>
        <w:spacing w:line="560" w:lineRule="exact"/>
        <w:jc w:val="left"/>
        <w:rPr>
          <w:rFonts w:ascii="仿宋_GB2312;仿宋" w:hAnsi="仿宋_GB2312;仿宋" w:eastAsia="仿宋_GB2312;仿宋" w:cs="黑体"/>
          <w:sz w:val="32"/>
          <w:szCs w:val="32"/>
        </w:rPr>
      </w:pPr>
    </w:p>
    <w:p>
      <w:pPr>
        <w:keepNext w:val="0"/>
        <w:keepLines w:val="0"/>
        <w:pageBreakBefore w:val="0"/>
        <w:widowControl w:val="0"/>
        <w:tabs>
          <w:tab w:val="left" w:pos="7560"/>
        </w:tabs>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color w:val="000000"/>
          <w:sz w:val="32"/>
          <w:szCs w:val="32"/>
        </w:rPr>
      </w:pPr>
      <w:r>
        <w:rPr>
          <w:rFonts w:ascii="黑体" w:hAnsi="黑体" w:eastAsia="黑体" w:cs="黑体"/>
          <w:color w:val="000000"/>
          <w:sz w:val="32"/>
          <w:szCs w:val="32"/>
        </w:rPr>
        <w:t>二、机构设置</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ascii="仿宋_GB2312;仿宋" w:hAnsi="仿宋_GB2312;仿宋" w:eastAsia="仿宋_GB2312;仿宋"/>
          <w:bCs/>
          <w:color w:val="000000"/>
          <w:sz w:val="32"/>
          <w:szCs w:val="32"/>
        </w:rPr>
        <w:t> </w:t>
      </w:r>
      <w:r>
        <w:rPr>
          <w:rFonts w:hint="eastAsia" w:ascii="仿宋_GB2312" w:hAnsi="仿宋_GB2312" w:eastAsia="仿宋_GB2312" w:cs="仿宋_GB2312"/>
          <w:sz w:val="32"/>
          <w:szCs w:val="32"/>
        </w:rPr>
        <w:t>本部门共有编制人数24人，实有人数23人。内设股室5个及8个街道司法所，分别为：办公室、法制股、社区矫正与公共法律服务管理股、人民参与和促进法治股、行政复议办公室；响石岭街道司法所、铜塘湾街道司法所、田心街道司法所、清水塘街道司法所、井龙街道司法所、龙头铺镇司法所、云田镇司法所、学林街道司法所。</w:t>
      </w:r>
    </w:p>
    <w:p>
      <w:pPr>
        <w:keepNext w:val="0"/>
        <w:keepLines w:val="0"/>
        <w:pageBreakBefore w:val="0"/>
        <w:widowControl w:val="0"/>
        <w:tabs>
          <w:tab w:val="left" w:pos="7560"/>
        </w:tabs>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color w:val="000000"/>
          <w:sz w:val="32"/>
          <w:szCs w:val="32"/>
        </w:rPr>
      </w:pPr>
      <w:r>
        <w:rPr>
          <w:rFonts w:ascii="黑体" w:hAnsi="黑体" w:eastAsia="黑体" w:cs="黑体"/>
          <w:color w:val="000000"/>
          <w:sz w:val="32"/>
          <w:szCs w:val="32"/>
        </w:rPr>
        <w:t>三、部门收支概况</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部门预算编报范围包括局机关无下属二级预算单位。收入包括一般公共预算收入、政府性基金收入、事业单位经营服务等收入；支出既包括保障局机关及直属单位基本运行的经费，也包括归口管理、面向全区分配的专项经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（一）收入预算：2024年年初预算数583.49万元，其中，一般公共预算拨款583.49万元；政府性基金拨款0万元；财政专户管理的非税收入拨款0万元；其他收入0万元。</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（二）支出预算：2024年年初预算数583.49万元，其中，一般公共服务支出0万元，公共安全583.49万元，教育0万元，科学技术0万元。</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具体安排如下：</w:t>
      </w:r>
    </w:p>
    <w:p>
      <w:pPr>
        <w:tabs>
          <w:tab w:val="left" w:pos="7560"/>
        </w:tabs>
        <w:adjustRightInd w:val="0"/>
        <w:snapToGrid w:val="0"/>
        <w:spacing w:line="56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2024年年初预算数为473.74万元，是指为保障单位机构正常运转、完成日常工作任务而发生的各项支出，包括用于基本工资、津贴补贴等人员经费以及日常公用经费、业务性商品和服务支出。其中包括工资福利支出408.26万元、一般商品和服务支出57.31万元、对个人和家庭的补助8.17万元等。</w:t>
      </w:r>
    </w:p>
    <w:p>
      <w:pPr>
        <w:tabs>
          <w:tab w:val="left" w:pos="7560"/>
        </w:tabs>
        <w:adjustRightInd w:val="0"/>
        <w:snapToGrid w:val="0"/>
        <w:spacing w:line="56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：2024年年初预算数为109.75万元，是指单位为完成特定行政工作任务或事业发展目标而发生的支出，包括有关事业发展专项、基本建设支出、资本性支出等。其中：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（1）矛盾调解专项经费80万元。主要用于化解全区基层矛盾纠纷，做到事结案了，息访息诉。</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（2）电脑更换经费1.2万元。主要用于局机关电脑更换相关费用。</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（3）依法治区专项经费8.3万元。主要用于承办年度相关依法治区工作会议、工作督导等工作费用。</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（4）业务性专项经费20.25万元。主要用于社区矫正、法律援助、法治宣传、人民调解、法律顾问等工作费用。</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（三）预算收支增减变化情况说明：2024年度本单位年初预算数为583.49万元，比上年增加59.18万元，主要原因是人员增加、</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经开区预算等。</w:t>
      </w:r>
    </w:p>
    <w:p>
      <w:pPr>
        <w:keepNext w:val="0"/>
        <w:keepLines w:val="0"/>
        <w:pageBreakBefore w:val="0"/>
        <w:widowControl w:val="0"/>
        <w:tabs>
          <w:tab w:val="left" w:pos="7560"/>
        </w:tabs>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color w:val="000000"/>
          <w:sz w:val="32"/>
          <w:szCs w:val="32"/>
        </w:rPr>
      </w:pPr>
      <w:r>
        <w:rPr>
          <w:rFonts w:ascii="黑体" w:hAnsi="黑体" w:eastAsia="黑体" w:cs="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（一）机关运行经费：本部门2024年年初预算机关运行经费(一般商品和服务支出)安排57.31万元，比上年度预算增加7.16万元，增加的主要原因是：人员</w:t>
      </w:r>
      <w:r>
        <w:rPr>
          <w:rFonts w:hint="eastAsia" w:ascii="仿宋_GB2312" w:hAnsi="仿宋_GB2312" w:eastAsia="仿宋_GB2312" w:cs="仿宋_GB2312"/>
          <w:sz w:val="32"/>
          <w:szCs w:val="32"/>
          <w:lang w:eastAsia="zh-CN"/>
        </w:rPr>
        <w:t>经费</w:t>
      </w:r>
      <w:r>
        <w:rPr>
          <w:rFonts w:hint="eastAsia" w:ascii="仿宋_GB2312" w:hAnsi="仿宋_GB2312" w:eastAsia="仿宋_GB2312" w:cs="仿宋_GB2312"/>
          <w:sz w:val="32"/>
          <w:szCs w:val="32"/>
        </w:rPr>
        <w:t>的增加。</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（二)政府采购预算：</w:t>
      </w:r>
      <w:r>
        <w:rPr>
          <w:rFonts w:hint="eastAsia" w:ascii="仿宋_GB2312" w:eastAsia="仿宋_GB2312"/>
          <w:color w:val="000000"/>
          <w:sz w:val="32"/>
          <w:szCs w:val="32"/>
          <w:lang w:val="en-US" w:eastAsia="zh-CN"/>
        </w:rPr>
        <w:t>2024</w:t>
      </w:r>
      <w:r>
        <w:rPr>
          <w:rFonts w:hint="eastAsia" w:ascii="仿宋_GB2312" w:eastAsia="仿宋_GB2312"/>
          <w:color w:val="000000"/>
          <w:sz w:val="32"/>
          <w:szCs w:val="32"/>
        </w:rPr>
        <w:t>年年初预算数为</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万元。包含：</w:t>
      </w:r>
      <w:bookmarkStart w:id="0" w:name="_GoBack"/>
      <w:bookmarkEnd w:id="0"/>
      <w:r>
        <w:rPr>
          <w:rFonts w:hint="eastAsia" w:ascii="仿宋_GB2312" w:eastAsia="仿宋_GB2312"/>
          <w:color w:val="000000"/>
          <w:sz w:val="32"/>
          <w:szCs w:val="32"/>
          <w:lang w:eastAsia="zh-CN"/>
        </w:rPr>
        <w:t>货物类采购</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r>
        <w:rPr>
          <w:rFonts w:hint="eastAsia" w:ascii="Times New Roman" w:hAnsi="Times New Roman" w:eastAsia="仿宋_GB2312" w:cs="Times New Roman"/>
          <w:color w:val="000000"/>
          <w:sz w:val="32"/>
          <w:szCs w:val="32"/>
        </w:rPr>
        <w:t>服</w:t>
      </w:r>
      <w:r>
        <w:rPr>
          <w:rFonts w:hint="eastAsia" w:ascii="仿宋_GB2312" w:eastAsia="仿宋_GB2312"/>
          <w:color w:val="000000"/>
          <w:sz w:val="32"/>
          <w:szCs w:val="32"/>
          <w:highlight w:val="none"/>
          <w:lang w:val="en-US" w:eastAsia="zh-CN"/>
        </w:rPr>
        <w:t>务类采购0万元、工程类采购0万元</w:t>
      </w:r>
      <w:r>
        <w:rPr>
          <w:rFonts w:hint="eastAsia" w:ascii="仿宋_GB2312" w:eastAsia="仿宋_GB2312"/>
          <w:color w:val="000000"/>
          <w:sz w:val="32"/>
          <w:szCs w:val="32"/>
        </w:rPr>
        <w:t>。</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资产占有情况：截止2023年12月31日，本部门共有办公及业务用房500平方米；车辆1辆，其中一般公务用车1辆、一般执法执勤用车0辆、货币化用车0辆；单位价值200万以上大型设备0套。2024年部门预算安排购置车辆0辆，预算安排购置价值200万以上大型设备0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（四）预算绩效目标：本部门整体支出和项目支出实行绩效目标管理，纳入2024年部门整体支出绩效目标的金额为583.49万元，其中，基本支出473.74万元，项目支出109.75万元（具体详见绩效目标表）。 </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（五）“三公”经费预算：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2024年“三公”经费预算数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万元，其中：公务接待费0万元、公务用车购置费0万元，公务用车运行费0万元、因公出国（境）费0万元。2023年公务用车购置数0台。</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2024年“三公”经费预算数比2023年减少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，原因是贯彻落实政府过“紧日子”要求，厉行节俭</w:t>
      </w:r>
      <w:r>
        <w:rPr>
          <w:rFonts w:hint="eastAsia" w:ascii="仿宋_GB2312" w:hAnsi="仿宋_GB2312" w:eastAsia="仿宋_GB2312" w:cs="仿宋_GB2312"/>
          <w:sz w:val="32"/>
          <w:szCs w:val="32"/>
        </w:rPr>
        <w:t>。</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（六）会议费、培训费预算：</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2024年预算安排会议费0万元。</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2024年预算安排培训费0万元。</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（七）其他事项。公开表格中的空白表格，均为本部门不涉及的内容，如政府性基金预算表、财政专户管理资金预算支出表，以及其他金额为零的相关事项等。</w:t>
      </w:r>
    </w:p>
    <w:p>
      <w:pPr>
        <w:keepNext w:val="0"/>
        <w:keepLines w:val="0"/>
        <w:pageBreakBefore w:val="0"/>
        <w:widowControl w:val="0"/>
        <w:tabs>
          <w:tab w:val="left" w:pos="7560"/>
        </w:tabs>
        <w:kinsoku/>
        <w:wordWrap/>
        <w:overflowPunct/>
        <w:topLinePunct w:val="0"/>
        <w:autoSpaceDE/>
        <w:autoSpaceDN/>
        <w:bidi w:val="0"/>
        <w:adjustRightInd/>
        <w:snapToGrid w:val="0"/>
        <w:spacing w:line="560" w:lineRule="exact"/>
        <w:ind w:firstLine="640" w:firstLineChars="200"/>
        <w:jc w:val="left"/>
        <w:textAlignment w:val="auto"/>
        <w:rPr>
          <w:rFonts w:ascii="仿宋_GB2312;仿宋" w:hAnsi="仿宋_GB2312;仿宋" w:eastAsia="仿宋_GB2312;仿宋"/>
          <w:b/>
          <w:bCs/>
          <w:sz w:val="32"/>
          <w:szCs w:val="32"/>
        </w:rPr>
      </w:pPr>
      <w:r>
        <w:rPr>
          <w:rFonts w:ascii="黑体" w:hAnsi="黑体" w:eastAsia="黑体" w:cs="黑体"/>
          <w:color w:val="000000"/>
          <w:sz w:val="32"/>
          <w:szCs w:val="32"/>
        </w:rPr>
        <w:t>五、名词解释：</w:t>
      </w:r>
    </w:p>
    <w:p>
      <w:pPr>
        <w:tabs>
          <w:tab w:val="left" w:pos="7560"/>
        </w:tabs>
        <w:adjustRightInd w:val="0"/>
        <w:snapToGrid w:val="0"/>
        <w:spacing w:line="56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1.一般公共预算</w:t>
      </w:r>
      <w:r>
        <w:rPr>
          <w:rFonts w:hint="eastAsia" w:ascii="仿宋_GB2312" w:hAnsi="仿宋_GB2312" w:eastAsia="仿宋_GB2312" w:cs="仿宋_GB2312"/>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2.政府性基金预算</w:t>
      </w:r>
      <w:r>
        <w:rPr>
          <w:rFonts w:hint="eastAsia" w:ascii="仿宋_GB2312" w:hAnsi="仿宋_GB2312" w:eastAsia="仿宋_GB2312" w:cs="仿宋_GB2312"/>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3.国有资本经营预算</w:t>
      </w:r>
      <w:r>
        <w:rPr>
          <w:rFonts w:hint="eastAsia" w:ascii="仿宋_GB2312" w:hAnsi="仿宋_GB2312" w:eastAsia="仿宋_GB2312" w:cs="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4.社会保险基金预算</w:t>
      </w:r>
      <w:r>
        <w:rPr>
          <w:rFonts w:hint="eastAsia" w:ascii="仿宋_GB2312" w:hAnsi="仿宋_GB2312" w:eastAsia="仿宋_GB2312" w:cs="仿宋_GB2312"/>
          <w:sz w:val="32"/>
          <w:szCs w:val="32"/>
        </w:rPr>
        <w:t>:是对社会保险缴款、一般公共预算安排和其他方式筹集的资金，专项用于社会保险的收支预算。应当按照统筹层次和社会保险项目分别编制，做到收支平衡。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5.基本支出</w:t>
      </w:r>
      <w:r>
        <w:rPr>
          <w:rFonts w:hint="eastAsia" w:ascii="仿宋_GB2312" w:hAnsi="仿宋_GB2312" w:eastAsia="仿宋_GB2312" w:cs="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2"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6.项目支出</w:t>
      </w:r>
      <w:r>
        <w:rPr>
          <w:rFonts w:hint="eastAsia" w:ascii="仿宋_GB2312" w:hAnsi="仿宋_GB2312" w:eastAsia="仿宋_GB2312" w:cs="仿宋_GB2312"/>
          <w:sz w:val="32"/>
          <w:szCs w:val="32"/>
        </w:rPr>
        <w:t>：指在基本支出之外为完成特定行政任务和事业发展目标所发生的支出。</w:t>
      </w:r>
    </w:p>
    <w:p>
      <w:pPr>
        <w:tabs>
          <w:tab w:val="left" w:pos="7560"/>
        </w:tabs>
        <w:adjustRightInd w:val="0"/>
        <w:snapToGrid w:val="0"/>
        <w:spacing w:line="560" w:lineRule="exact"/>
        <w:ind w:firstLine="642" w:firstLineChars="200"/>
        <w:jc w:val="left"/>
        <w:rPr>
          <w:rFonts w:ascii="仿宋_GB2312;仿宋" w:hAnsi="仿宋_GB2312;仿宋" w:eastAsia="仿宋_GB2312;仿宋"/>
          <w:sz w:val="32"/>
          <w:szCs w:val="32"/>
        </w:rPr>
      </w:pPr>
      <w:r>
        <w:rPr>
          <w:rFonts w:hint="eastAsia" w:ascii="仿宋_GB2312" w:hAnsi="仿宋_GB2312" w:eastAsia="仿宋_GB2312" w:cs="仿宋_GB2312"/>
          <w:b/>
          <w:bCs/>
          <w:sz w:val="32"/>
          <w:szCs w:val="32"/>
        </w:rPr>
        <w:t>7.“三公”经费</w:t>
      </w:r>
      <w:r>
        <w:rPr>
          <w:rFonts w:hint="eastAsia" w:ascii="仿宋_GB2312" w:hAnsi="仿宋_GB2312" w:eastAsia="仿宋_GB2312" w:cs="仿宋_GB2312"/>
          <w:sz w:val="32"/>
          <w:szCs w:val="32"/>
        </w:rPr>
        <w:t>：是指商品和服务支出中的因公出国（境）费用、公务用车购置及运行维护费和公务接待费。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bCs/>
          <w:sz w:val="32"/>
          <w:szCs w:val="32"/>
        </w:rPr>
        <w:t>8.机关运行经费</w:t>
      </w:r>
      <w:r>
        <w:rPr>
          <w:rFonts w:hint="eastAsia" w:ascii="仿宋_GB2312" w:hAnsi="仿宋_GB2312" w:eastAsia="仿宋_GB2312" w:cs="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keepNext w:val="0"/>
        <w:keepLines w:val="0"/>
        <w:pageBreakBefore w:val="0"/>
        <w:widowControl w:val="0"/>
        <w:tabs>
          <w:tab w:val="left" w:pos="7560"/>
        </w:tabs>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color w:val="000000"/>
          <w:sz w:val="32"/>
          <w:szCs w:val="32"/>
        </w:rPr>
      </w:pPr>
      <w:r>
        <w:rPr>
          <w:rFonts w:ascii="黑体" w:hAnsi="黑体" w:eastAsia="黑体" w:cs="黑体"/>
          <w:color w:val="000000"/>
          <w:sz w:val="32"/>
          <w:szCs w:val="32"/>
        </w:rPr>
        <w:t>六、部门预算公开表格</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（详见部门预算公开表格）</w:t>
      </w:r>
    </w:p>
    <w:sectPr>
      <w:pgSz w:w="11906" w:h="16838"/>
      <w:pgMar w:top="1440" w:right="1800" w:bottom="1440" w:left="1800" w:header="0" w:footer="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黑体">
    <w:altName w:val="方正小标宋简体"/>
    <w:panose1 w:val="00000000000000000000"/>
    <w:charset w:val="86"/>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仿宋">
    <w:altName w:val="方正仿宋_GBK"/>
    <w:panose1 w:val="00000000000000000000"/>
    <w:charset w:val="86"/>
    <w:family w:val="roman"/>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55643"/>
    <w:multiLevelType w:val="multilevel"/>
    <w:tmpl w:val="63B55643"/>
    <w:lvl w:ilvl="0" w:tentative="0">
      <w:start w:val="1"/>
      <w:numFmt w:val="chineseCountingThousand"/>
      <w:suff w:val="nothing"/>
      <w:lvlText w:val="%1、"/>
      <w:lvlJc w:val="left"/>
      <w:pPr>
        <w:tabs>
          <w:tab w:val="left" w:pos="0"/>
        </w:tabs>
        <w:ind w:left="0" w:firstLine="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M4NWM4NGNkNjZkMzhmOTMwOGQxZDdmN2IxODY3ZmEifQ=="/>
  </w:docVars>
  <w:rsids>
    <w:rsidRoot w:val="00F34D3E"/>
    <w:rsid w:val="00002587"/>
    <w:rsid w:val="000B1A2D"/>
    <w:rsid w:val="00216F00"/>
    <w:rsid w:val="003C2C40"/>
    <w:rsid w:val="00CE6E50"/>
    <w:rsid w:val="00F34D3E"/>
    <w:rsid w:val="6FF05AD2"/>
    <w:rsid w:val="BB3FD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Normal (Web)"/>
    <w:basedOn w:val="1"/>
    <w:qFormat/>
    <w:uiPriority w:val="0"/>
    <w:pPr>
      <w:widowControl/>
      <w:spacing w:beforeLines="41" w:afterLines="41"/>
      <w:jc w:val="left"/>
    </w:pPr>
    <w:rPr>
      <w:rFonts w:ascii="宋体" w:hAnsi="宋体" w:cs="宋体"/>
      <w:kern w:val="0"/>
      <w:sz w:val="24"/>
    </w:rPr>
  </w:style>
  <w:style w:type="character" w:customStyle="1" w:styleId="6">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554</Words>
  <Characters>3160</Characters>
  <Lines>26</Lines>
  <Paragraphs>7</Paragraphs>
  <TotalTime>0</TotalTime>
  <ScaleCrop>false</ScaleCrop>
  <LinksUpToDate>false</LinksUpToDate>
  <CharactersWithSpaces>3707</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2024-04-02T10:06:00Z</dcterms:created>
  <dc:creator>Administrator</dc:creator>
  <cp:lastModifiedBy>sfqczj</cp:lastModifiedBy>
  <dcterms:modified xsi:type="dcterms:W3CDTF">2025-04-27T11:53:18Z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072005410AFC4336B6A42AA4841F4088_12</vt:lpwstr>
  </property>
</Properties>
</file>