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70333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</w:rPr>
      </w:pPr>
    </w:p>
    <w:p w14:paraId="6108B9B9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52B2008A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6ACC7E16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4A763521">
      <w:pPr>
        <w:tabs>
          <w:tab w:val="left" w:pos="7560"/>
        </w:tabs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sz w:val="84"/>
          <w:szCs w:val="84"/>
        </w:rPr>
      </w:pPr>
      <w:r>
        <w:rPr>
          <w:rFonts w:ascii="Times New Roman" w:hAnsi="Times New Roman" w:eastAsia="方正小标宋简体" w:cs="Times New Roman"/>
          <w:bCs/>
          <w:sz w:val="84"/>
          <w:szCs w:val="84"/>
        </w:rPr>
        <w:t>醴陵市文化馆202</w:t>
      </w:r>
      <w:r>
        <w:rPr>
          <w:rFonts w:hint="eastAsia" w:ascii="Times New Roman" w:hAnsi="Times New Roman" w:eastAsia="方正小标宋简体" w:cs="Times New Roman"/>
          <w:bCs/>
          <w:sz w:val="84"/>
          <w:szCs w:val="8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Cs/>
          <w:sz w:val="84"/>
          <w:szCs w:val="84"/>
        </w:rPr>
        <w:t>年部门预算</w:t>
      </w:r>
    </w:p>
    <w:p w14:paraId="2DAF9565">
      <w:pPr>
        <w:tabs>
          <w:tab w:val="left" w:pos="7560"/>
        </w:tabs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52E5BEF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023DD0E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5C87638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1323793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38F68F06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0845C10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068E2A86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6CC63E2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4D10B9C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3480A484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30D3A88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5C03595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2DBEA8C9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4D0319AC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2EBD00E9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660E189C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目  录</w:t>
      </w:r>
    </w:p>
    <w:p w14:paraId="3DE238A8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第一部分 部门预算公开说明</w:t>
      </w:r>
    </w:p>
    <w:p w14:paraId="363EFB1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一、部门职能职责</w:t>
      </w:r>
    </w:p>
    <w:p w14:paraId="43A826C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二、机构设置</w:t>
      </w:r>
    </w:p>
    <w:p w14:paraId="18F001B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三、部门预算单位构成</w:t>
      </w:r>
    </w:p>
    <w:p w14:paraId="205684C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四、部门收支总体情况</w:t>
      </w:r>
    </w:p>
    <w:p w14:paraId="48608C7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（一）收入预算</w:t>
      </w:r>
    </w:p>
    <w:p w14:paraId="5F46337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（二）支出预算</w:t>
      </w:r>
    </w:p>
    <w:p w14:paraId="21593BF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（三）预算收支增减变化情况说明</w:t>
      </w:r>
    </w:p>
    <w:p w14:paraId="17E01DF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五、一般公共预算拨款支出预算</w:t>
      </w:r>
    </w:p>
    <w:p w14:paraId="3291519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（一）基本支出</w:t>
      </w:r>
    </w:p>
    <w:p w14:paraId="25D36B6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（二）项目支出</w:t>
      </w:r>
    </w:p>
    <w:p w14:paraId="711A025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六、政府性基金预算支出</w:t>
      </w:r>
    </w:p>
    <w:p w14:paraId="621ED58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七、其他重要事项情况说明</w:t>
      </w:r>
    </w:p>
    <w:p w14:paraId="00AB635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（一）机关运行经费</w:t>
      </w:r>
    </w:p>
    <w:p w14:paraId="00181E3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（二）政府采购预算</w:t>
      </w:r>
    </w:p>
    <w:p w14:paraId="18EC8D7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（三）国有资产占有情况</w:t>
      </w:r>
    </w:p>
    <w:p w14:paraId="525252E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（四）重点项目预算的绩效目标等情况</w:t>
      </w:r>
    </w:p>
    <w:p w14:paraId="4A273BC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（五）一般公共预算“三公”经费预算</w:t>
      </w:r>
    </w:p>
    <w:p w14:paraId="0629182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（六）会议费、培训费</w:t>
      </w:r>
    </w:p>
    <w:p w14:paraId="7071B24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（七）其他事项</w:t>
      </w:r>
    </w:p>
    <w:p w14:paraId="37C322A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八、名词解释</w:t>
      </w:r>
    </w:p>
    <w:p w14:paraId="4807BA3A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第二部分 部门预算公开表格</w:t>
      </w:r>
    </w:p>
    <w:p w14:paraId="07565AF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（一）部门收支总表</w:t>
      </w:r>
    </w:p>
    <w:p w14:paraId="02A7DC4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（二）部门收入总表</w:t>
      </w:r>
    </w:p>
    <w:p w14:paraId="0FDFE9D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（三）部门支出总表</w:t>
      </w:r>
    </w:p>
    <w:p w14:paraId="02BA4CF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（四）支出分类(政府预算)</w:t>
      </w:r>
    </w:p>
    <w:p w14:paraId="4920B17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（五）支出分类(部门预算)</w:t>
      </w:r>
    </w:p>
    <w:p w14:paraId="34E122C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（六）财政拨款收支总表</w:t>
      </w:r>
    </w:p>
    <w:p w14:paraId="4BB3092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（七）一般预算支出表</w:t>
      </w:r>
    </w:p>
    <w:p w14:paraId="76EAEA3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（八）工资福利（政府预算）</w:t>
      </w:r>
    </w:p>
    <w:p w14:paraId="3063287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（九）工资福利</w:t>
      </w:r>
    </w:p>
    <w:p w14:paraId="63A1E54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（十）个人家庭(政府预算)</w:t>
      </w:r>
    </w:p>
    <w:p w14:paraId="0F393B1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（十一）个人家庭</w:t>
      </w:r>
    </w:p>
    <w:p w14:paraId="57013C6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（十二）商品服务(政府预算)</w:t>
      </w:r>
    </w:p>
    <w:p w14:paraId="67DB002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（十三）商品服务</w:t>
      </w:r>
    </w:p>
    <w:p w14:paraId="59C429F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（十四）三公经费</w:t>
      </w:r>
    </w:p>
    <w:p w14:paraId="50A839E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（十五）政府性基金</w:t>
      </w:r>
    </w:p>
    <w:p w14:paraId="0CB04EB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（十六）政府性基金(政府预算)</w:t>
      </w:r>
    </w:p>
    <w:p w14:paraId="07BAEA4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（十七）政府性基金(部门预算)</w:t>
      </w:r>
    </w:p>
    <w:p w14:paraId="17753F6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（十八）国有资本经营预算</w:t>
      </w:r>
    </w:p>
    <w:p w14:paraId="759B2AF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（十九）财政专户管理资金</w:t>
      </w:r>
    </w:p>
    <w:p w14:paraId="1CD6BE0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（二十）专项清单</w:t>
      </w:r>
    </w:p>
    <w:p w14:paraId="66786C9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（二十一）项目支出绩效目标表</w:t>
      </w:r>
    </w:p>
    <w:p w14:paraId="6DAC4AA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（二十二）整体支出绩效目标表 </w:t>
      </w:r>
    </w:p>
    <w:p w14:paraId="2C361C27"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177E35B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 w14:paraId="40A4AB6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 w14:paraId="4BED448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第一部分：</w:t>
      </w:r>
    </w:p>
    <w:p w14:paraId="757F2EB7"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2F480DC8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醴陵市文化馆202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年部门预算说明</w:t>
      </w:r>
    </w:p>
    <w:p w14:paraId="547DFA5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 w14:paraId="3A47F6F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 部门职能职责</w:t>
      </w:r>
    </w:p>
    <w:p w14:paraId="2C1DB5BB">
      <w:pPr>
        <w:ind w:firstLine="707" w:firstLineChars="221"/>
        <w:jc w:val="left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仿宋" w:eastAsia="仿宋" w:cs="Times New Roman"/>
          <w:color w:val="000000"/>
          <w:sz w:val="32"/>
          <w:szCs w:val="32"/>
        </w:rPr>
        <w:t>（一）认真贯彻执行党和国家的文化方针政策和法律、法规，弘扬中华民族优秀传统文化，弘扬时代主旋律。</w:t>
      </w:r>
    </w:p>
    <w:p w14:paraId="052E150D">
      <w:pPr>
        <w:spacing w:line="64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仿宋" w:eastAsia="仿宋" w:cs="Times New Roman"/>
          <w:color w:val="000000"/>
          <w:sz w:val="32"/>
          <w:szCs w:val="32"/>
        </w:rPr>
        <w:t>（二）运用各种文化艺术手段，组织开展群众文化艺术活动，丰富群众精神文化生活。</w:t>
      </w:r>
    </w:p>
    <w:p w14:paraId="6185070B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仿宋" w:eastAsia="仿宋" w:cs="Times New Roman"/>
          <w:color w:val="000000"/>
          <w:sz w:val="32"/>
          <w:szCs w:val="32"/>
        </w:rPr>
        <w:t>（三）搞好业余文艺群体建设，辅导、培训业余文艺骨干，组建多种门类的业余文艺团队，开展群众性文艺创作活动。</w:t>
      </w:r>
    </w:p>
    <w:p w14:paraId="0E20D4B6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仿宋" w:eastAsia="仿宋" w:cs="Times New Roman"/>
          <w:color w:val="000000"/>
          <w:sz w:val="32"/>
          <w:szCs w:val="32"/>
        </w:rPr>
        <w:t>（四）加强对乡镇、社区、企（事）业、机关、学校等文化站的文化工作指导和文化活动辅导。</w:t>
      </w:r>
    </w:p>
    <w:p w14:paraId="7CA763DF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仿宋" w:eastAsia="仿宋" w:cs="Times New Roman"/>
          <w:color w:val="000000"/>
          <w:sz w:val="32"/>
          <w:szCs w:val="32"/>
        </w:rPr>
        <w:t>（五）积极开展群众文化理论研究，有计划地进行群文调研。</w:t>
      </w:r>
    </w:p>
    <w:p w14:paraId="55AE2041">
      <w:pPr>
        <w:snapToGrid w:val="0"/>
        <w:spacing w:line="520" w:lineRule="exact"/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仿宋" w:eastAsia="仿宋" w:cs="Times New Roman"/>
          <w:color w:val="000000"/>
          <w:sz w:val="32"/>
          <w:szCs w:val="32"/>
        </w:rPr>
        <w:t>（六）搜集、整理、保护民族民间文化艺术遗产，建立健全群众文化艺术档案</w:t>
      </w:r>
      <w:r>
        <w:rPr>
          <w:rFonts w:ascii="Times New Roman" w:hAnsi="仿宋" w:eastAsia="仿宋" w:cs="Times New Roman"/>
          <w:sz w:val="32"/>
          <w:szCs w:val="32"/>
        </w:rPr>
        <w:t>。</w:t>
      </w:r>
    </w:p>
    <w:p w14:paraId="4168F63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二、机构设置</w:t>
      </w:r>
    </w:p>
    <w:p w14:paraId="4437565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 </w:t>
      </w:r>
      <w:r>
        <w:rPr>
          <w:rFonts w:ascii="Times New Roman" w:hAnsi="Times New Roman" w:eastAsia="仿宋_GB2312" w:cs="Times New Roman"/>
          <w:sz w:val="32"/>
          <w:szCs w:val="32"/>
        </w:rPr>
        <w:t>本单位为文旅局下属二级预算单位，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属于全额拨款事业单位性质单位。共有编制人数  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人，实有人数 7 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，借调外出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。内设股室7个，分别为：</w:t>
      </w:r>
      <w:r>
        <w:rPr>
          <w:rFonts w:ascii="Times New Roman" w:hAnsi="仿宋" w:eastAsia="仿宋" w:cs="Times New Roman"/>
          <w:bCs/>
          <w:color w:val="000000"/>
          <w:kern w:val="0"/>
          <w:sz w:val="32"/>
          <w:szCs w:val="32"/>
        </w:rPr>
        <w:t>办公室、声乐工作室、非遗工作室，舞蹈工作室，书画影工作室，器乐工作室，文学工作室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06C96EB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三、部门预算单位构成</w:t>
      </w:r>
    </w:p>
    <w:p w14:paraId="5CC36E9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本单位无下属机构。</w:t>
      </w:r>
    </w:p>
    <w:p w14:paraId="2506F48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 部门收支总体情况</w:t>
      </w:r>
    </w:p>
    <w:p w14:paraId="12FF10F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年醴陵市文化馆公开的部门预算为本机关预算。收入包括一般公共预算收入、上级财政补助等收入；支出既包括保障局机关基本运行的经费，也包括归口管理、面向全市分配的专项经费。（详见附表）</w:t>
      </w:r>
    </w:p>
    <w:p w14:paraId="2BA1BEE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（一）收入预算</w:t>
      </w:r>
      <w:r>
        <w:rPr>
          <w:rFonts w:ascii="Times New Roman" w:hAnsi="Times New Roman" w:eastAsia="楷体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年年初预算数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202.59</w:t>
      </w:r>
      <w:r>
        <w:rPr>
          <w:rFonts w:ascii="Times New Roman" w:hAnsi="Times New Roman" w:eastAsia="仿宋_GB2312" w:cs="Times New Roman"/>
          <w:sz w:val="32"/>
          <w:szCs w:val="32"/>
        </w:rPr>
        <w:t>万元，其中，一般公共预算拨款14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2.59</w:t>
      </w:r>
      <w:r>
        <w:rPr>
          <w:rFonts w:ascii="Times New Roman" w:hAnsi="Times New Roman" w:eastAsia="仿宋_GB2312" w:cs="Times New Roman"/>
          <w:sz w:val="32"/>
          <w:szCs w:val="32"/>
        </w:rPr>
        <w:t>万元；上级财政补助收入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</w:t>
      </w:r>
      <w:r>
        <w:rPr>
          <w:rFonts w:ascii="Times New Roman" w:hAnsi="Times New Roman" w:eastAsia="仿宋_GB2312" w:cs="Times New Roman"/>
          <w:sz w:val="32"/>
          <w:szCs w:val="32"/>
        </w:rPr>
        <w:t>万元。因上年结转数暂未最终确定，本年度收支预算中均不含上年结转数字。</w:t>
      </w:r>
    </w:p>
    <w:p w14:paraId="4A6109E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（二）支出预算：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年年初预算数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202.59</w:t>
      </w:r>
      <w:r>
        <w:rPr>
          <w:rFonts w:ascii="Times New Roman" w:hAnsi="Times New Roman" w:eastAsia="仿宋_GB2312" w:cs="Times New Roman"/>
          <w:sz w:val="32"/>
          <w:szCs w:val="32"/>
        </w:rPr>
        <w:t>万元，其中，一般公共服务支出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88.40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，文化旅游体育与传媒支出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83.35万元，社会保障和就业支出14.97万元，卫生健康支出4.23万元，住房保障支出11.64万元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4CEACE65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1.基本支出：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年年初预算数为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154.59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万元，其中包括基本工资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45.25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万元、津贴补贴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21.96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万元、奖金2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1.19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 ,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住房公积金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11.64</w:t>
      </w:r>
      <w:r>
        <w:rPr>
          <w:rFonts w:ascii="Times New Roman" w:hAnsi="Times New Roman" w:eastAsia="仿宋_GB2312" w:cs="Times New Roman"/>
          <w:sz w:val="32"/>
          <w:szCs w:val="32"/>
        </w:rPr>
        <w:t>，社会保障缴费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18.37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公用经费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35.35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，社会补助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0.83万元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099AD45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2.项目支出：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年年初预算数为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48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万元，其中：</w:t>
      </w:r>
    </w:p>
    <w:p w14:paraId="7C13145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仿宋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（1）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非遗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经费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万元。主要用于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运用各种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eastAsia="zh-CN"/>
        </w:rPr>
        <w:t>非遗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文化艺术手段，组织开展群众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eastAsia="zh-CN"/>
        </w:rPr>
        <w:t>非遗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文化艺术活动，丰富群众精神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eastAsia="zh-CN"/>
        </w:rPr>
        <w:t>非遗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文化生活。</w:t>
      </w:r>
    </w:p>
    <w:p w14:paraId="76559D4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（2）免费开放补助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万元，用于免费开放场馆人员经费补助。</w:t>
      </w:r>
    </w:p>
    <w:p w14:paraId="389803D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（三）预算收支增减变化情况说明：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年度本部门年初预算数为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202.59</w:t>
      </w:r>
      <w:r>
        <w:rPr>
          <w:rFonts w:ascii="Times New Roman" w:hAnsi="Times New Roman" w:eastAsia="仿宋_GB2312" w:cs="Times New Roman"/>
          <w:sz w:val="32"/>
          <w:szCs w:val="32"/>
        </w:rPr>
        <w:t>万元，比上年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45.8</w:t>
      </w:r>
      <w:r>
        <w:rPr>
          <w:rFonts w:ascii="Times New Roman" w:hAnsi="Times New Roman" w:eastAsia="仿宋_GB2312" w:cs="Times New Roman"/>
          <w:sz w:val="32"/>
          <w:szCs w:val="32"/>
        </w:rPr>
        <w:t>万元，主要原因是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财政项目资金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增加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。</w:t>
      </w:r>
    </w:p>
    <w:p w14:paraId="1552301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五、一般公共预算拨款支出预算</w:t>
      </w:r>
    </w:p>
    <w:p w14:paraId="29F5DE8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年本部门一般公共预算拨款支出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202.59</w:t>
      </w:r>
      <w:r>
        <w:rPr>
          <w:rFonts w:ascii="Times New Roman" w:hAnsi="Times New Roman" w:eastAsia="仿宋_GB2312" w:cs="Times New Roman"/>
          <w:sz w:val="32"/>
          <w:szCs w:val="32"/>
        </w:rPr>
        <w:t>万元，具体安排如下：</w:t>
      </w:r>
    </w:p>
    <w:p w14:paraId="5FA8CE5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（一）基本支出</w:t>
      </w:r>
    </w:p>
    <w:p w14:paraId="5EA72E7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1、人员类支出。202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年年初预算数为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119.24</w:t>
      </w:r>
      <w:r>
        <w:rPr>
          <w:rFonts w:ascii="Times New Roman" w:hAnsi="Times New Roman" w:eastAsia="仿宋_GB2312" w:cs="Times New Roman"/>
          <w:sz w:val="32"/>
          <w:szCs w:val="32"/>
        </w:rPr>
        <w:t>万元。其中包括基本工资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45.25</w:t>
      </w:r>
      <w:r>
        <w:rPr>
          <w:rFonts w:ascii="Times New Roman" w:hAnsi="Times New Roman" w:eastAsia="仿宋_GB2312" w:cs="Times New Roman"/>
          <w:sz w:val="32"/>
          <w:szCs w:val="32"/>
        </w:rPr>
        <w:t>万元、津贴补贴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21.96</w:t>
      </w:r>
      <w:r>
        <w:rPr>
          <w:rFonts w:ascii="Times New Roman" w:hAnsi="Times New Roman" w:eastAsia="仿宋_GB2312" w:cs="Times New Roman"/>
          <w:sz w:val="32"/>
          <w:szCs w:val="32"/>
        </w:rPr>
        <w:t>万元、奖金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21.19</w:t>
      </w:r>
      <w:r>
        <w:rPr>
          <w:rFonts w:ascii="Times New Roman" w:hAnsi="Times New Roman" w:eastAsia="仿宋_GB2312" w:cs="Times New Roman"/>
          <w:sz w:val="32"/>
          <w:szCs w:val="32"/>
        </w:rPr>
        <w:t>，住房公积金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11.64</w:t>
      </w:r>
      <w:r>
        <w:rPr>
          <w:rFonts w:ascii="Times New Roman" w:hAnsi="Times New Roman" w:eastAsia="仿宋_GB2312" w:cs="Times New Roman"/>
          <w:sz w:val="32"/>
          <w:szCs w:val="32"/>
        </w:rPr>
        <w:t>，社会保障缴费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18.37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，生活补助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0.83万元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1CCC2D4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2、公用类支出。202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年年初预算数为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35.35</w:t>
      </w:r>
      <w:r>
        <w:rPr>
          <w:rFonts w:ascii="Times New Roman" w:hAnsi="Times New Roman" w:eastAsia="仿宋_GB2312" w:cs="Times New Roman"/>
          <w:sz w:val="32"/>
          <w:szCs w:val="32"/>
        </w:rPr>
        <w:t>万元。用于单位办公费，水电费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，福利费，工会经费</w:t>
      </w:r>
      <w:r>
        <w:rPr>
          <w:rFonts w:ascii="Times New Roman" w:hAnsi="Times New Roman" w:eastAsia="仿宋_GB2312" w:cs="Times New Roman"/>
          <w:sz w:val="32"/>
          <w:szCs w:val="32"/>
        </w:rPr>
        <w:t>等</w:t>
      </w:r>
    </w:p>
    <w:p w14:paraId="687A38A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eastAsia="楷体_GB2312" w:cs="Times New Roman"/>
          <w:bCs/>
          <w:sz w:val="32"/>
          <w:szCs w:val="32"/>
        </w:rPr>
        <w:t>（二）项目支出</w:t>
      </w:r>
    </w:p>
    <w:p w14:paraId="7D60894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eastAsia="仿宋_GB2312" w:cs="Times New Roman"/>
          <w:sz w:val="32"/>
          <w:szCs w:val="32"/>
        </w:rPr>
        <w:t>、其他运转类支出。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eastAsia="仿宋_GB2312" w:cs="Times New Roman"/>
          <w:sz w:val="32"/>
          <w:szCs w:val="32"/>
        </w:rPr>
        <w:t>年年初预算数为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48</w:t>
      </w:r>
      <w:r>
        <w:rPr>
          <w:rFonts w:ascii="Times New Roman" w:eastAsia="仿宋_GB2312" w:cs="Times New Roman"/>
          <w:sz w:val="32"/>
          <w:szCs w:val="32"/>
        </w:rPr>
        <w:t>万元。其中：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非遗</w:t>
      </w:r>
      <w:r>
        <w:rPr>
          <w:rFonts w:ascii="Times New Roman" w:eastAsia="仿宋_GB2312" w:cs="Times New Roman"/>
          <w:sz w:val="32"/>
          <w:szCs w:val="32"/>
        </w:rPr>
        <w:t>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28万元</w:t>
      </w:r>
      <w:r>
        <w:rPr>
          <w:rFonts w:ascii="Times New Roman" w:eastAsia="仿宋_GB2312" w:cs="Times New Roman"/>
          <w:sz w:val="32"/>
          <w:szCs w:val="32"/>
        </w:rPr>
        <w:t>，免费开放经费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eastAsia="仿宋_GB2312" w:cs="Times New Roman"/>
          <w:sz w:val="32"/>
          <w:szCs w:val="32"/>
        </w:rPr>
        <w:t>万。</w:t>
      </w:r>
      <w:bookmarkStart w:id="0" w:name="_GoBack"/>
      <w:bookmarkEnd w:id="0"/>
    </w:p>
    <w:p w14:paraId="34A00DA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eastAsia="仿宋_GB2312" w:cs="Times New Roman"/>
          <w:sz w:val="32"/>
          <w:szCs w:val="32"/>
        </w:rPr>
        <w:t>、</w:t>
      </w:r>
      <w:r>
        <w:rPr>
          <w:rFonts w:hint="eastAsia" w:ascii="Times New Roman" w:eastAsia="仿宋_GB2312" w:cs="Times New Roman"/>
          <w:sz w:val="32"/>
          <w:szCs w:val="32"/>
        </w:rPr>
        <w:t>无</w:t>
      </w:r>
      <w:r>
        <w:rPr>
          <w:rFonts w:ascii="Times New Roman" w:eastAsia="仿宋_GB2312" w:cs="Times New Roman"/>
          <w:sz w:val="32"/>
          <w:szCs w:val="32"/>
        </w:rPr>
        <w:t>特定目标类支出</w:t>
      </w:r>
    </w:p>
    <w:p w14:paraId="195DFB95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政府性基金预算支出</w:t>
      </w:r>
    </w:p>
    <w:p w14:paraId="55A791F4">
      <w:pPr>
        <w:tabs>
          <w:tab w:val="left" w:pos="7560"/>
        </w:tabs>
        <w:adjustRightInd w:val="0"/>
        <w:snapToGrid w:val="0"/>
        <w:spacing w:line="560" w:lineRule="exact"/>
        <w:ind w:firstLine="160" w:firstLineChars="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年度本部门无政府性基金预算安排的支出。</w:t>
      </w:r>
    </w:p>
    <w:p w14:paraId="1171B63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七、其他重要事项情况说明</w:t>
      </w:r>
    </w:p>
    <w:p w14:paraId="3E30BDA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（一）机关运行经费：</w:t>
      </w:r>
      <w:r>
        <w:rPr>
          <w:rFonts w:ascii="Times New Roman" w:hAnsi="Times New Roman" w:eastAsia="仿宋_GB2312" w:cs="Times New Roman"/>
          <w:sz w:val="32"/>
          <w:szCs w:val="32"/>
        </w:rPr>
        <w:t>本部门202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年年初预算机关运行经费(公用类+其他运转类)共安排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83.35</w:t>
      </w:r>
      <w:r>
        <w:rPr>
          <w:rFonts w:ascii="Times New Roman" w:hAnsi="Times New Roman" w:eastAsia="仿宋_GB2312" w:cs="Times New Roman"/>
          <w:sz w:val="32"/>
          <w:szCs w:val="32"/>
        </w:rPr>
        <w:t>万元，比上年预算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48.49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非遗工作经费及上级财政项目资金增加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6D18833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</w:p>
    <w:p w14:paraId="347244EC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（二) 政府采购预算</w:t>
      </w:r>
      <w:r>
        <w:rPr>
          <w:rFonts w:ascii="Times New Roman" w:hAnsi="Times New Roman" w:eastAsia="华文楷体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本单位202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年无政府采购年初预算数。</w:t>
      </w:r>
    </w:p>
    <w:p w14:paraId="75BD051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（三）国有资产占有情况：</w:t>
      </w:r>
      <w:r>
        <w:rPr>
          <w:rFonts w:ascii="Times New Roman" w:hAnsi="Times New Roman" w:eastAsia="仿宋_GB2312" w:cs="Times New Roman"/>
          <w:sz w:val="32"/>
          <w:szCs w:val="32"/>
        </w:rPr>
        <w:t>截止202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年12月31日，本部门共有办公及业务用房3211.91平方米；车辆  0辆，其中一般公务用车0辆、一般执法执勤用车0辆、货币化用车0辆；单位价值200万以上大型设备  0套。202</w:t>
      </w:r>
      <w:r>
        <w:rPr>
          <w:rFonts w:ascii="Times New Roman" w:hAnsi="Times New Roman" w:eastAsia="仿宋_GB2312" w:cs="Times New Roman"/>
          <w:sz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年部门预算安排购置车辆 0辆，预算安排购置价值200万以上大型设备0套。</w:t>
      </w:r>
    </w:p>
    <w:p w14:paraId="7A5BBB6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楷体_GB2312" w:cs="Times New Roman"/>
          <w:bCs/>
          <w:sz w:val="32"/>
          <w:szCs w:val="32"/>
        </w:rPr>
        <w:t>（四）重点项目预算的绩效目标等情况：</w:t>
      </w:r>
      <w:r>
        <w:rPr>
          <w:rFonts w:ascii="Times New Roman" w:eastAsia="仿宋_GB2312" w:cs="Times New Roman"/>
          <w:sz w:val="32"/>
          <w:szCs w:val="32"/>
        </w:rPr>
        <w:t>本部门整体支出和项目支出实行绩效目标管理，纳入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eastAsia="仿宋_GB2312" w:cs="Times New Roman"/>
          <w:sz w:val="32"/>
          <w:szCs w:val="32"/>
        </w:rPr>
        <w:t>年部门整体支出绩效目标的金额为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202.59</w:t>
      </w:r>
      <w:r>
        <w:rPr>
          <w:rFonts w:ascii="Times New Roman" w:eastAsia="仿宋_GB2312" w:cs="Times New Roman"/>
          <w:sz w:val="32"/>
          <w:szCs w:val="32"/>
        </w:rPr>
        <w:t>万元，其中，基本支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154.59</w:t>
      </w:r>
      <w:r>
        <w:rPr>
          <w:rFonts w:ascii="Times New Roman" w:eastAsia="仿宋_GB2312" w:cs="Times New Roman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48</w:t>
      </w:r>
      <w:r>
        <w:rPr>
          <w:rFonts w:ascii="Times New Roman" w:eastAsia="仿宋_GB2312" w:cs="Times New Roman"/>
          <w:sz w:val="32"/>
          <w:szCs w:val="32"/>
        </w:rPr>
        <w:t>万元（详见附表）。</w:t>
      </w:r>
    </w:p>
    <w:p w14:paraId="372E6F0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（五）一般公共预算“三公”经费情况：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本单位无公共财政拨款三公经费预算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年“三公”经费预算数0万元，其中：“因公出国（境）费”0万元、“公务用车购置及运行费”0万元“公务接待费”0万元。</w:t>
      </w:r>
    </w:p>
    <w:p w14:paraId="6846F3E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（六）会议费、培训费预算：</w:t>
      </w:r>
    </w:p>
    <w:p w14:paraId="2A53197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年预算安排会议费0万元。</w:t>
      </w:r>
    </w:p>
    <w:p w14:paraId="10B6858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年预算安排培训费0万元。</w:t>
      </w:r>
    </w:p>
    <w:p w14:paraId="2BF4C54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eastAsia="楷体_GB2312" w:cs="Times New Roman"/>
          <w:bCs/>
          <w:sz w:val="32"/>
          <w:szCs w:val="32"/>
        </w:rPr>
        <w:t>（七）其他事项。</w:t>
      </w:r>
    </w:p>
    <w:p w14:paraId="344B99A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本单位无一般公共预算“三公”经费支出；</w:t>
      </w:r>
    </w:p>
    <w:p w14:paraId="2798633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本单位无政府基金预算经费开支；</w:t>
      </w:r>
    </w:p>
    <w:p w14:paraId="30F54EA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本单位无国有资产经营经费开支；</w:t>
      </w:r>
    </w:p>
    <w:p w14:paraId="654A7BC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本单位无财政专户管理资金经费开支；</w:t>
      </w:r>
    </w:p>
    <w:p w14:paraId="5A6784C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本单位无门户网站，统一在政府门户网站上公开。</w:t>
      </w:r>
    </w:p>
    <w:p w14:paraId="478E0AB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八、名词解释</w:t>
      </w:r>
    </w:p>
    <w:p w14:paraId="3BD22CBB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（一）一般公共预算: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5EBC7330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（二）政府性基金预算: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3AC946D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（三）国有资本经营预算: </w:t>
      </w:r>
      <w:r>
        <w:rPr>
          <w:rFonts w:ascii="Times New Roman" w:hAnsi="Times New Roman" w:eastAsia="仿宋_GB2312" w:cs="Times New Roman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01D37C94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（四）社会保险基金预算: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194E1BDE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（五）“三公”经费：</w:t>
      </w:r>
      <w:r>
        <w:rPr>
          <w:rFonts w:ascii="Times New Roman" w:hAnsi="Times New Roman" w:eastAsia="仿宋_GB2312" w:cs="Times New Roman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 （六）机关运行经费：</w:t>
      </w:r>
      <w:r>
        <w:rPr>
          <w:rFonts w:ascii="Times New Roman" w:hAnsi="Times New Roman" w:eastAsia="仿宋_GB2312" w:cs="Times New Roman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65EA2F0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（行距：固定值28磅）</w:t>
      </w:r>
    </w:p>
    <w:p w14:paraId="074B2D39">
      <w:pPr>
        <w:rPr>
          <w:rFonts w:ascii="Times New Roman" w:hAnsi="Times New Roman" w:cs="Times New Roman"/>
        </w:rPr>
      </w:pPr>
    </w:p>
    <w:p w14:paraId="509056FB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05B3"/>
    <w:rsid w:val="00156B38"/>
    <w:rsid w:val="001874D1"/>
    <w:rsid w:val="002B7F1C"/>
    <w:rsid w:val="002D022C"/>
    <w:rsid w:val="002F05B3"/>
    <w:rsid w:val="003A05E2"/>
    <w:rsid w:val="005033E8"/>
    <w:rsid w:val="005A20C4"/>
    <w:rsid w:val="0062643E"/>
    <w:rsid w:val="00651A3B"/>
    <w:rsid w:val="006A7DBB"/>
    <w:rsid w:val="007A3F77"/>
    <w:rsid w:val="007A75CA"/>
    <w:rsid w:val="007C16D6"/>
    <w:rsid w:val="007F601D"/>
    <w:rsid w:val="00801F20"/>
    <w:rsid w:val="00891111"/>
    <w:rsid w:val="008F791C"/>
    <w:rsid w:val="009415B1"/>
    <w:rsid w:val="009D288E"/>
    <w:rsid w:val="00A072A4"/>
    <w:rsid w:val="00AF1523"/>
    <w:rsid w:val="00BB6EF5"/>
    <w:rsid w:val="00C01F10"/>
    <w:rsid w:val="00C27B7F"/>
    <w:rsid w:val="00D11446"/>
    <w:rsid w:val="00D27961"/>
    <w:rsid w:val="00D518F4"/>
    <w:rsid w:val="00E51C04"/>
    <w:rsid w:val="00E92F4B"/>
    <w:rsid w:val="00EB0568"/>
    <w:rsid w:val="15723063"/>
    <w:rsid w:val="1CC929E6"/>
    <w:rsid w:val="1F7A6281"/>
    <w:rsid w:val="241733C5"/>
    <w:rsid w:val="2CBA14CA"/>
    <w:rsid w:val="3B276697"/>
    <w:rsid w:val="444E0D8B"/>
    <w:rsid w:val="571F319F"/>
    <w:rsid w:val="57CC4CCD"/>
    <w:rsid w:val="676576C6"/>
    <w:rsid w:val="6A7F000C"/>
    <w:rsid w:val="71CD03AB"/>
    <w:rsid w:val="7373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2789</Words>
  <Characters>3011</Characters>
  <Lines>21</Lines>
  <Paragraphs>6</Paragraphs>
  <TotalTime>78</TotalTime>
  <ScaleCrop>false</ScaleCrop>
  <LinksUpToDate>false</LinksUpToDate>
  <CharactersWithSpaces>3040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2023-02-20T08:12:00Z</dcterms:created>
  <dc:creator>Administrator</dc:creator>
  <cp:lastModifiedBy>tree</cp:lastModifiedBy>
  <dcterms:modified xsi:type="dcterms:W3CDTF">2025-04-25T09:23:40Z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EACE0D50401543D7B3D30783E3DA7F6F</vt:lpwstr>
  </property>
  <property fmtid="{D5CDD505-2E9C-101B-9397-08002B2CF9AE}" pid="4" name="KSOTemplateDocerSaveRecord">
    <vt:lpwstr>eyJoZGlkIjoiYTRkMWM0MWE5YzdhOWE1YjQ0ZTZjNjc4MjE3MzlmYTUiLCJ1c2VySWQiOiI0MzIyOTc2NTEifQ==</vt:lpwstr>
  </property>
</Properties>
</file>