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E67" w:rsidRDefault="00B64E67" w:rsidP="00B64E67">
      <w:pPr>
        <w:pStyle w:val="2"/>
        <w:autoSpaceDE w:val="0"/>
        <w:spacing w:line="320" w:lineRule="exact"/>
        <w:ind w:leftChars="0" w:left="0" w:firstLineChars="0" w:firstLine="0"/>
        <w:rPr>
          <w:rFonts w:ascii="仿宋_GB2312" w:hAnsi="仿宋_GB2312"/>
          <w:sz w:val="32"/>
          <w:szCs w:val="32"/>
        </w:rPr>
      </w:pPr>
      <w:r>
        <w:rPr>
          <w:rFonts w:ascii="仿宋_GB2312" w:hAnsi="仿宋_GB2312"/>
          <w:sz w:val="32"/>
          <w:szCs w:val="32"/>
        </w:rPr>
        <w:t>附件</w:t>
      </w:r>
      <w:r>
        <w:rPr>
          <w:rFonts w:ascii="仿宋_GB2312" w:hAnsi="仿宋_GB2312"/>
          <w:sz w:val="32"/>
          <w:szCs w:val="32"/>
        </w:rPr>
        <w:t>1</w:t>
      </w:r>
    </w:p>
    <w:tbl>
      <w:tblPr>
        <w:tblW w:w="14840" w:type="dxa"/>
        <w:tblInd w:w="-613" w:type="dxa"/>
        <w:tblLook w:val="04A0"/>
      </w:tblPr>
      <w:tblGrid>
        <w:gridCol w:w="549"/>
        <w:gridCol w:w="1093"/>
        <w:gridCol w:w="6321"/>
        <w:gridCol w:w="930"/>
        <w:gridCol w:w="1342"/>
        <w:gridCol w:w="730"/>
        <w:gridCol w:w="740"/>
        <w:gridCol w:w="668"/>
        <w:gridCol w:w="803"/>
        <w:gridCol w:w="994"/>
        <w:gridCol w:w="670"/>
      </w:tblGrid>
      <w:tr w:rsidR="00B64E67" w:rsidTr="00B64E67">
        <w:trPr>
          <w:trHeight w:val="538"/>
        </w:trPr>
        <w:tc>
          <w:tcPr>
            <w:tcW w:w="14840" w:type="dxa"/>
            <w:gridSpan w:val="11"/>
            <w:tcBorders>
              <w:top w:val="nil"/>
              <w:left w:val="nil"/>
              <w:bottom w:val="nil"/>
              <w:right w:val="nil"/>
            </w:tcBorders>
            <w:noWrap/>
            <w:vAlign w:val="center"/>
            <w:hideMark/>
          </w:tcPr>
          <w:p w:rsidR="00B64E67" w:rsidRDefault="00B64E67">
            <w:pPr>
              <w:widowControl/>
              <w:autoSpaceDE w:val="0"/>
              <w:spacing w:line="560" w:lineRule="exact"/>
              <w:jc w:val="center"/>
              <w:textAlignment w:val="center"/>
              <w:rPr>
                <w:rFonts w:ascii="方正小标宋_GBK" w:hAnsi="方正小标宋_GBK"/>
                <w:color w:val="000000"/>
                <w:sz w:val="40"/>
                <w:szCs w:val="40"/>
              </w:rPr>
            </w:pPr>
            <w:r>
              <w:rPr>
                <w:rFonts w:ascii="方正小标宋简体" w:hAnsi="方正小标宋简体"/>
                <w:color w:val="000000"/>
                <w:kern w:val="0"/>
                <w:sz w:val="44"/>
                <w:szCs w:val="44"/>
              </w:rPr>
              <w:t>炎陵县农业农村局</w:t>
            </w:r>
            <w:r>
              <w:rPr>
                <w:rFonts w:ascii="方正小标宋简体" w:hAnsi="方正小标宋简体"/>
                <w:color w:val="000000"/>
                <w:kern w:val="0"/>
                <w:sz w:val="44"/>
                <w:szCs w:val="44"/>
              </w:rPr>
              <w:t>2025</w:t>
            </w:r>
            <w:r>
              <w:rPr>
                <w:rFonts w:ascii="方正小标宋简体" w:hAnsi="方正小标宋简体"/>
                <w:color w:val="000000"/>
                <w:kern w:val="0"/>
                <w:sz w:val="44"/>
                <w:szCs w:val="44"/>
              </w:rPr>
              <w:t>年度涉企行政检查计划</w:t>
            </w:r>
          </w:p>
        </w:tc>
      </w:tr>
      <w:tr w:rsidR="00B64E67" w:rsidTr="00B64E67">
        <w:trPr>
          <w:trHeight w:val="556"/>
        </w:trPr>
        <w:tc>
          <w:tcPr>
            <w:tcW w:w="7963" w:type="dxa"/>
            <w:gridSpan w:val="3"/>
            <w:tcBorders>
              <w:top w:val="nil"/>
              <w:left w:val="nil"/>
              <w:bottom w:val="single" w:sz="4" w:space="0" w:color="000000"/>
              <w:right w:val="nil"/>
            </w:tcBorders>
            <w:noWrap/>
            <w:vAlign w:val="center"/>
          </w:tcPr>
          <w:p w:rsidR="00B64E67" w:rsidRDefault="00B64E67">
            <w:pPr>
              <w:widowControl/>
              <w:jc w:val="left"/>
              <w:textAlignment w:val="center"/>
              <w:rPr>
                <w:rFonts w:ascii="楷体_GB2312" w:hAnsi="楷体_GB2312"/>
                <w:color w:val="000000"/>
                <w:sz w:val="20"/>
                <w:szCs w:val="20"/>
              </w:rPr>
            </w:pPr>
          </w:p>
        </w:tc>
        <w:tc>
          <w:tcPr>
            <w:tcW w:w="930" w:type="dxa"/>
            <w:tcBorders>
              <w:top w:val="nil"/>
              <w:left w:val="nil"/>
              <w:bottom w:val="nil"/>
              <w:right w:val="nil"/>
            </w:tcBorders>
            <w:noWrap/>
            <w:vAlign w:val="center"/>
          </w:tcPr>
          <w:p w:rsidR="00B64E67" w:rsidRDefault="00B64E67">
            <w:pPr>
              <w:jc w:val="center"/>
              <w:rPr>
                <w:rFonts w:ascii="楷体_GB2312" w:hAnsi="楷体_GB2312"/>
                <w:color w:val="000000"/>
                <w:sz w:val="20"/>
                <w:szCs w:val="20"/>
              </w:rPr>
            </w:pPr>
          </w:p>
        </w:tc>
        <w:tc>
          <w:tcPr>
            <w:tcW w:w="1342" w:type="dxa"/>
            <w:tcBorders>
              <w:top w:val="nil"/>
              <w:left w:val="nil"/>
              <w:bottom w:val="nil"/>
              <w:right w:val="nil"/>
            </w:tcBorders>
            <w:noWrap/>
            <w:vAlign w:val="center"/>
          </w:tcPr>
          <w:p w:rsidR="00B64E67" w:rsidRDefault="00B64E67">
            <w:pPr>
              <w:jc w:val="center"/>
              <w:rPr>
                <w:rFonts w:ascii="楷体_GB2312" w:hAnsi="楷体_GB2312"/>
                <w:color w:val="000000"/>
                <w:sz w:val="20"/>
                <w:szCs w:val="20"/>
              </w:rPr>
            </w:pPr>
          </w:p>
        </w:tc>
        <w:tc>
          <w:tcPr>
            <w:tcW w:w="3935" w:type="dxa"/>
            <w:gridSpan w:val="5"/>
            <w:tcBorders>
              <w:top w:val="nil"/>
              <w:left w:val="nil"/>
              <w:bottom w:val="nil"/>
              <w:right w:val="nil"/>
            </w:tcBorders>
            <w:noWrap/>
            <w:vAlign w:val="center"/>
          </w:tcPr>
          <w:p w:rsidR="00B64E67" w:rsidRDefault="00B64E67">
            <w:pPr>
              <w:widowControl/>
              <w:jc w:val="right"/>
              <w:textAlignment w:val="center"/>
              <w:rPr>
                <w:rFonts w:ascii="楷体_GB2312" w:hAnsi="楷体_GB2312"/>
                <w:color w:val="000000"/>
                <w:sz w:val="20"/>
                <w:szCs w:val="20"/>
              </w:rPr>
            </w:pPr>
          </w:p>
        </w:tc>
        <w:tc>
          <w:tcPr>
            <w:tcW w:w="670" w:type="dxa"/>
            <w:tcBorders>
              <w:top w:val="nil"/>
              <w:left w:val="nil"/>
              <w:bottom w:val="nil"/>
              <w:right w:val="nil"/>
            </w:tcBorders>
            <w:noWrap/>
            <w:vAlign w:val="center"/>
          </w:tcPr>
          <w:p w:rsidR="00B64E67" w:rsidRDefault="00B64E67">
            <w:pPr>
              <w:jc w:val="center"/>
              <w:rPr>
                <w:rFonts w:ascii="方正楷体_GBK" w:hAnsi="方正楷体_GBK"/>
                <w:color w:val="000000"/>
                <w:sz w:val="20"/>
                <w:szCs w:val="20"/>
              </w:rPr>
            </w:pPr>
          </w:p>
        </w:tc>
      </w:tr>
      <w:tr w:rsidR="00B64E67" w:rsidTr="00B64E67">
        <w:trPr>
          <w:trHeight w:val="1162"/>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序号</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检查事项</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实施依据</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检查对象（数量）</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检查内容（项目）</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拟实施检查时间</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检查方式</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年度检查频次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承办机构</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是否属跨部门联合检查</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黑体" w:eastAsia="黑体" w:hAnsi="黑体"/>
                <w:bCs/>
                <w:color w:val="000000"/>
                <w:sz w:val="20"/>
                <w:szCs w:val="20"/>
              </w:rPr>
            </w:pPr>
            <w:r>
              <w:rPr>
                <w:rFonts w:ascii="黑体" w:eastAsia="黑体" w:hAnsi="黑体" w:hint="eastAsia"/>
                <w:bCs/>
                <w:color w:val="000000"/>
                <w:kern w:val="0"/>
                <w:sz w:val="20"/>
                <w:szCs w:val="20"/>
              </w:rPr>
              <w:t>备注</w:t>
            </w:r>
          </w:p>
        </w:tc>
      </w:tr>
      <w:tr w:rsidR="00B64E67" w:rsidTr="00B64E67">
        <w:trPr>
          <w:trHeight w:val="1988"/>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t>1</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对动物诊疗机构从事许可事项活动的行政检查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《动物诊疗机构管理办法》（2022年修订）第三条 农业农村部负责全国动物诊疗机构的监督管理。县级以上地方人民政府农业农村主管部门负责本行政区域内动物诊疗机构的监督管理。第三十一条  县级以上地方人民政府农业农村主管部门应当建立健全日常监管制度，对辖区内动物诊疗机构和人员执行法律、法规、规章的情况进行监督检查。</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动物诊疗机构（6家，50%）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1.动物防疫条件；2.动物诊疗活动；3.诊疗过程中兽药使用情况；</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18"/>
                <w:szCs w:val="18"/>
              </w:rPr>
            </w:pPr>
            <w:r>
              <w:rPr>
                <w:rFonts w:ascii="宋体" w:hAnsi="宋体" w:hint="eastAsia"/>
                <w:color w:val="000000"/>
                <w:kern w:val="0"/>
                <w:sz w:val="18"/>
                <w:szCs w:val="18"/>
              </w:rPr>
              <w:t>2次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畜牧水产中心、执法大队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否</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部门双随机一公开检查</w:t>
            </w:r>
          </w:p>
        </w:tc>
      </w:tr>
      <w:tr w:rsidR="00B64E67" w:rsidTr="00B64E67">
        <w:trPr>
          <w:trHeight w:val="5771"/>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lastRenderedPageBreak/>
              <w:t>2</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对生猪屠宰厂（场）的监督管理</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1.《生猪屠宰管理条例》（2021修订）第三条第一款 国务院农业农村主管部门负责全国生猪屠宰的行业管理工作。县级以上地方人民政府农业农村主管部门负责本行政区域内生猪屠宰活动的监督管理。</w:t>
            </w:r>
            <w:r>
              <w:rPr>
                <w:rFonts w:ascii="宋体" w:hAnsi="宋体" w:hint="eastAsia"/>
                <w:color w:val="000000"/>
                <w:kern w:val="0"/>
                <w:sz w:val="20"/>
                <w:szCs w:val="20"/>
              </w:rPr>
              <w:br/>
              <w:t>第七条 县级以上人民政府农业农村主管部门应当建立生猪定点屠宰厂（场）信用档案，记录日常监督检查结果、违法行为查处等情况，并依法向社会公示。</w:t>
            </w:r>
            <w:r>
              <w:rPr>
                <w:rFonts w:ascii="宋体" w:hAnsi="宋体" w:hint="eastAsia"/>
                <w:color w:val="000000"/>
                <w:kern w:val="0"/>
                <w:sz w:val="20"/>
                <w:szCs w:val="20"/>
              </w:rPr>
              <w:br/>
              <w:t>第二十六条 县级以上地方人民政府农业农村主管部门应当根据生猪屠宰质量安全风险监测结果和国务院农业农村主管部门的规定，加强对生猪定点屠宰厂（场）质量安全管理状况的监督检查。</w:t>
            </w:r>
            <w:r>
              <w:rPr>
                <w:rFonts w:ascii="宋体" w:hAnsi="宋体" w:hint="eastAsia"/>
                <w:color w:val="000000"/>
                <w:kern w:val="0"/>
                <w:sz w:val="20"/>
                <w:szCs w:val="20"/>
              </w:rPr>
              <w:br/>
              <w:t>第二十七条农业农村主管部门应当依照本条例的规定严格履行职责，加强对生猪屠宰活动的日常监督检查，建立健全随机抽查机制。</w:t>
            </w:r>
            <w:r>
              <w:rPr>
                <w:rFonts w:ascii="宋体" w:hAnsi="宋体" w:hint="eastAsia"/>
                <w:color w:val="000000"/>
                <w:kern w:val="0"/>
                <w:sz w:val="20"/>
                <w:szCs w:val="20"/>
              </w:rPr>
              <w:br/>
              <w:t>农业农村主管部门依法进行监督检查，可以采取下列措施：</w:t>
            </w:r>
            <w:r>
              <w:rPr>
                <w:rFonts w:ascii="宋体" w:hAnsi="宋体" w:hint="eastAsia"/>
                <w:color w:val="000000"/>
                <w:kern w:val="0"/>
                <w:sz w:val="20"/>
                <w:szCs w:val="20"/>
              </w:rPr>
              <w:br/>
              <w:t>（一）进入生猪屠宰等有关场所实施现场检查；</w:t>
            </w:r>
            <w:r>
              <w:rPr>
                <w:rFonts w:ascii="宋体" w:hAnsi="宋体" w:hint="eastAsia"/>
                <w:color w:val="000000"/>
                <w:kern w:val="0"/>
                <w:sz w:val="20"/>
                <w:szCs w:val="20"/>
              </w:rPr>
              <w:br/>
              <w:t>（二）向有关单位和个人了解情况；</w:t>
            </w:r>
            <w:r>
              <w:rPr>
                <w:rFonts w:ascii="宋体" w:hAnsi="宋体" w:hint="eastAsia"/>
                <w:color w:val="000000"/>
                <w:kern w:val="0"/>
                <w:sz w:val="20"/>
                <w:szCs w:val="20"/>
              </w:rPr>
              <w:br/>
              <w:t>（三）查阅、复制有关记录、票据以及其他资料；</w:t>
            </w:r>
            <w:r>
              <w:rPr>
                <w:rFonts w:ascii="宋体" w:hAnsi="宋体" w:hint="eastAsia"/>
                <w:color w:val="000000"/>
                <w:kern w:val="0"/>
                <w:sz w:val="20"/>
                <w:szCs w:val="20"/>
              </w:rPr>
              <w:br/>
              <w:t>2.《湖南省生猪屠宰管理条例》（2024修订）第二条第二款 县级以上人民政府农业农村主管部门负责本行政区域内生猪屠宰活动和生猪屠宰场所的生猪产品质量安全监督管理；市场监督管理、自然资源、生态环境、卫生健康、商务、公安等有关部门在各自职责范围内负责生猪屠宰活动的相关管理工作。</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畜禽屠宰企业（1个，100%）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1.屠宰场设立条件；2.动物防疫条件；3.屠宰活动；4.质量安全管理情况。</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1次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畜牧水产中心、执法大队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否</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部门双随机一公开检查</w:t>
            </w:r>
          </w:p>
        </w:tc>
      </w:tr>
      <w:tr w:rsidR="00B64E67" w:rsidTr="00B64E67">
        <w:trPr>
          <w:trHeight w:val="202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t>3</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1.对农作物种子质量的</w:t>
            </w:r>
            <w:r>
              <w:rPr>
                <w:rFonts w:ascii="宋体" w:hAnsi="宋体" w:hint="eastAsia"/>
                <w:kern w:val="0"/>
                <w:sz w:val="20"/>
                <w:szCs w:val="20"/>
              </w:rPr>
              <w:t>监督检查;2.对种畜禽（含蚕种）质量的监督检查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1.《中华人民共和国种子法》第四十六条农业农村、林业主管部门应当加强对种子质量的监督检查。</w:t>
            </w:r>
            <w:r>
              <w:rPr>
                <w:rFonts w:ascii="宋体" w:hAnsi="宋体" w:hint="eastAsia"/>
                <w:color w:val="000000"/>
                <w:kern w:val="0"/>
                <w:sz w:val="20"/>
                <w:szCs w:val="20"/>
              </w:rPr>
              <w:br/>
              <w:t>第四十九条农业农村、林业主管部门是种子行政执法机关。种子执法人员依法执行公务时应当出示行政执法证件。农业农村、林业主管部门依法履行种子监督检查职责时，有权采取下列措施：</w:t>
            </w:r>
            <w:r>
              <w:rPr>
                <w:rFonts w:ascii="宋体" w:hAnsi="宋体" w:hint="eastAsia"/>
                <w:color w:val="000000"/>
                <w:kern w:val="0"/>
                <w:sz w:val="20"/>
                <w:szCs w:val="20"/>
              </w:rPr>
              <w:br/>
              <w:t>(一)进入生产经营场所进行现场检查；</w:t>
            </w:r>
            <w:r>
              <w:rPr>
                <w:rFonts w:ascii="宋体" w:hAnsi="宋体" w:hint="eastAsia"/>
                <w:color w:val="000000"/>
                <w:kern w:val="0"/>
                <w:sz w:val="20"/>
                <w:szCs w:val="20"/>
              </w:rPr>
              <w:br/>
              <w:t>(二)对种子进行取样测试、试验或者检验；</w:t>
            </w:r>
            <w:r>
              <w:rPr>
                <w:rFonts w:ascii="宋体" w:hAnsi="宋体" w:hint="eastAsia"/>
                <w:color w:val="000000"/>
                <w:kern w:val="0"/>
                <w:sz w:val="20"/>
                <w:szCs w:val="20"/>
              </w:rPr>
              <w:br/>
              <w:t>2.《中华人民共和国畜牧法》（2022修订）</w:t>
            </w:r>
            <w:r>
              <w:rPr>
                <w:rFonts w:ascii="宋体" w:hAnsi="宋体" w:hint="eastAsia"/>
                <w:color w:val="000000"/>
                <w:kern w:val="0"/>
                <w:sz w:val="20"/>
                <w:szCs w:val="20"/>
              </w:rPr>
              <w:br/>
              <w:t>第三十四条 县级以上人民政府农业农村主管部门负责种畜禽质量安全</w:t>
            </w:r>
            <w:r>
              <w:rPr>
                <w:rFonts w:ascii="宋体" w:hAnsi="宋体" w:hint="eastAsia"/>
                <w:color w:val="000000"/>
                <w:kern w:val="0"/>
                <w:sz w:val="20"/>
                <w:szCs w:val="20"/>
              </w:rPr>
              <w:lastRenderedPageBreak/>
              <w:t>的监督管理工作。种畜禽质量安全的监督检验应当委托具有法定资质的种畜禽质量检验机构进行；所需检验费用由同级预算列支，不得向被检验人收取。</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lastRenderedPageBreak/>
              <w:t>种子经营门店，种畜禽生产企业、经营单位　　30%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18"/>
                <w:szCs w:val="18"/>
              </w:rPr>
            </w:pPr>
            <w:r>
              <w:rPr>
                <w:rFonts w:ascii="宋体" w:hAnsi="宋体" w:hint="eastAsia"/>
                <w:color w:val="000000"/>
                <w:kern w:val="0"/>
                <w:sz w:val="18"/>
                <w:szCs w:val="18"/>
              </w:rPr>
              <w:t>1.开展春、秋季农作物种子质量的监督检查。包括种子质量、真实性、标签及使用说明，种子生产经营及销售主体情况，品种</w:t>
            </w:r>
            <w:r>
              <w:rPr>
                <w:rFonts w:ascii="宋体" w:hAnsi="宋体" w:hint="eastAsia"/>
                <w:color w:val="000000"/>
                <w:kern w:val="0"/>
                <w:sz w:val="18"/>
                <w:szCs w:val="18"/>
              </w:rPr>
              <w:lastRenderedPageBreak/>
              <w:t>登记及生产用种供应保障情况等。</w:t>
            </w:r>
            <w:r>
              <w:rPr>
                <w:rFonts w:ascii="宋体" w:hAnsi="宋体" w:hint="eastAsia"/>
                <w:color w:val="000000"/>
                <w:kern w:val="0"/>
                <w:sz w:val="18"/>
                <w:szCs w:val="18"/>
              </w:rPr>
              <w:br/>
              <w:t>2.种畜禽生产经营监督检查。包括生产经营和日常管理情况。3.企业登记事项及公示信息监督检查。4.广告内容检查。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lastRenderedPageBreak/>
              <w:t>3-12月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2次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种业管理股、执法大队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是（牵头部门炎陵县农业农村局种业管理股，配合部门炎陵县市场</w:t>
            </w:r>
            <w:r>
              <w:rPr>
                <w:rFonts w:ascii="宋体" w:hAnsi="宋体" w:hint="eastAsia"/>
                <w:color w:val="000000"/>
                <w:kern w:val="0"/>
                <w:sz w:val="20"/>
                <w:szCs w:val="20"/>
              </w:rPr>
              <w:lastRenderedPageBreak/>
              <w:t>监督管理局信用监管股、广告监管股）</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lastRenderedPageBreak/>
              <w:t>2项合并检查；联合双随机一公开检查</w:t>
            </w:r>
            <w:r>
              <w:rPr>
                <w:rFonts w:ascii="宋体" w:hAnsi="宋体" w:hint="eastAsia"/>
                <w:color w:val="000000"/>
                <w:kern w:val="0"/>
                <w:sz w:val="20"/>
                <w:szCs w:val="20"/>
              </w:rPr>
              <w:lastRenderedPageBreak/>
              <w:t>1次、部门双随机一公开检查1次</w:t>
            </w:r>
          </w:p>
        </w:tc>
      </w:tr>
      <w:tr w:rsidR="00B64E67" w:rsidTr="00B64E67">
        <w:trPr>
          <w:trHeight w:val="41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lastRenderedPageBreak/>
              <w:t>4</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对拖拉机和联合收割机登记的监督检查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《农业机械安全监督管理条例》（2019修订）第九条第二款  县级以上地方人民政府农业机械化主管部门、工业主管部门和市场监督管理部门等有关部门按照各自职责，负责本行政区域的农业机械安全监督。</w:t>
            </w:r>
            <w:r>
              <w:rPr>
                <w:rFonts w:ascii="宋体" w:hAnsi="宋体" w:hint="eastAsia"/>
                <w:color w:val="000000"/>
                <w:kern w:val="0"/>
                <w:sz w:val="20"/>
                <w:szCs w:val="20"/>
              </w:rPr>
              <w:br/>
              <w:t>第二十一条　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w:t>
            </w:r>
            <w:r>
              <w:rPr>
                <w:rFonts w:ascii="宋体" w:hAnsi="宋体" w:hint="eastAsia"/>
                <w:color w:val="000000"/>
                <w:kern w:val="0"/>
                <w:sz w:val="20"/>
                <w:szCs w:val="20"/>
              </w:rPr>
              <w:br/>
              <w:t>拖拉机、联合收割机使用期间登记事项发生变更的，其所有人应当按照国务院农业机械化主管部门的规定申请变更登记。</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经营使用拖拉机和联合收割机的经营单位　（4家50%）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1.对农业机械产品质量的监督抽查。</w:t>
            </w:r>
            <w:r>
              <w:rPr>
                <w:rFonts w:ascii="宋体" w:hAnsi="宋体" w:hint="eastAsia"/>
                <w:color w:val="000000"/>
                <w:kern w:val="0"/>
                <w:sz w:val="20"/>
                <w:szCs w:val="20"/>
              </w:rPr>
              <w:br/>
              <w:t>2.检查车辆信息：确认拖拉机、联合收割机的类型、品牌、型号名称等与相关证件登记内容相符。3.资料检查：身份证明、保险凭证、其他证件。4.企业登记事项及公示信息监督</w:t>
            </w:r>
            <w:r>
              <w:rPr>
                <w:rFonts w:ascii="宋体" w:hAnsi="宋体" w:hint="eastAsia"/>
                <w:color w:val="000000"/>
                <w:kern w:val="0"/>
                <w:sz w:val="20"/>
                <w:szCs w:val="20"/>
              </w:rPr>
              <w:lastRenderedPageBreak/>
              <w:t>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lastRenderedPageBreak/>
              <w:t>3-12月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2次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农业机械化管理股、农业综合执法大队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是（牵头部门炎陵县农业农村局农业机械化管理股，配合部门炎陵县市</w:t>
            </w:r>
            <w:r>
              <w:rPr>
                <w:rFonts w:ascii="宋体" w:hAnsi="宋体" w:hint="eastAsia"/>
                <w:color w:val="000000"/>
                <w:sz w:val="20"/>
                <w:szCs w:val="20"/>
              </w:rPr>
              <w:t>场监督管理局信用监管股）</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联合双随机一公开检查1次、部门双随机一公开检查1 次</w:t>
            </w:r>
          </w:p>
        </w:tc>
      </w:tr>
      <w:tr w:rsidR="00B64E67" w:rsidTr="00B64E67">
        <w:trPr>
          <w:trHeight w:val="346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lastRenderedPageBreak/>
              <w:t>5</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对肥料登记产品质量的监督检查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《肥料登记管理办法》（2022修订）第二十四条 农业农村主管部门应当按照规定对辖区内的肥料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肥料经营者（20%）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产、销售应登记肥料是否取得登记证，登记证是否在有效期内；2、肥料产品有效成分或含量是否与登记批准的内容相符；3、包装上是否附标签，标签是否存在残缺不清或者擅自修改标签内容的情况。4.农业生产资料相关监管，肥料产品质量监督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2</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种植业管理股，农综中心土肥股、农业综合执法大队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是（牵头部门炎陵县农业农村局种植业管理股，配合部门炎陵县市场监督管理局产品质量股）</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联合“双随机一公开”抽查1次、部门双随机一公开检查1次</w:t>
            </w:r>
          </w:p>
        </w:tc>
      </w:tr>
      <w:tr w:rsidR="00B64E67" w:rsidTr="00B64E67">
        <w:trPr>
          <w:trHeight w:val="2890"/>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FF0000"/>
                <w:sz w:val="20"/>
                <w:szCs w:val="20"/>
              </w:rPr>
            </w:pPr>
            <w:r>
              <w:rPr>
                <w:rFonts w:ascii="宋体" w:hAnsi="宋体" w:hint="eastAsia"/>
                <w:color w:val="FF0000"/>
                <w:sz w:val="20"/>
                <w:szCs w:val="20"/>
              </w:rPr>
              <w:lastRenderedPageBreak/>
              <w:t>6</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对水产品药物残留的行政检查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《水产养殖质量安全管理规定》（2003公布）第三条 农业部主管全国水产养殖质量安全管理工作。</w:t>
            </w:r>
            <w:r>
              <w:rPr>
                <w:rFonts w:ascii="宋体" w:hAnsi="宋体" w:hint="eastAsia"/>
                <w:color w:val="000000"/>
                <w:kern w:val="0"/>
                <w:sz w:val="20"/>
                <w:szCs w:val="20"/>
              </w:rPr>
              <w:br/>
              <w:t>县级以上地方各级人民政府渔业行政主管部门主管本行政区域内水产养殖质量安全管理工作。</w:t>
            </w:r>
            <w:r>
              <w:rPr>
                <w:rFonts w:ascii="宋体" w:hAnsi="宋体" w:hint="eastAsia"/>
                <w:color w:val="000000"/>
                <w:kern w:val="0"/>
                <w:sz w:val="20"/>
                <w:szCs w:val="20"/>
              </w:rPr>
              <w:br/>
              <w:t>第二十条 农业部负责制定全国养殖水产品药物残留监控计划，并组织实施。</w:t>
            </w:r>
            <w:r>
              <w:rPr>
                <w:rFonts w:ascii="宋体" w:hAnsi="宋体" w:hint="eastAsia"/>
                <w:color w:val="000000"/>
                <w:kern w:val="0"/>
                <w:sz w:val="20"/>
                <w:szCs w:val="20"/>
              </w:rPr>
              <w:br/>
              <w:t>县级以上地方各级人民政府渔业行政主管部门负责本行政区域内养殖水产品药物残留的监控工作。</w:t>
            </w:r>
            <w:r>
              <w:rPr>
                <w:rFonts w:ascii="宋体" w:hAnsi="宋体" w:hint="eastAsia"/>
                <w:color w:val="000000"/>
                <w:kern w:val="0"/>
                <w:sz w:val="20"/>
                <w:szCs w:val="20"/>
              </w:rPr>
              <w:br/>
              <w:t>第二十一条 水产养殖单位和个人应当接受县级以上人民政府渔业行政主管部门组织的养殖水产品药物残留抽样检测。</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水产品养殖场、水产苗种生产场、渔业投入品门店（10%）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br/>
              <w:t>1.对水产苗种生产的监督检查。</w:t>
            </w:r>
            <w:r>
              <w:rPr>
                <w:rFonts w:ascii="宋体" w:hAnsi="宋体" w:hint="eastAsia"/>
                <w:color w:val="000000"/>
                <w:kern w:val="0"/>
                <w:sz w:val="20"/>
                <w:szCs w:val="20"/>
              </w:rPr>
              <w:br/>
              <w:t>2.对水产品药物残留的行政检查。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现场检查和非现场检查结合</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1次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渔业渔政管理股、执法大队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否</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部门双随机一公开检查</w:t>
            </w:r>
          </w:p>
        </w:tc>
      </w:tr>
      <w:tr w:rsidR="00B64E67" w:rsidTr="00B64E67">
        <w:trPr>
          <w:trHeight w:val="346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t>7</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对水生野生动物或者其产品经营利用的监督检查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1.《中华人民共和国水生野生动物保护实施条例》（2013修订）第十九条 县级以上各级人民政府渔业行政主管部门和工商行政管理部门，应当对水生野生动物或者其产品的经营利用建立监督检查制度，加强对经营利用水生野生动物或者其产品的监督管理。</w:t>
            </w:r>
            <w:r>
              <w:rPr>
                <w:rFonts w:ascii="宋体" w:hAnsi="宋体" w:hint="eastAsia"/>
                <w:color w:val="000000"/>
                <w:kern w:val="0"/>
                <w:sz w:val="20"/>
                <w:szCs w:val="20"/>
              </w:rPr>
              <w:b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ascii="宋体" w:hAnsi="宋体" w:hint="eastAsia"/>
                <w:color w:val="000000"/>
                <w:kern w:val="0"/>
                <w:sz w:val="20"/>
                <w:szCs w:val="20"/>
              </w:rPr>
              <w:br/>
              <w:t>2.《中华人民共和国水生野生动物利用特许办法》（2019公布）第七条　各级渔业行政主管部门及其所属的渔政监督管理机构，有权对本办法的实施情况进行监督检查，被检查的单位和个人应当给予配合。</w:t>
            </w:r>
            <w:r>
              <w:rPr>
                <w:rFonts w:ascii="宋体" w:hAnsi="宋体" w:hint="eastAsia"/>
                <w:color w:val="000000"/>
                <w:kern w:val="0"/>
                <w:sz w:val="20"/>
                <w:szCs w:val="20"/>
              </w:rPr>
              <w:br/>
              <w:t>第二十六条 地方各级渔业行政主管部门应当对水生野生动物或其制品的经营利用建立监督检查制度，加强对经营利用水生野生动物或其制品的监督管理。</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经营利用水生野生动物的企业（10%）</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1.对科学研究、人工繁育、公众展示展演等利用野生动物及其制品的活动的行政检查。2.对进入集贸市场的水生野生动物或者其产品的监督检查。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现场检查和非现场检查结合</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1次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畜牧水产中心、执法大队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是（牵头部门炎陵县农业农村局渔业渔政管理股，配合部门炎陵县市场监督管理局网络交易监管股）</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联合双随机一公开检查</w:t>
            </w:r>
          </w:p>
        </w:tc>
      </w:tr>
      <w:tr w:rsidR="00B64E67" w:rsidTr="00B64E67">
        <w:trPr>
          <w:trHeight w:val="202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lastRenderedPageBreak/>
              <w:t>8</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对农产品质量安全的监督管理</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《中华人民共和国农产品质量安全法》第四十七条　县级以上人民政府农业农村主管部门应当建立健全随机抽查机制，按照监督抽查计划，组织开展农产品质量安全监督抽查。</w:t>
            </w:r>
            <w:r>
              <w:rPr>
                <w:rFonts w:ascii="宋体" w:hAnsi="宋体" w:hint="eastAsia"/>
                <w:color w:val="000000"/>
                <w:kern w:val="0"/>
                <w:sz w:val="20"/>
                <w:szCs w:val="20"/>
              </w:rPr>
              <w:b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重点产品生产经营主体,500批次</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重点产品农产品质量安全</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3-12月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1次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农产品质量安全监管股、执法大队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否</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部门双随机一公开检查</w:t>
            </w:r>
          </w:p>
        </w:tc>
      </w:tr>
      <w:tr w:rsidR="00B64E67" w:rsidTr="00B64E67">
        <w:trPr>
          <w:trHeight w:val="3466"/>
        </w:trPr>
        <w:tc>
          <w:tcPr>
            <w:tcW w:w="549" w:type="dxa"/>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sz w:val="20"/>
                <w:szCs w:val="20"/>
              </w:rPr>
              <w:t>9</w:t>
            </w:r>
          </w:p>
        </w:tc>
        <w:tc>
          <w:tcPr>
            <w:tcW w:w="109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对农药的生产、销售、使用情况的监督检查</w:t>
            </w:r>
          </w:p>
        </w:tc>
        <w:tc>
          <w:tcPr>
            <w:tcW w:w="6321"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1.《农药管理条例》第四十一条　县级以上人民政府农业主管部门履行农药监督管理职责，可以依法采取下列措施：</w:t>
            </w:r>
            <w:r>
              <w:rPr>
                <w:rFonts w:ascii="宋体" w:hAnsi="宋体" w:hint="eastAsia"/>
                <w:color w:val="000000"/>
                <w:kern w:val="0"/>
                <w:sz w:val="20"/>
                <w:szCs w:val="20"/>
              </w:rPr>
              <w:br/>
              <w:t>（一）进入农药生产、经营、使用场所实施现场检查；</w:t>
            </w:r>
            <w:r>
              <w:rPr>
                <w:rFonts w:ascii="宋体" w:hAnsi="宋体" w:hint="eastAsia"/>
                <w:color w:val="000000"/>
                <w:kern w:val="0"/>
                <w:sz w:val="20"/>
                <w:szCs w:val="20"/>
              </w:rPr>
              <w:br/>
              <w:t>（二）对生产、经营、使用的农药实施抽查检测；</w:t>
            </w:r>
            <w:r>
              <w:rPr>
                <w:rFonts w:ascii="宋体" w:hAnsi="宋体" w:hint="eastAsia"/>
                <w:color w:val="000000"/>
                <w:kern w:val="0"/>
                <w:sz w:val="20"/>
                <w:szCs w:val="20"/>
              </w:rPr>
              <w:br/>
              <w:t>（三）向有关人员调查了解有关情况；</w:t>
            </w:r>
            <w:r>
              <w:rPr>
                <w:rFonts w:ascii="宋体" w:hAnsi="宋体" w:hint="eastAsia"/>
                <w:color w:val="000000"/>
                <w:kern w:val="0"/>
                <w:sz w:val="20"/>
                <w:szCs w:val="20"/>
              </w:rPr>
              <w:br/>
              <w:t>（四）查阅、复制合同、票据、账簿以及其他有关资料；</w:t>
            </w:r>
            <w:r>
              <w:rPr>
                <w:rFonts w:ascii="宋体" w:hAnsi="宋体" w:hint="eastAsia"/>
                <w:color w:val="000000"/>
                <w:kern w:val="0"/>
                <w:sz w:val="20"/>
                <w:szCs w:val="20"/>
              </w:rPr>
              <w:br/>
              <w:t>（五）查封、扣押违法生产、经营、使用的农药，以及用于违法生产、经营、使用农药的工具、设备、原材料等；</w:t>
            </w:r>
            <w:r>
              <w:rPr>
                <w:rFonts w:ascii="宋体" w:hAnsi="宋体" w:hint="eastAsia"/>
                <w:color w:val="000000"/>
                <w:kern w:val="0"/>
                <w:sz w:val="20"/>
                <w:szCs w:val="20"/>
              </w:rPr>
              <w:br/>
              <w:t>（六）查封违法生产、经营、使用农药的场所。</w:t>
            </w:r>
            <w:r>
              <w:rPr>
                <w:rFonts w:ascii="宋体" w:hAnsi="宋体" w:hint="eastAsia"/>
                <w:color w:val="000000"/>
                <w:kern w:val="0"/>
                <w:sz w:val="20"/>
                <w:szCs w:val="20"/>
              </w:rPr>
              <w:br/>
              <w:t>2.《农药经营许可管理办法》第二十三条 县级以上地方农业部门应当对农药经营情况进行监督检查，定期调查统计农药销售情况，建立农药经营诚信档案并予以公布。</w:t>
            </w:r>
          </w:p>
        </w:tc>
        <w:tc>
          <w:tcPr>
            <w:tcW w:w="9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农药经营主体（5%）</w:t>
            </w:r>
          </w:p>
        </w:tc>
        <w:tc>
          <w:tcPr>
            <w:tcW w:w="1342"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left"/>
              <w:textAlignment w:val="center"/>
              <w:rPr>
                <w:rFonts w:ascii="宋体" w:hAnsi="宋体"/>
                <w:color w:val="000000"/>
                <w:sz w:val="20"/>
                <w:szCs w:val="20"/>
              </w:rPr>
            </w:pPr>
            <w:r>
              <w:rPr>
                <w:rFonts w:ascii="宋体" w:hAnsi="宋体" w:hint="eastAsia"/>
                <w:color w:val="000000"/>
                <w:kern w:val="0"/>
                <w:sz w:val="20"/>
                <w:szCs w:val="20"/>
              </w:rPr>
              <w:t>1.生产情况监督检查。</w:t>
            </w:r>
            <w:r>
              <w:rPr>
                <w:rFonts w:ascii="宋体" w:hAnsi="宋体" w:hint="eastAsia"/>
                <w:color w:val="000000"/>
                <w:kern w:val="0"/>
                <w:sz w:val="20"/>
                <w:szCs w:val="20"/>
              </w:rPr>
              <w:br/>
              <w:t>2.经营情况监督检查。</w:t>
            </w:r>
            <w:r>
              <w:rPr>
                <w:rFonts w:ascii="宋体" w:hAnsi="宋体" w:hint="eastAsia"/>
                <w:color w:val="000000"/>
                <w:kern w:val="0"/>
                <w:sz w:val="20"/>
                <w:szCs w:val="20"/>
              </w:rPr>
              <w:br/>
              <w:t>3.管理情况监督检查。4.农药产品质量监督检查。</w:t>
            </w:r>
          </w:p>
        </w:tc>
        <w:tc>
          <w:tcPr>
            <w:tcW w:w="73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3－11月</w:t>
            </w:r>
          </w:p>
        </w:tc>
        <w:tc>
          <w:tcPr>
            <w:tcW w:w="74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现场检查</w:t>
            </w:r>
          </w:p>
        </w:tc>
        <w:tc>
          <w:tcPr>
            <w:tcW w:w="668"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2次</w:t>
            </w:r>
          </w:p>
        </w:tc>
        <w:tc>
          <w:tcPr>
            <w:tcW w:w="803"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sz w:val="20"/>
                <w:szCs w:val="20"/>
              </w:rPr>
            </w:pPr>
            <w:r>
              <w:rPr>
                <w:rFonts w:ascii="宋体" w:hAnsi="宋体" w:hint="eastAsia"/>
                <w:color w:val="000000"/>
                <w:kern w:val="0"/>
                <w:sz w:val="20"/>
                <w:szCs w:val="20"/>
              </w:rPr>
              <w:t>种植业管理股、执法大队</w:t>
            </w:r>
          </w:p>
        </w:tc>
        <w:tc>
          <w:tcPr>
            <w:tcW w:w="994"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kern w:val="0"/>
                <w:sz w:val="20"/>
                <w:szCs w:val="20"/>
              </w:rPr>
            </w:pPr>
            <w:r>
              <w:rPr>
                <w:rFonts w:ascii="宋体" w:hAnsi="宋体" w:hint="eastAsia"/>
                <w:color w:val="000000"/>
                <w:kern w:val="0"/>
                <w:sz w:val="20"/>
                <w:szCs w:val="20"/>
              </w:rPr>
              <w:t>是（牵头部门炎陵县农业农村局种植业管理股，配合部门炎陵县市场监督管理局产品质量股）</w:t>
            </w:r>
          </w:p>
        </w:tc>
        <w:tc>
          <w:tcPr>
            <w:tcW w:w="670" w:type="dxa"/>
            <w:tcBorders>
              <w:top w:val="single" w:sz="4" w:space="0" w:color="000000"/>
              <w:left w:val="nil"/>
              <w:bottom w:val="single" w:sz="4" w:space="0" w:color="000000"/>
              <w:right w:val="single" w:sz="4" w:space="0" w:color="000000"/>
            </w:tcBorders>
            <w:vAlign w:val="center"/>
            <w:hideMark/>
          </w:tcPr>
          <w:p w:rsidR="00B64E67" w:rsidRDefault="00B64E67">
            <w:pPr>
              <w:widowControl/>
              <w:autoSpaceDE w:val="0"/>
              <w:spacing w:line="300" w:lineRule="exact"/>
              <w:jc w:val="center"/>
              <w:textAlignment w:val="center"/>
              <w:rPr>
                <w:rFonts w:ascii="宋体" w:hAnsi="宋体"/>
                <w:color w:val="000000"/>
                <w:kern w:val="0"/>
                <w:sz w:val="20"/>
                <w:szCs w:val="20"/>
              </w:rPr>
            </w:pPr>
            <w:r>
              <w:rPr>
                <w:rFonts w:ascii="宋体" w:hAnsi="宋体" w:hint="eastAsia"/>
                <w:color w:val="000000"/>
                <w:kern w:val="0"/>
                <w:sz w:val="20"/>
                <w:szCs w:val="20"/>
              </w:rPr>
              <w:t>联合双随机一公开1次；部门双随机一公开检查1次</w:t>
            </w:r>
          </w:p>
        </w:tc>
      </w:tr>
      <w:tr w:rsidR="00B64E67" w:rsidTr="00B64E67">
        <w:trPr>
          <w:trHeight w:val="1863"/>
        </w:trPr>
        <w:tc>
          <w:tcPr>
            <w:tcW w:w="14840" w:type="dxa"/>
            <w:gridSpan w:val="11"/>
            <w:tcBorders>
              <w:top w:val="single" w:sz="4" w:space="0" w:color="000000"/>
              <w:left w:val="single" w:sz="4" w:space="0" w:color="000000"/>
              <w:bottom w:val="single" w:sz="4" w:space="0" w:color="000000"/>
              <w:right w:val="single" w:sz="4" w:space="0" w:color="000000"/>
            </w:tcBorders>
            <w:vAlign w:val="center"/>
            <w:hideMark/>
          </w:tcPr>
          <w:p w:rsidR="00B64E67" w:rsidRDefault="00B64E67">
            <w:pPr>
              <w:widowControl/>
              <w:autoSpaceDE w:val="0"/>
              <w:spacing w:line="240" w:lineRule="exact"/>
              <w:jc w:val="left"/>
              <w:textAlignment w:val="center"/>
              <w:rPr>
                <w:rFonts w:ascii="仿宋_GB2312" w:hAnsi="宋体"/>
                <w:color w:val="000000"/>
                <w:sz w:val="20"/>
                <w:szCs w:val="20"/>
              </w:rPr>
            </w:pPr>
            <w:r>
              <w:rPr>
                <w:rFonts w:ascii="仿宋_GB2312" w:hAnsi="仿宋_GB2312"/>
                <w:color w:val="000000"/>
                <w:kern w:val="0"/>
                <w:sz w:val="20"/>
                <w:szCs w:val="20"/>
              </w:rPr>
              <w:t>填写说明：</w:t>
            </w:r>
            <w:r>
              <w:rPr>
                <w:rFonts w:ascii="仿宋_GB2312" w:hAnsi="仿宋_GB2312"/>
                <w:color w:val="000000"/>
                <w:kern w:val="0"/>
                <w:sz w:val="20"/>
                <w:szCs w:val="20"/>
              </w:rPr>
              <w:t>1.</w:t>
            </w:r>
            <w:r>
              <w:rPr>
                <w:rFonts w:ascii="仿宋_GB2312" w:hAnsi="仿宋_GB2312"/>
                <w:color w:val="000000"/>
                <w:kern w:val="0"/>
                <w:sz w:val="20"/>
                <w:szCs w:val="20"/>
              </w:rPr>
              <w:t>检查事项、实施依据、承办机构栏应与本单位涉企行政检查事项清单保持一致。其中，</w:t>
            </w:r>
            <w:r>
              <w:rPr>
                <w:rFonts w:ascii="仿宋_GB2312" w:hAnsi="仿宋_GB2312"/>
                <w:color w:val="000000"/>
                <w:kern w:val="0"/>
                <w:sz w:val="20"/>
                <w:szCs w:val="20"/>
              </w:rPr>
              <w:t>“</w:t>
            </w:r>
            <w:r>
              <w:rPr>
                <w:rFonts w:ascii="仿宋_GB2312" w:hAnsi="仿宋_GB2312"/>
                <w:color w:val="000000"/>
                <w:kern w:val="0"/>
                <w:sz w:val="20"/>
                <w:szCs w:val="20"/>
              </w:rPr>
              <w:t>实施依据</w:t>
            </w:r>
            <w:r>
              <w:rPr>
                <w:rFonts w:ascii="仿宋_GB2312" w:hAnsi="仿宋_GB2312"/>
                <w:color w:val="000000"/>
                <w:kern w:val="0"/>
                <w:sz w:val="20"/>
                <w:szCs w:val="20"/>
              </w:rPr>
              <w:t>”</w:t>
            </w:r>
            <w:r>
              <w:rPr>
                <w:rFonts w:ascii="仿宋_GB2312" w:hAnsi="仿宋_GB2312"/>
                <w:color w:val="000000"/>
                <w:kern w:val="0"/>
                <w:sz w:val="20"/>
                <w:szCs w:val="20"/>
              </w:rPr>
              <w:t>栏需列明以下内容：</w:t>
            </w:r>
            <w:r>
              <w:rPr>
                <w:rFonts w:ascii="宋体" w:hAnsi="宋体" w:cs="宋体" w:hint="eastAsia"/>
                <w:color w:val="000000"/>
                <w:kern w:val="0"/>
                <w:sz w:val="20"/>
                <w:szCs w:val="20"/>
              </w:rPr>
              <w:t>①</w:t>
            </w:r>
            <w:r>
              <w:rPr>
                <w:rFonts w:ascii="仿宋_GB2312" w:hAnsi="仿宋_GB2312"/>
                <w:color w:val="000000"/>
                <w:kern w:val="0"/>
                <w:sz w:val="20"/>
                <w:szCs w:val="20"/>
              </w:rPr>
              <w:t>法律法规规章名称（含规章令号）；</w:t>
            </w:r>
            <w:r>
              <w:rPr>
                <w:rFonts w:ascii="宋体" w:hAnsi="宋体" w:cs="宋体" w:hint="eastAsia"/>
                <w:color w:val="000000"/>
                <w:kern w:val="0"/>
                <w:sz w:val="20"/>
                <w:szCs w:val="20"/>
              </w:rPr>
              <w:t>②</w:t>
            </w:r>
            <w:r>
              <w:rPr>
                <w:rFonts w:ascii="仿宋_GB2312" w:hAnsi="仿宋_GB2312"/>
                <w:color w:val="000000"/>
                <w:kern w:val="0"/>
                <w:sz w:val="20"/>
                <w:szCs w:val="20"/>
              </w:rPr>
              <w:t>具体条、款、项、目；</w:t>
            </w:r>
            <w:r>
              <w:rPr>
                <w:rFonts w:ascii="宋体" w:hAnsi="宋体" w:cs="宋体" w:hint="eastAsia"/>
                <w:color w:val="000000"/>
                <w:kern w:val="0"/>
                <w:sz w:val="20"/>
                <w:szCs w:val="20"/>
              </w:rPr>
              <w:t>③</w:t>
            </w:r>
            <w:r>
              <w:rPr>
                <w:rFonts w:ascii="仿宋_GB2312" w:hAnsi="仿宋_GB2312"/>
                <w:color w:val="000000"/>
                <w:kern w:val="0"/>
                <w:sz w:val="20"/>
                <w:szCs w:val="20"/>
              </w:rPr>
              <w:t>引用相关条文原文。</w:t>
            </w:r>
            <w:r>
              <w:rPr>
                <w:rFonts w:ascii="仿宋_GB2312" w:hAnsi="宋体"/>
                <w:color w:val="000000"/>
                <w:kern w:val="0"/>
                <w:sz w:val="20"/>
                <w:szCs w:val="20"/>
              </w:rPr>
              <w:br/>
            </w:r>
            <w:r>
              <w:rPr>
                <w:rFonts w:ascii="仿宋_GB2312" w:hAnsi="仿宋_GB2312"/>
                <w:color w:val="000000"/>
                <w:kern w:val="0"/>
                <w:sz w:val="20"/>
                <w:szCs w:val="20"/>
              </w:rPr>
              <w:t>2.</w:t>
            </w:r>
            <w:r>
              <w:rPr>
                <w:rFonts w:ascii="仿宋_GB2312" w:hAnsi="仿宋_GB2312"/>
                <w:color w:val="000000"/>
                <w:kern w:val="0"/>
                <w:sz w:val="20"/>
                <w:szCs w:val="20"/>
              </w:rPr>
              <w:t>根据投诉举报、转（交）办、数据监控等实施的触发式行政检查，按照省政府办公厅《关于严格规范涉企行政检查的实施方案》相关规定执行，不列入本计划。</w:t>
            </w:r>
            <w:r>
              <w:rPr>
                <w:rFonts w:ascii="仿宋_GB2312" w:hAnsi="宋体"/>
                <w:color w:val="000000"/>
                <w:kern w:val="0"/>
                <w:sz w:val="20"/>
                <w:szCs w:val="20"/>
              </w:rPr>
              <w:br/>
            </w:r>
            <w:r>
              <w:rPr>
                <w:rFonts w:ascii="仿宋_GB2312" w:hAnsi="仿宋_GB2312"/>
                <w:color w:val="000000"/>
                <w:kern w:val="0"/>
                <w:sz w:val="20"/>
                <w:szCs w:val="20"/>
              </w:rPr>
              <w:t>3.“</w:t>
            </w:r>
            <w:r>
              <w:rPr>
                <w:rFonts w:ascii="仿宋_GB2312" w:hAnsi="仿宋_GB2312"/>
                <w:color w:val="000000"/>
                <w:kern w:val="0"/>
                <w:sz w:val="20"/>
                <w:szCs w:val="20"/>
              </w:rPr>
              <w:t>检查方式</w:t>
            </w:r>
            <w:r>
              <w:rPr>
                <w:rFonts w:ascii="仿宋_GB2312" w:hAnsi="仿宋_GB2312"/>
                <w:color w:val="000000"/>
                <w:kern w:val="0"/>
                <w:sz w:val="20"/>
                <w:szCs w:val="20"/>
              </w:rPr>
              <w:t>”</w:t>
            </w:r>
            <w:r>
              <w:rPr>
                <w:rFonts w:ascii="仿宋_GB2312" w:hAnsi="仿宋_GB2312"/>
                <w:color w:val="000000"/>
                <w:kern w:val="0"/>
                <w:sz w:val="20"/>
                <w:szCs w:val="20"/>
              </w:rPr>
              <w:t>栏主要包括现场检查</w:t>
            </w:r>
            <w:r>
              <w:rPr>
                <w:rFonts w:ascii="仿宋_GB2312" w:hAnsi="仿宋_GB2312"/>
                <w:color w:val="000000"/>
                <w:kern w:val="0"/>
                <w:sz w:val="20"/>
                <w:szCs w:val="20"/>
              </w:rPr>
              <w:t>/</w:t>
            </w:r>
            <w:r>
              <w:rPr>
                <w:rFonts w:ascii="仿宋_GB2312" w:hAnsi="仿宋_GB2312"/>
                <w:color w:val="000000"/>
                <w:kern w:val="0"/>
                <w:sz w:val="20"/>
                <w:szCs w:val="20"/>
              </w:rPr>
              <w:t>非现场检查</w:t>
            </w:r>
            <w:r>
              <w:rPr>
                <w:rFonts w:ascii="仿宋_GB2312" w:hAnsi="仿宋_GB2312"/>
                <w:color w:val="000000"/>
                <w:kern w:val="0"/>
                <w:sz w:val="20"/>
                <w:szCs w:val="20"/>
              </w:rPr>
              <w:t>/</w:t>
            </w:r>
            <w:r>
              <w:rPr>
                <w:rFonts w:ascii="仿宋_GB2312" w:hAnsi="仿宋_GB2312"/>
                <w:color w:val="000000"/>
                <w:kern w:val="0"/>
                <w:sz w:val="20"/>
                <w:szCs w:val="20"/>
              </w:rPr>
              <w:t>现场检查和非现场检查相结合三种，各单位在该栏目中可结合本单位实际细化具体检查手段等表述。</w:t>
            </w:r>
            <w:r>
              <w:rPr>
                <w:rFonts w:ascii="仿宋_GB2312" w:hAnsi="宋体"/>
                <w:color w:val="000000"/>
                <w:kern w:val="0"/>
                <w:sz w:val="20"/>
                <w:szCs w:val="20"/>
              </w:rPr>
              <w:br/>
            </w:r>
            <w:r>
              <w:rPr>
                <w:rFonts w:ascii="仿宋_GB2312" w:hAnsi="仿宋_GB2312"/>
                <w:color w:val="000000"/>
                <w:kern w:val="0"/>
                <w:sz w:val="20"/>
                <w:szCs w:val="20"/>
              </w:rPr>
              <w:t>4.</w:t>
            </w:r>
            <w:r>
              <w:rPr>
                <w:rFonts w:ascii="仿宋_GB2312" w:hAnsi="仿宋_GB2312"/>
                <w:color w:val="000000"/>
                <w:kern w:val="0"/>
                <w:sz w:val="20"/>
                <w:szCs w:val="20"/>
              </w:rPr>
              <w:t>第四栏中</w:t>
            </w:r>
            <w:r>
              <w:rPr>
                <w:rFonts w:ascii="仿宋_GB2312" w:hAnsi="仿宋_GB2312"/>
                <w:color w:val="000000"/>
                <w:kern w:val="0"/>
                <w:sz w:val="20"/>
                <w:szCs w:val="20"/>
              </w:rPr>
              <w:t>“</w:t>
            </w:r>
            <w:r>
              <w:rPr>
                <w:rFonts w:ascii="仿宋_GB2312" w:hAnsi="仿宋_GB2312"/>
                <w:color w:val="000000"/>
                <w:kern w:val="0"/>
                <w:sz w:val="20"/>
                <w:szCs w:val="20"/>
              </w:rPr>
              <w:t>具体检查对象</w:t>
            </w:r>
            <w:r>
              <w:rPr>
                <w:rFonts w:ascii="仿宋_GB2312" w:hAnsi="仿宋_GB2312"/>
                <w:color w:val="000000"/>
                <w:kern w:val="0"/>
                <w:sz w:val="20"/>
                <w:szCs w:val="20"/>
              </w:rPr>
              <w:t>”</w:t>
            </w:r>
            <w:r>
              <w:rPr>
                <w:rFonts w:ascii="仿宋_GB2312" w:hAnsi="仿宋_GB2312"/>
                <w:color w:val="000000"/>
                <w:kern w:val="0"/>
                <w:sz w:val="20"/>
                <w:szCs w:val="20"/>
              </w:rPr>
              <w:t>应列明具体检查对象名单，或者精准描述检查对象具体范围；</w:t>
            </w:r>
            <w:r>
              <w:rPr>
                <w:rFonts w:ascii="仿宋_GB2312" w:hAnsi="仿宋_GB2312"/>
                <w:color w:val="000000"/>
                <w:kern w:val="0"/>
                <w:sz w:val="20"/>
                <w:szCs w:val="20"/>
              </w:rPr>
              <w:t>“</w:t>
            </w:r>
            <w:r>
              <w:rPr>
                <w:rFonts w:ascii="仿宋_GB2312" w:hAnsi="仿宋_GB2312"/>
                <w:color w:val="000000"/>
                <w:kern w:val="0"/>
                <w:sz w:val="20"/>
                <w:szCs w:val="20"/>
              </w:rPr>
              <w:t>备注</w:t>
            </w:r>
            <w:r>
              <w:rPr>
                <w:rFonts w:ascii="仿宋_GB2312" w:hAnsi="仿宋_GB2312"/>
                <w:color w:val="000000"/>
                <w:kern w:val="0"/>
                <w:sz w:val="20"/>
                <w:szCs w:val="20"/>
              </w:rPr>
              <w:t>”</w:t>
            </w:r>
            <w:r>
              <w:rPr>
                <w:rFonts w:ascii="仿宋_GB2312" w:hAnsi="仿宋_GB2312"/>
                <w:color w:val="000000"/>
                <w:kern w:val="0"/>
                <w:sz w:val="20"/>
                <w:szCs w:val="20"/>
              </w:rPr>
              <w:t>栏，需明确本项检查是否属</w:t>
            </w:r>
            <w:r>
              <w:rPr>
                <w:rFonts w:ascii="仿宋_GB2312" w:hAnsi="仿宋_GB2312"/>
                <w:color w:val="000000"/>
                <w:kern w:val="0"/>
                <w:sz w:val="20"/>
                <w:szCs w:val="20"/>
              </w:rPr>
              <w:t>“</w:t>
            </w:r>
            <w:r>
              <w:rPr>
                <w:rFonts w:ascii="仿宋_GB2312" w:hAnsi="仿宋_GB2312"/>
                <w:color w:val="000000"/>
                <w:kern w:val="0"/>
                <w:sz w:val="20"/>
                <w:szCs w:val="20"/>
              </w:rPr>
              <w:t>双随机一公开</w:t>
            </w:r>
            <w:r>
              <w:rPr>
                <w:rFonts w:ascii="仿宋_GB2312" w:hAnsi="仿宋_GB2312"/>
                <w:color w:val="000000"/>
                <w:kern w:val="0"/>
                <w:sz w:val="20"/>
                <w:szCs w:val="20"/>
              </w:rPr>
              <w:t>”</w:t>
            </w:r>
            <w:r>
              <w:rPr>
                <w:rFonts w:ascii="仿宋_GB2312" w:hAnsi="仿宋_GB2312"/>
                <w:color w:val="000000"/>
                <w:kern w:val="0"/>
                <w:sz w:val="20"/>
                <w:szCs w:val="20"/>
              </w:rPr>
              <w:t>抽查、专项检查、重点检查或一般检查等情形。</w:t>
            </w:r>
            <w:r>
              <w:rPr>
                <w:rFonts w:ascii="仿宋_GB2312" w:hAnsi="宋体"/>
                <w:color w:val="000000"/>
                <w:kern w:val="0"/>
                <w:sz w:val="20"/>
                <w:szCs w:val="20"/>
              </w:rPr>
              <w:br/>
            </w:r>
            <w:r>
              <w:rPr>
                <w:rFonts w:ascii="仿宋_GB2312" w:hAnsi="仿宋_GB2312"/>
                <w:color w:val="000000"/>
                <w:kern w:val="0"/>
                <w:sz w:val="20"/>
                <w:szCs w:val="20"/>
              </w:rPr>
              <w:t>5.</w:t>
            </w:r>
            <w:r>
              <w:rPr>
                <w:rFonts w:ascii="仿宋_GB2312" w:hAnsi="仿宋_GB2312"/>
                <w:color w:val="000000"/>
                <w:kern w:val="0"/>
                <w:sz w:val="20"/>
                <w:szCs w:val="20"/>
              </w:rPr>
              <w:t>根据省政府办公厅《关于严格规范涉企行政检查的实施方案》相关规定，本表应在同级司法行政部门同意备案后，由制定机关</w:t>
            </w:r>
            <w:r>
              <w:rPr>
                <w:rFonts w:ascii="仿宋_GB2312" w:hAnsi="仿宋_GB2312"/>
                <w:color w:val="000000"/>
                <w:kern w:val="0"/>
                <w:sz w:val="20"/>
                <w:szCs w:val="20"/>
              </w:rPr>
              <w:t>15</w:t>
            </w:r>
            <w:r>
              <w:rPr>
                <w:rFonts w:ascii="仿宋_GB2312" w:hAnsi="仿宋_GB2312"/>
                <w:color w:val="000000"/>
                <w:kern w:val="0"/>
                <w:sz w:val="20"/>
                <w:szCs w:val="20"/>
              </w:rPr>
              <w:t>日内协调本级政府网站向社会公布。</w:t>
            </w:r>
            <w:r>
              <w:rPr>
                <w:rFonts w:ascii="仿宋_GB2312" w:hAnsi="宋体"/>
                <w:color w:val="000000"/>
                <w:kern w:val="0"/>
                <w:sz w:val="20"/>
                <w:szCs w:val="20"/>
              </w:rPr>
              <w:br/>
            </w:r>
            <w:r>
              <w:rPr>
                <w:rFonts w:ascii="仿宋_GB2312" w:hAnsi="仿宋_GB2312"/>
                <w:color w:val="000000"/>
                <w:kern w:val="0"/>
                <w:sz w:val="20"/>
                <w:szCs w:val="20"/>
              </w:rPr>
              <w:t>6.</w:t>
            </w:r>
            <w:r>
              <w:rPr>
                <w:rFonts w:ascii="仿宋_GB2312" w:hAnsi="仿宋_GB2312"/>
                <w:color w:val="000000"/>
                <w:kern w:val="0"/>
                <w:sz w:val="20"/>
                <w:szCs w:val="20"/>
              </w:rPr>
              <w:t>各单位与同级司法行政部门沟通一致后，可结合本单位实际在表格栏目外适当增加栏目。</w:t>
            </w:r>
          </w:p>
        </w:tc>
      </w:tr>
    </w:tbl>
    <w:p w:rsidR="00B64E67" w:rsidRDefault="00B64E67" w:rsidP="00B64E67">
      <w:pPr>
        <w:pStyle w:val="2"/>
        <w:autoSpaceDE w:val="0"/>
        <w:spacing w:line="300" w:lineRule="exact"/>
        <w:ind w:leftChars="0" w:left="0"/>
        <w:jc w:val="left"/>
      </w:pPr>
      <w:r>
        <w:rPr>
          <w:rFonts w:hint="eastAsia"/>
        </w:rPr>
        <w:t xml:space="preserve"> </w:t>
      </w:r>
    </w:p>
    <w:p w:rsidR="00B64E67" w:rsidRDefault="00B64E67" w:rsidP="00B64E67">
      <w:pPr>
        <w:widowControl/>
        <w:spacing w:afterAutospacing="1"/>
        <w:jc w:val="left"/>
        <w:sectPr w:rsidR="00B64E67">
          <w:pgSz w:w="16838" w:h="11906" w:orient="landscape"/>
          <w:pgMar w:top="1588" w:right="2098" w:bottom="1474" w:left="1985" w:header="851" w:footer="1588" w:gutter="0"/>
          <w:cols w:space="720"/>
          <w:titlePg/>
          <w:docGrid w:type="lines" w:linePitch="579"/>
        </w:sectPr>
      </w:pPr>
    </w:p>
    <w:p w:rsidR="0097091E" w:rsidRDefault="0097091E">
      <w:pPr>
        <w:rPr>
          <w:rFonts w:hint="eastAsia"/>
        </w:rPr>
      </w:pPr>
    </w:p>
    <w:sectPr w:rsidR="0097091E" w:rsidSect="009709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方正小标宋简体">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楷体_GB2312">
    <w:altName w:val="Times New Roman"/>
    <w:charset w:val="00"/>
    <w:family w:val="auto"/>
    <w:pitch w:val="default"/>
    <w:sig w:usb0="00000000" w:usb1="00000000" w:usb2="00000000" w:usb3="00000000" w:csb0="00000000" w:csb1="00000000"/>
  </w:font>
  <w:font w:name="方正楷体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4E67"/>
    <w:rsid w:val="0097091E"/>
    <w:rsid w:val="00B64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64E67"/>
    <w:pPr>
      <w:widowControl w:val="0"/>
      <w:jc w:val="both"/>
    </w:pPr>
    <w:rPr>
      <w:rFonts w:ascii="Calibri" w:eastAsia="宋体" w:hAnsi="Calibri" w:cs="Times New Roman"/>
      <w:szCs w:val="21"/>
    </w:rPr>
  </w:style>
  <w:style w:type="paragraph" w:styleId="20">
    <w:name w:val="heading 2"/>
    <w:basedOn w:val="a"/>
    <w:next w:val="a"/>
    <w:link w:val="2Char"/>
    <w:uiPriority w:val="99"/>
    <w:qFormat/>
    <w:rsid w:val="00B64E67"/>
    <w:pPr>
      <w:outlineLvl w:val="1"/>
    </w:pPr>
    <w:rPr>
      <w:rFonts w:ascii="Times New Roman" w:eastAsia="黑体" w:hAnsi="Times New Roman"/>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0"/>
    <w:uiPriority w:val="99"/>
    <w:rsid w:val="00B64E67"/>
    <w:rPr>
      <w:rFonts w:ascii="Times New Roman" w:eastAsia="黑体" w:hAnsi="Times New Roman" w:cs="Times New Roman"/>
      <w:bCs/>
      <w:szCs w:val="21"/>
    </w:rPr>
  </w:style>
  <w:style w:type="paragraph" w:styleId="a3">
    <w:name w:val="Body Text Indent"/>
    <w:basedOn w:val="a"/>
    <w:link w:val="Char"/>
    <w:uiPriority w:val="99"/>
    <w:semiHidden/>
    <w:unhideWhenUsed/>
    <w:rsid w:val="00B64E67"/>
    <w:pPr>
      <w:spacing w:after="120"/>
      <w:ind w:leftChars="200" w:left="420"/>
    </w:pPr>
  </w:style>
  <w:style w:type="character" w:customStyle="1" w:styleId="Char">
    <w:name w:val="正文文本缩进 Char"/>
    <w:basedOn w:val="a0"/>
    <w:link w:val="a3"/>
    <w:uiPriority w:val="99"/>
    <w:semiHidden/>
    <w:rsid w:val="00B64E67"/>
    <w:rPr>
      <w:rFonts w:ascii="Calibri" w:eastAsia="宋体" w:hAnsi="Calibri" w:cs="Times New Roman"/>
      <w:szCs w:val="21"/>
    </w:rPr>
  </w:style>
  <w:style w:type="paragraph" w:styleId="2">
    <w:name w:val="Body Text First Indent 2"/>
    <w:basedOn w:val="a3"/>
    <w:link w:val="2Char0"/>
    <w:uiPriority w:val="99"/>
    <w:unhideWhenUsed/>
    <w:rsid w:val="00B64E67"/>
    <w:pPr>
      <w:spacing w:before="100" w:beforeAutospacing="1" w:after="0"/>
      <w:ind w:firstLineChars="200" w:firstLine="420"/>
    </w:pPr>
  </w:style>
  <w:style w:type="character" w:customStyle="1" w:styleId="2Char0">
    <w:name w:val="正文首行缩进 2 Char"/>
    <w:basedOn w:val="Char"/>
    <w:link w:val="2"/>
    <w:uiPriority w:val="99"/>
    <w:rsid w:val="00B64E67"/>
  </w:style>
</w:styles>
</file>

<file path=word/webSettings.xml><?xml version="1.0" encoding="utf-8"?>
<w:webSettings xmlns:r="http://schemas.openxmlformats.org/officeDocument/2006/relationships" xmlns:w="http://schemas.openxmlformats.org/wordprocessingml/2006/main">
  <w:divs>
    <w:div w:id="1492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695</Words>
  <Characters>3965</Characters>
  <Application>Microsoft Office Word</Application>
  <DocSecurity>0</DocSecurity>
  <Lines>33</Lines>
  <Paragraphs>9</Paragraphs>
  <ScaleCrop>false</ScaleCrop>
  <Company>微软公司</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2025-04-27T07:54:00Z</dcterms:created>
  <dcterms:modified xsi:type="dcterms:W3CDTF">2025-04-27T07:56:00Z</dcterms:modified>
</cp:coreProperties>
</file>