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119" w:rsidRDefault="00C27119">
      <w:pPr>
        <w:jc w:val="center"/>
        <w:rPr>
          <w:rFonts w:ascii="黑体" w:eastAsia="黑体"/>
          <w:b/>
          <w:sz w:val="48"/>
          <w:szCs w:val="48"/>
        </w:rPr>
      </w:pPr>
      <w:r>
        <w:rPr>
          <w:rFonts w:ascii="黑体" w:eastAsia="黑体" w:hint="eastAsia"/>
          <w:b/>
          <w:sz w:val="48"/>
          <w:szCs w:val="48"/>
        </w:rPr>
        <w:t>株洲市202</w:t>
      </w:r>
      <w:r w:rsidR="00AD49C0">
        <w:rPr>
          <w:rFonts w:ascii="黑体" w:eastAsia="黑体" w:hint="eastAsia"/>
          <w:b/>
          <w:sz w:val="48"/>
          <w:szCs w:val="48"/>
        </w:rPr>
        <w:t>2</w:t>
      </w:r>
      <w:r>
        <w:rPr>
          <w:rFonts w:ascii="黑体" w:eastAsia="黑体" w:hint="eastAsia"/>
          <w:b/>
          <w:sz w:val="48"/>
          <w:szCs w:val="48"/>
        </w:rPr>
        <w:t>年年度医疗保险基金</w:t>
      </w:r>
    </w:p>
    <w:p w:rsidR="00C27119" w:rsidRDefault="00C27119">
      <w:pPr>
        <w:jc w:val="center"/>
        <w:rPr>
          <w:rFonts w:ascii="黑体" w:eastAsia="黑体"/>
          <w:b/>
          <w:sz w:val="48"/>
          <w:szCs w:val="48"/>
        </w:rPr>
      </w:pPr>
      <w:r>
        <w:rPr>
          <w:rFonts w:ascii="黑体" w:eastAsia="黑体" w:hint="eastAsia"/>
          <w:b/>
          <w:sz w:val="48"/>
          <w:szCs w:val="48"/>
        </w:rPr>
        <w:t>财务报表及运行分析报告</w:t>
      </w:r>
    </w:p>
    <w:p w:rsidR="00C27119" w:rsidRDefault="00C27119">
      <w:pPr>
        <w:jc w:val="center"/>
        <w:rPr>
          <w:rFonts w:ascii="黑体" w:eastAsia="黑体"/>
          <w:sz w:val="36"/>
          <w:szCs w:val="36"/>
        </w:rPr>
      </w:pPr>
    </w:p>
    <w:p w:rsidR="00C27119" w:rsidRDefault="00C27119">
      <w:pPr>
        <w:ind w:left="111" w:hangingChars="23" w:hanging="111"/>
        <w:jc w:val="center"/>
        <w:rPr>
          <w:rFonts w:ascii="宋体" w:hAnsi="宋体"/>
          <w:b/>
          <w:sz w:val="48"/>
          <w:szCs w:val="48"/>
        </w:rPr>
      </w:pPr>
      <w:r>
        <w:rPr>
          <w:rFonts w:ascii="宋体" w:hAnsi="宋体" w:hint="eastAsia"/>
          <w:b/>
          <w:sz w:val="48"/>
          <w:szCs w:val="48"/>
        </w:rPr>
        <w:t>— 报告简要 —</w:t>
      </w:r>
    </w:p>
    <w:p w:rsidR="00C27119" w:rsidRDefault="00C27119">
      <w:pPr>
        <w:adjustRightInd w:val="0"/>
        <w:spacing w:line="600" w:lineRule="exact"/>
        <w:ind w:firstLine="670"/>
        <w:rPr>
          <w:rFonts w:ascii="宋体" w:hAnsi="宋体"/>
          <w:color w:val="000000"/>
          <w:spacing w:val="4"/>
          <w:sz w:val="32"/>
          <w:szCs w:val="32"/>
        </w:rPr>
      </w:pPr>
    </w:p>
    <w:p w:rsidR="00C27119" w:rsidRDefault="00C27119">
      <w:pPr>
        <w:adjustRightInd w:val="0"/>
        <w:spacing w:line="600" w:lineRule="exact"/>
        <w:ind w:firstLine="670"/>
        <w:rPr>
          <w:rFonts w:ascii="仿宋_GB2312" w:eastAsia="仿宋_GB2312" w:hAnsi="宋体"/>
          <w:spacing w:val="4"/>
          <w:kern w:val="0"/>
          <w:sz w:val="32"/>
          <w:szCs w:val="32"/>
        </w:rPr>
      </w:pPr>
      <w:r>
        <w:rPr>
          <w:rFonts w:ascii="仿宋_GB2312" w:eastAsia="仿宋_GB2312" w:hAnsi="宋体" w:hint="eastAsia"/>
          <w:spacing w:val="4"/>
          <w:kern w:val="0"/>
          <w:sz w:val="32"/>
          <w:szCs w:val="32"/>
        </w:rPr>
        <w:t>◇</w:t>
      </w:r>
      <w:r w:rsidR="009E77C4">
        <w:rPr>
          <w:rFonts w:ascii="仿宋_GB2312" w:eastAsia="仿宋_GB2312" w:hAnsi="宋体" w:hint="eastAsia"/>
          <w:spacing w:val="4"/>
          <w:kern w:val="0"/>
          <w:sz w:val="32"/>
          <w:szCs w:val="32"/>
        </w:rPr>
        <w:t>门诊共济保障机制的实施</w:t>
      </w:r>
      <w:r>
        <w:rPr>
          <w:rFonts w:ascii="仿宋_GB2312" w:eastAsia="仿宋_GB2312" w:hAnsi="宋体" w:hint="eastAsia"/>
          <w:spacing w:val="4"/>
          <w:kern w:val="0"/>
          <w:sz w:val="32"/>
          <w:szCs w:val="32"/>
        </w:rPr>
        <w:t>。根据《</w:t>
      </w:r>
      <w:r w:rsidR="009E77C4">
        <w:rPr>
          <w:rFonts w:ascii="仿宋_GB2312" w:eastAsia="仿宋_GB2312" w:hAnsi="宋体" w:hint="eastAsia"/>
          <w:spacing w:val="4"/>
          <w:kern w:val="0"/>
          <w:sz w:val="32"/>
          <w:szCs w:val="32"/>
        </w:rPr>
        <w:t>株洲市</w:t>
      </w:r>
      <w:r w:rsidR="004143E2">
        <w:rPr>
          <w:rFonts w:ascii="仿宋_GB2312" w:eastAsia="仿宋_GB2312" w:hAnsi="宋体" w:hint="eastAsia"/>
          <w:spacing w:val="4"/>
          <w:kern w:val="0"/>
          <w:sz w:val="32"/>
          <w:szCs w:val="32"/>
        </w:rPr>
        <w:t>职工</w:t>
      </w:r>
      <w:r w:rsidR="009E77C4">
        <w:rPr>
          <w:rFonts w:ascii="仿宋_GB2312" w:eastAsia="仿宋_GB2312" w:hAnsi="宋体" w:hint="eastAsia"/>
          <w:spacing w:val="4"/>
          <w:kern w:val="0"/>
          <w:sz w:val="32"/>
          <w:szCs w:val="32"/>
        </w:rPr>
        <w:t>基本医疗</w:t>
      </w:r>
      <w:r w:rsidR="004143E2">
        <w:rPr>
          <w:rFonts w:ascii="仿宋_GB2312" w:eastAsia="仿宋_GB2312" w:hAnsi="宋体" w:hint="eastAsia"/>
          <w:spacing w:val="4"/>
          <w:kern w:val="0"/>
          <w:sz w:val="32"/>
          <w:szCs w:val="32"/>
        </w:rPr>
        <w:t>保险门诊共济保障机制实施细则</w:t>
      </w:r>
      <w:r>
        <w:rPr>
          <w:rFonts w:ascii="仿宋_GB2312" w:eastAsia="仿宋_GB2312" w:hAnsi="宋体" w:hint="eastAsia"/>
          <w:spacing w:val="4"/>
          <w:kern w:val="0"/>
          <w:sz w:val="32"/>
          <w:szCs w:val="32"/>
        </w:rPr>
        <w:t>》的通知，</w:t>
      </w:r>
      <w:r w:rsidR="004143E2">
        <w:rPr>
          <w:rFonts w:ascii="仿宋_GB2312" w:eastAsia="仿宋_GB2312" w:hAnsi="宋体" w:hint="eastAsia"/>
          <w:spacing w:val="4"/>
          <w:kern w:val="0"/>
          <w:sz w:val="32"/>
          <w:szCs w:val="32"/>
        </w:rPr>
        <w:t>从2022年10月正式开始</w:t>
      </w:r>
      <w:r w:rsidR="00657634">
        <w:rPr>
          <w:rFonts w:ascii="仿宋_GB2312" w:eastAsia="仿宋_GB2312" w:hAnsi="宋体" w:hint="eastAsia"/>
          <w:spacing w:val="4"/>
          <w:kern w:val="0"/>
          <w:sz w:val="32"/>
          <w:szCs w:val="32"/>
        </w:rPr>
        <w:t>实施：一是</w:t>
      </w:r>
      <w:r w:rsidR="00657634" w:rsidRPr="00657634">
        <w:rPr>
          <w:rFonts w:ascii="仿宋_GB2312" w:eastAsia="仿宋_GB2312" w:hAnsi="宋体" w:hint="eastAsia"/>
          <w:spacing w:val="4"/>
          <w:kern w:val="0"/>
          <w:sz w:val="32"/>
          <w:szCs w:val="32"/>
        </w:rPr>
        <w:t>参保人员本人及其配偶、父母、子女在定点医疗机构就医发生的由个人负担的医疗费用，以及在定点零售药店购买药品、医疗器械、医用耗材发生的由个人负担的费用；参保人员本人及其配偶、父母、子女购买普惠型商业补充医疗保险的费用；参保人员本人需缴纳的大额医疗费用补助、长期护理保险等个人费用；参保人员为其配偶、父母、子女购买城乡居民的个人缴费费用。个人账户不得用于公共卫生费用、体育健身或养生保健消费等不属于基本医疗保险保障范围的支出。个人账户本金和利息为参保人员个人所有，可以结转和依法继承。</w:t>
      </w:r>
      <w:r w:rsidR="00657634">
        <w:rPr>
          <w:rFonts w:ascii="仿宋_GB2312" w:eastAsia="仿宋_GB2312" w:hAnsi="宋体" w:hint="eastAsia"/>
          <w:spacing w:val="4"/>
          <w:kern w:val="0"/>
          <w:sz w:val="32"/>
          <w:szCs w:val="32"/>
        </w:rPr>
        <w:t>二是</w:t>
      </w:r>
      <w:r w:rsidR="00657634" w:rsidRPr="00657634">
        <w:rPr>
          <w:rFonts w:ascii="仿宋_GB2312" w:eastAsia="仿宋_GB2312" w:hAnsi="宋体" w:hint="eastAsia"/>
          <w:spacing w:val="4"/>
          <w:kern w:val="0"/>
          <w:sz w:val="32"/>
          <w:szCs w:val="32"/>
        </w:rPr>
        <w:t>职工医保普通门诊统筹待遇享受期与职工医保待遇享受期一致。职工医保门诊统筹医疗费用从职工医保统筹基金中列支。参保人员在门诊统筹定点医疗机构就诊，一个自然年度内发生的政策范围内的门诊医疗费用，起付标准金额累计不超过300元。起付标准以上、最高支付限额以下，政策范围内门诊统筹基金按下列标准支付：一级医疗机构及基层医疗卫生机构不设起付标准，按70%比例支付；二级医疗机构起付标</w:t>
      </w:r>
      <w:r w:rsidR="00657634" w:rsidRPr="00657634">
        <w:rPr>
          <w:rFonts w:ascii="仿宋_GB2312" w:eastAsia="仿宋_GB2312" w:hAnsi="宋体" w:hint="eastAsia"/>
          <w:spacing w:val="4"/>
          <w:kern w:val="0"/>
          <w:sz w:val="32"/>
          <w:szCs w:val="32"/>
        </w:rPr>
        <w:lastRenderedPageBreak/>
        <w:t>准200元，按60%比例支付；三级医疗机构起付标准300元，按60%比例支付；一个自然年度内，门诊统筹基金最高支付限额为在职职工1500元、退休人员2000元。门诊统筹基金年度最高支付限额不予结转，不计入职工医保年度最高支付限额。</w:t>
      </w:r>
      <w:r w:rsidR="00AD49C0" w:rsidRPr="00FB2007">
        <w:rPr>
          <w:rFonts w:ascii="仿宋_GB2312" w:eastAsia="仿宋_GB2312" w:hAnsi="宋体" w:hint="eastAsia"/>
          <w:spacing w:val="4"/>
          <w:kern w:val="0"/>
          <w:sz w:val="32"/>
          <w:szCs w:val="32"/>
        </w:rPr>
        <w:t>2022</w:t>
      </w:r>
      <w:r>
        <w:rPr>
          <w:rFonts w:ascii="仿宋_GB2312" w:eastAsia="仿宋_GB2312" w:hAnsi="宋体" w:hint="eastAsia"/>
          <w:spacing w:val="4"/>
          <w:kern w:val="0"/>
          <w:sz w:val="32"/>
          <w:szCs w:val="32"/>
        </w:rPr>
        <w:t>年</w:t>
      </w:r>
      <w:r w:rsidR="00657634">
        <w:rPr>
          <w:rFonts w:ascii="仿宋_GB2312" w:eastAsia="仿宋_GB2312" w:hAnsi="宋体" w:hint="eastAsia"/>
          <w:spacing w:val="4"/>
          <w:kern w:val="0"/>
          <w:sz w:val="32"/>
          <w:szCs w:val="32"/>
        </w:rPr>
        <w:t>10-12月全市</w:t>
      </w:r>
      <w:r w:rsidR="00FB2007">
        <w:rPr>
          <w:rFonts w:ascii="仿宋_GB2312" w:eastAsia="仿宋_GB2312" w:hAnsi="宋体" w:hint="eastAsia"/>
          <w:spacing w:val="4"/>
          <w:kern w:val="0"/>
          <w:sz w:val="32"/>
          <w:szCs w:val="32"/>
        </w:rPr>
        <w:t>门诊统筹支出7164.03万元</w:t>
      </w:r>
      <w:r>
        <w:rPr>
          <w:rFonts w:ascii="仿宋_GB2312" w:eastAsia="仿宋_GB2312" w:hAnsi="宋体" w:hint="eastAsia"/>
          <w:spacing w:val="4"/>
          <w:kern w:val="0"/>
          <w:sz w:val="32"/>
          <w:szCs w:val="32"/>
        </w:rPr>
        <w:t>。</w:t>
      </w:r>
    </w:p>
    <w:p w:rsidR="002705B2" w:rsidRPr="002705B2" w:rsidRDefault="00C27119" w:rsidP="002705B2">
      <w:pPr>
        <w:adjustRightInd w:val="0"/>
        <w:spacing w:line="600" w:lineRule="exact"/>
        <w:ind w:firstLine="670"/>
        <w:rPr>
          <w:rFonts w:ascii="仿宋_GB2312" w:eastAsia="仿宋_GB2312" w:hAnsi="宋体"/>
          <w:spacing w:val="4"/>
          <w:kern w:val="0"/>
          <w:sz w:val="32"/>
          <w:szCs w:val="32"/>
        </w:rPr>
      </w:pPr>
      <w:r>
        <w:rPr>
          <w:rFonts w:ascii="仿宋_GB2312" w:eastAsia="仿宋_GB2312" w:hAnsi="宋体" w:hint="eastAsia"/>
          <w:spacing w:val="4"/>
          <w:kern w:val="0"/>
          <w:sz w:val="32"/>
          <w:szCs w:val="32"/>
        </w:rPr>
        <w:t>◇</w:t>
      </w:r>
      <w:r w:rsidR="002705B2" w:rsidRPr="002705B2">
        <w:rPr>
          <w:rFonts w:ascii="仿宋_GB2312" w:eastAsia="仿宋_GB2312" w:hAnsi="宋体" w:hint="eastAsia"/>
          <w:spacing w:val="4"/>
          <w:kern w:val="0"/>
          <w:sz w:val="32"/>
          <w:szCs w:val="32"/>
        </w:rPr>
        <w:t>延长参保缴费期(一) 参保企业。切实减轻企业负担，确保不因疫情影响参保人员医疗保险待遇。2022 年6月30日之前，参保企业因疫情原因，无法按时缴纳城镇职工基本医疗保险费的，企业参保人员的医疗生育保险住院待遇不受影响。</w:t>
      </w:r>
    </w:p>
    <w:p w:rsidR="002705B2" w:rsidRDefault="002705B2" w:rsidP="002705B2">
      <w:pPr>
        <w:adjustRightInd w:val="0"/>
        <w:spacing w:line="600" w:lineRule="exact"/>
        <w:rPr>
          <w:rFonts w:ascii="仿宋_GB2312" w:eastAsia="仿宋_GB2312" w:hAnsi="宋体"/>
          <w:spacing w:val="4"/>
          <w:kern w:val="0"/>
          <w:sz w:val="32"/>
          <w:szCs w:val="32"/>
        </w:rPr>
      </w:pPr>
      <w:r w:rsidRPr="002705B2">
        <w:rPr>
          <w:rFonts w:ascii="仿宋_GB2312" w:eastAsia="仿宋_GB2312" w:hAnsi="宋体" w:hint="eastAsia"/>
          <w:spacing w:val="4"/>
          <w:kern w:val="0"/>
          <w:sz w:val="32"/>
          <w:szCs w:val="32"/>
        </w:rPr>
        <w:t>(二)城镇灵活就业人员。2022 年度灵活就业人员城镇职工基本医疗保险正常续保截止日期从 2022 年2月28日延长至2022 年5月31日未及时续保缴费的城镇灵活就业人员，在延长缴费期内续保缴费的，其城镇职工医疗保险和大病医疗互助等相关待遇不受影响。(三)城乡居民参保人员。2022 年度城乡居民集中缴费截止日期从2022年2月28日延长至 2022年3月31日。未及时续保缴费的城乡居民，在延长缴费期内续保缴费的，可从 2022年1月1日起享受城乡居民医保待遇</w:t>
      </w:r>
    </w:p>
    <w:p w:rsidR="00C27119" w:rsidRDefault="00C27119" w:rsidP="00E74F46">
      <w:pPr>
        <w:adjustRightInd w:val="0"/>
        <w:spacing w:line="600" w:lineRule="exact"/>
        <w:ind w:firstLineChars="200" w:firstLine="656"/>
        <w:rPr>
          <w:rFonts w:ascii="仿宋_GB2312" w:eastAsia="仿宋_GB2312" w:hAnsi="宋体"/>
          <w:spacing w:val="4"/>
          <w:kern w:val="0"/>
          <w:sz w:val="32"/>
          <w:szCs w:val="32"/>
        </w:rPr>
      </w:pPr>
      <w:r>
        <w:rPr>
          <w:rFonts w:ascii="仿宋_GB2312" w:eastAsia="仿宋_GB2312" w:hAnsi="宋体" w:hint="eastAsia"/>
          <w:spacing w:val="4"/>
          <w:kern w:val="0"/>
          <w:sz w:val="32"/>
          <w:szCs w:val="32"/>
        </w:rPr>
        <w:t>◇</w:t>
      </w:r>
      <w:r w:rsidR="00E74F46" w:rsidRPr="00E74F46">
        <w:rPr>
          <w:rFonts w:ascii="仿宋_GB2312" w:eastAsia="仿宋_GB2312" w:hAnsi="宋体" w:hint="eastAsia"/>
          <w:spacing w:val="4"/>
          <w:kern w:val="0"/>
          <w:sz w:val="32"/>
          <w:szCs w:val="32"/>
        </w:rPr>
        <w:t>取消定点医药机构预留金</w:t>
      </w:r>
      <w:r w:rsidR="00E74F46">
        <w:rPr>
          <w:rFonts w:ascii="仿宋_GB2312" w:eastAsia="仿宋_GB2312" w:hAnsi="宋体" w:hint="eastAsia"/>
          <w:spacing w:val="4"/>
          <w:kern w:val="0"/>
          <w:sz w:val="32"/>
          <w:szCs w:val="32"/>
        </w:rPr>
        <w:t>。</w:t>
      </w:r>
      <w:r w:rsidR="00E74F46" w:rsidRPr="00E74F46">
        <w:rPr>
          <w:rFonts w:ascii="仿宋_GB2312" w:eastAsia="仿宋_GB2312" w:hAnsi="宋体" w:hint="eastAsia"/>
          <w:spacing w:val="4"/>
          <w:kern w:val="0"/>
          <w:sz w:val="32"/>
          <w:szCs w:val="32"/>
        </w:rPr>
        <w:t>考核支持定点医药机构全力投入疫情防控，取消 2021 年度预留金考核，直接全额返还定点医药机构。</w:t>
      </w:r>
    </w:p>
    <w:p w:rsidR="00E74F46" w:rsidRPr="005536EC" w:rsidRDefault="00E74F46" w:rsidP="00E74F46">
      <w:pPr>
        <w:spacing w:line="560" w:lineRule="exact"/>
        <w:ind w:firstLine="640"/>
        <w:rPr>
          <w:rFonts w:eastAsia="仿宋_GB2312"/>
          <w:sz w:val="32"/>
          <w:szCs w:val="32"/>
        </w:rPr>
      </w:pPr>
      <w:r w:rsidRPr="005536EC">
        <w:rPr>
          <w:rFonts w:eastAsia="仿宋_GB2312"/>
          <w:sz w:val="32"/>
          <w:szCs w:val="32"/>
        </w:rPr>
        <w:t>今年以来，在市委、市政府的坚强领导下，市医保局坚持以习近平新时代中国特色社会主义思想为指导，全面贯彻落实党的十九大和十九届历次全会精神，省第十二次党代会、市第</w:t>
      </w:r>
      <w:r w:rsidRPr="005536EC">
        <w:rPr>
          <w:rFonts w:eastAsia="仿宋_GB2312"/>
          <w:sz w:val="32"/>
          <w:szCs w:val="32"/>
        </w:rPr>
        <w:lastRenderedPageBreak/>
        <w:t>十三次党代会、《市政府工作报告》的决策部署，牢牢把握稳中求进工作总基调，围绕中心、服务大局，夯实基础、深化改革，努力打造</w:t>
      </w:r>
      <w:r w:rsidRPr="005536EC">
        <w:rPr>
          <w:rFonts w:eastAsia="仿宋_GB2312"/>
          <w:sz w:val="32"/>
          <w:szCs w:val="32"/>
        </w:rPr>
        <w:t>“</w:t>
      </w:r>
      <w:r w:rsidRPr="005536EC">
        <w:rPr>
          <w:rFonts w:eastAsia="仿宋_GB2312"/>
          <w:sz w:val="32"/>
          <w:szCs w:val="32"/>
        </w:rPr>
        <w:t>治理能力提升年</w:t>
      </w:r>
      <w:r w:rsidRPr="005536EC">
        <w:rPr>
          <w:rFonts w:eastAsia="仿宋_GB2312"/>
          <w:sz w:val="32"/>
          <w:szCs w:val="32"/>
        </w:rPr>
        <w:t>”</w:t>
      </w:r>
      <w:r w:rsidRPr="005536EC">
        <w:rPr>
          <w:rFonts w:eastAsia="仿宋_GB2312"/>
          <w:sz w:val="32"/>
          <w:szCs w:val="32"/>
        </w:rPr>
        <w:t>，奋力书写</w:t>
      </w:r>
      <w:r w:rsidRPr="005536EC">
        <w:rPr>
          <w:rFonts w:eastAsia="仿宋_GB2312"/>
          <w:sz w:val="32"/>
          <w:szCs w:val="32"/>
        </w:rPr>
        <w:t>“</w:t>
      </w:r>
      <w:r w:rsidRPr="005536EC">
        <w:rPr>
          <w:rFonts w:eastAsia="仿宋_GB2312"/>
          <w:sz w:val="32"/>
          <w:szCs w:val="32"/>
        </w:rPr>
        <w:t>培育制造名城、建设幸福株洲</w:t>
      </w:r>
      <w:r w:rsidRPr="005536EC">
        <w:rPr>
          <w:rFonts w:eastAsia="仿宋_GB2312"/>
          <w:sz w:val="32"/>
          <w:szCs w:val="32"/>
        </w:rPr>
        <w:t>”</w:t>
      </w:r>
      <w:r w:rsidRPr="005536EC">
        <w:rPr>
          <w:rFonts w:eastAsia="仿宋_GB2312"/>
          <w:sz w:val="32"/>
          <w:szCs w:val="32"/>
        </w:rPr>
        <w:t>的医保新篇章，全市医疗保障工作取得新进展。</w:t>
      </w:r>
    </w:p>
    <w:p w:rsidR="00C27119" w:rsidRDefault="00272B05" w:rsidP="00F31A6E">
      <w:pPr>
        <w:spacing w:line="600" w:lineRule="exact"/>
        <w:ind w:leftChars="36" w:left="76" w:firstLineChars="200" w:firstLine="658"/>
        <w:jc w:val="left"/>
        <w:rPr>
          <w:rFonts w:ascii="仿宋_GB2312" w:eastAsia="仿宋_GB2312" w:hAnsi="宋体"/>
          <w:b/>
          <w:spacing w:val="4"/>
          <w:kern w:val="0"/>
          <w:sz w:val="32"/>
          <w:szCs w:val="32"/>
        </w:rPr>
      </w:pPr>
      <w:r>
        <w:rPr>
          <w:rFonts w:ascii="仿宋_GB2312" w:eastAsia="仿宋_GB2312" w:hAnsi="宋体" w:hint="eastAsia"/>
          <w:b/>
          <w:spacing w:val="4"/>
          <w:kern w:val="0"/>
          <w:sz w:val="32"/>
          <w:szCs w:val="32"/>
        </w:rPr>
        <w:t>2022</w:t>
      </w:r>
      <w:r w:rsidR="00C27119">
        <w:rPr>
          <w:rFonts w:ascii="仿宋_GB2312" w:eastAsia="仿宋_GB2312" w:hAnsi="宋体" w:hint="eastAsia"/>
          <w:b/>
          <w:spacing w:val="4"/>
          <w:kern w:val="0"/>
          <w:sz w:val="32"/>
          <w:szCs w:val="32"/>
        </w:rPr>
        <w:t>年度我市的医疗保险基金分析说明如下：</w:t>
      </w:r>
    </w:p>
    <w:p w:rsidR="00C27119" w:rsidRDefault="00C27119">
      <w:pPr>
        <w:ind w:firstLineChars="200" w:firstLine="643"/>
        <w:rPr>
          <w:rFonts w:ascii="黑体" w:eastAsia="黑体" w:hAnsi="黑体"/>
          <w:b/>
          <w:sz w:val="32"/>
          <w:szCs w:val="32"/>
        </w:rPr>
      </w:pPr>
      <w:r>
        <w:rPr>
          <w:rFonts w:ascii="黑体" w:eastAsia="黑体" w:hAnsi="黑体" w:hint="eastAsia"/>
          <w:b/>
          <w:sz w:val="32"/>
          <w:szCs w:val="32"/>
        </w:rPr>
        <w:t>一、</w:t>
      </w:r>
      <w:r w:rsidR="005424E6">
        <w:rPr>
          <w:rFonts w:ascii="黑体" w:eastAsia="黑体" w:hAnsi="黑体" w:hint="eastAsia"/>
          <w:b/>
          <w:sz w:val="32"/>
          <w:szCs w:val="32"/>
        </w:rPr>
        <w:t>基本情况</w:t>
      </w:r>
    </w:p>
    <w:p w:rsidR="008B4CFB" w:rsidRDefault="008B4CFB" w:rsidP="008B4CFB">
      <w:pPr>
        <w:ind w:firstLineChars="150" w:firstLine="494"/>
        <w:rPr>
          <w:b/>
          <w:sz w:val="32"/>
          <w:szCs w:val="32"/>
        </w:rPr>
      </w:pPr>
      <w:r>
        <w:rPr>
          <w:rFonts w:ascii="宋体" w:hAnsi="宋体" w:hint="eastAsia"/>
          <w:b/>
          <w:color w:val="000000"/>
          <w:spacing w:val="4"/>
          <w:sz w:val="32"/>
          <w:szCs w:val="32"/>
        </w:rPr>
        <w:t>（</w:t>
      </w:r>
      <w:r>
        <w:rPr>
          <w:rFonts w:eastAsia="黑体"/>
          <w:b/>
          <w:bCs/>
          <w:sz w:val="32"/>
          <w:szCs w:val="32"/>
        </w:rPr>
        <w:t>一</w:t>
      </w:r>
      <w:r>
        <w:rPr>
          <w:rFonts w:eastAsia="黑体" w:hint="eastAsia"/>
          <w:b/>
          <w:bCs/>
          <w:sz w:val="32"/>
          <w:szCs w:val="32"/>
        </w:rPr>
        <w:t>）</w:t>
      </w:r>
      <w:r>
        <w:rPr>
          <w:rFonts w:eastAsia="黑体"/>
          <w:b/>
          <w:bCs/>
          <w:sz w:val="32"/>
          <w:szCs w:val="32"/>
        </w:rPr>
        <w:t>城镇职工基本医疗保险</w:t>
      </w:r>
    </w:p>
    <w:p w:rsidR="008B4CFB" w:rsidRDefault="008B4CFB" w:rsidP="00F31A6E">
      <w:pPr>
        <w:ind w:firstLineChars="200" w:firstLine="643"/>
        <w:rPr>
          <w:sz w:val="32"/>
          <w:szCs w:val="32"/>
        </w:rPr>
      </w:pPr>
      <w:r>
        <w:rPr>
          <w:rFonts w:ascii="楷体_GB2312" w:eastAsia="楷体_GB2312" w:hint="eastAsia"/>
          <w:b/>
          <w:sz w:val="32"/>
          <w:szCs w:val="32"/>
        </w:rPr>
        <w:t>1.全市参保人数平稳。</w:t>
      </w:r>
      <w:r>
        <w:rPr>
          <w:rFonts w:eastAsia="仿宋_GB2312"/>
          <w:sz w:val="32"/>
          <w:szCs w:val="32"/>
        </w:rPr>
        <w:t>截</w:t>
      </w:r>
      <w:r w:rsidR="00F005AC">
        <w:rPr>
          <w:rFonts w:eastAsia="仿宋_GB2312" w:hint="eastAsia"/>
          <w:sz w:val="32"/>
          <w:szCs w:val="32"/>
        </w:rPr>
        <w:t>至</w:t>
      </w:r>
      <w:r>
        <w:rPr>
          <w:rFonts w:eastAsia="仿宋_GB2312"/>
          <w:sz w:val="32"/>
          <w:szCs w:val="32"/>
        </w:rPr>
        <w:t>20</w:t>
      </w:r>
      <w:r>
        <w:rPr>
          <w:rFonts w:eastAsia="仿宋_GB2312" w:hint="eastAsia"/>
          <w:sz w:val="32"/>
          <w:szCs w:val="32"/>
        </w:rPr>
        <w:t>22</w:t>
      </w:r>
      <w:r>
        <w:rPr>
          <w:rFonts w:eastAsia="仿宋_GB2312"/>
          <w:sz w:val="32"/>
          <w:szCs w:val="32"/>
        </w:rPr>
        <w:t>年</w:t>
      </w:r>
      <w:r>
        <w:rPr>
          <w:rFonts w:eastAsia="仿宋_GB2312"/>
          <w:sz w:val="32"/>
          <w:szCs w:val="32"/>
        </w:rPr>
        <w:t>12</w:t>
      </w:r>
      <w:r>
        <w:rPr>
          <w:rFonts w:eastAsia="仿宋_GB2312"/>
          <w:sz w:val="32"/>
          <w:szCs w:val="32"/>
        </w:rPr>
        <w:t>月底，我市城镇职工基本医疗保险参保人数为</w:t>
      </w:r>
      <w:r>
        <w:rPr>
          <w:rFonts w:eastAsia="仿宋_GB2312" w:hint="eastAsia"/>
          <w:sz w:val="32"/>
          <w:szCs w:val="32"/>
        </w:rPr>
        <w:t>73.53</w:t>
      </w:r>
      <w:r>
        <w:rPr>
          <w:rFonts w:eastAsia="仿宋_GB2312"/>
          <w:sz w:val="32"/>
          <w:szCs w:val="32"/>
        </w:rPr>
        <w:t>万人，去年同期为</w:t>
      </w:r>
      <w:r>
        <w:rPr>
          <w:rFonts w:eastAsia="仿宋_GB2312" w:hint="eastAsia"/>
          <w:sz w:val="32"/>
          <w:szCs w:val="32"/>
        </w:rPr>
        <w:t>72.74</w:t>
      </w:r>
      <w:r>
        <w:rPr>
          <w:rFonts w:eastAsia="仿宋_GB2312"/>
          <w:sz w:val="32"/>
          <w:szCs w:val="32"/>
        </w:rPr>
        <w:t>万人，比</w:t>
      </w:r>
      <w:r>
        <w:rPr>
          <w:rFonts w:eastAsia="仿宋_GB2312"/>
          <w:sz w:val="32"/>
          <w:szCs w:val="32"/>
        </w:rPr>
        <w:t>20</w:t>
      </w:r>
      <w:r>
        <w:rPr>
          <w:rFonts w:eastAsia="仿宋_GB2312" w:hint="eastAsia"/>
          <w:sz w:val="32"/>
          <w:szCs w:val="32"/>
        </w:rPr>
        <w:t>21</w:t>
      </w:r>
      <w:r>
        <w:rPr>
          <w:rFonts w:eastAsia="仿宋_GB2312"/>
          <w:sz w:val="32"/>
          <w:szCs w:val="32"/>
        </w:rPr>
        <w:t>年末</w:t>
      </w:r>
      <w:r>
        <w:rPr>
          <w:rFonts w:eastAsia="仿宋_GB2312" w:hint="eastAsia"/>
          <w:sz w:val="32"/>
          <w:szCs w:val="32"/>
        </w:rPr>
        <w:t>增加了</w:t>
      </w:r>
      <w:r>
        <w:rPr>
          <w:rFonts w:eastAsia="仿宋_GB2312" w:hint="eastAsia"/>
          <w:sz w:val="32"/>
          <w:szCs w:val="32"/>
        </w:rPr>
        <w:t>0.79</w:t>
      </w:r>
      <w:r>
        <w:rPr>
          <w:rFonts w:eastAsia="仿宋_GB2312" w:hint="eastAsia"/>
          <w:sz w:val="32"/>
          <w:szCs w:val="32"/>
        </w:rPr>
        <w:t>万</w:t>
      </w:r>
      <w:r>
        <w:rPr>
          <w:rFonts w:eastAsia="仿宋_GB2312"/>
          <w:sz w:val="32"/>
          <w:szCs w:val="32"/>
        </w:rPr>
        <w:t>人</w:t>
      </w:r>
      <w:r>
        <w:rPr>
          <w:rFonts w:eastAsia="仿宋_GB2312" w:hint="eastAsia"/>
          <w:sz w:val="32"/>
          <w:szCs w:val="32"/>
        </w:rPr>
        <w:t>。我局畅通参保途径，不断增强宣传引导，</w:t>
      </w:r>
      <w:r>
        <w:rPr>
          <w:rFonts w:eastAsia="仿宋_GB2312"/>
          <w:sz w:val="32"/>
          <w:szCs w:val="32"/>
        </w:rPr>
        <w:t>全力推进参保扩面和费用征缴</w:t>
      </w:r>
      <w:r>
        <w:rPr>
          <w:rFonts w:eastAsia="仿宋_GB2312" w:hint="eastAsia"/>
          <w:sz w:val="32"/>
          <w:szCs w:val="32"/>
        </w:rPr>
        <w:t>，</w:t>
      </w:r>
      <w:r>
        <w:rPr>
          <w:rFonts w:eastAsia="仿宋_GB2312"/>
          <w:sz w:val="32"/>
          <w:szCs w:val="32"/>
        </w:rPr>
        <w:t>推行医保基础数据信息化管理</w:t>
      </w:r>
      <w:r>
        <w:rPr>
          <w:rFonts w:eastAsia="仿宋_GB2312" w:hint="eastAsia"/>
          <w:sz w:val="32"/>
          <w:szCs w:val="32"/>
        </w:rPr>
        <w:t>，抓住全民参保的扩面重点，针对灵活就业人员做好基本医疗保险政策宣传，解决参保工作中的重点难点。虽然从</w:t>
      </w:r>
      <w:r>
        <w:rPr>
          <w:rFonts w:eastAsia="仿宋_GB2312" w:hint="eastAsia"/>
          <w:sz w:val="32"/>
          <w:szCs w:val="32"/>
        </w:rPr>
        <w:t>2020</w:t>
      </w:r>
      <w:r>
        <w:rPr>
          <w:rFonts w:eastAsia="仿宋_GB2312" w:hint="eastAsia"/>
          <w:sz w:val="32"/>
          <w:szCs w:val="32"/>
        </w:rPr>
        <w:t>年起经历了</w:t>
      </w:r>
      <w:r>
        <w:rPr>
          <w:rFonts w:eastAsia="仿宋_GB2312" w:hint="eastAsia"/>
          <w:sz w:val="32"/>
          <w:szCs w:val="32"/>
        </w:rPr>
        <w:t>3</w:t>
      </w:r>
      <w:r>
        <w:rPr>
          <w:rFonts w:eastAsia="仿宋_GB2312" w:hint="eastAsia"/>
          <w:sz w:val="32"/>
          <w:szCs w:val="32"/>
        </w:rPr>
        <w:t>年的疫情，但我市仍扩大了职工医保的参保覆盖面，确保了职工参保人员稳中有升，保障了医保基金的平稳运行，</w:t>
      </w:r>
      <w:r>
        <w:rPr>
          <w:rFonts w:eastAsia="仿宋_GB2312"/>
          <w:sz w:val="32"/>
          <w:szCs w:val="32"/>
        </w:rPr>
        <w:t>全力提升</w:t>
      </w:r>
      <w:r>
        <w:rPr>
          <w:rFonts w:eastAsia="仿宋_GB2312" w:hint="eastAsia"/>
          <w:sz w:val="32"/>
          <w:szCs w:val="32"/>
        </w:rPr>
        <w:t>了我市职工医保的</w:t>
      </w:r>
      <w:r>
        <w:rPr>
          <w:rFonts w:eastAsia="仿宋_GB2312"/>
          <w:sz w:val="32"/>
          <w:szCs w:val="32"/>
        </w:rPr>
        <w:t>参保率和征缴率。</w:t>
      </w:r>
    </w:p>
    <w:p w:rsidR="008B4CFB" w:rsidRDefault="008B4CFB" w:rsidP="008B4CFB">
      <w:pPr>
        <w:adjustRightInd w:val="0"/>
        <w:snapToGrid w:val="0"/>
        <w:jc w:val="center"/>
        <w:rPr>
          <w:sz w:val="32"/>
          <w:szCs w:val="32"/>
        </w:rPr>
      </w:pPr>
      <w:r>
        <w:rPr>
          <w:noProof/>
        </w:rPr>
        <w:lastRenderedPageBreak/>
        <w:drawing>
          <wp:inline distT="0" distB="0" distL="0" distR="0">
            <wp:extent cx="4573897" cy="2745092"/>
            <wp:effectExtent l="4447" t="4448" r="14611" b="14615"/>
            <wp:docPr id="41"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B4CFB" w:rsidRDefault="008B4CFB" w:rsidP="008B4CFB">
      <w:pPr>
        <w:adjustRightInd w:val="0"/>
        <w:snapToGrid w:val="0"/>
        <w:jc w:val="center"/>
        <w:rPr>
          <w:rFonts w:eastAsia="仿宋_GB2312"/>
          <w:bCs/>
          <w:sz w:val="32"/>
          <w:szCs w:val="32"/>
        </w:rPr>
      </w:pPr>
      <w:r>
        <w:rPr>
          <w:rFonts w:eastAsia="仿宋_GB2312"/>
          <w:bCs/>
          <w:sz w:val="32"/>
          <w:szCs w:val="32"/>
        </w:rPr>
        <w:t>图</w:t>
      </w:r>
      <w:r>
        <w:rPr>
          <w:rFonts w:eastAsia="仿宋_GB2312"/>
          <w:bCs/>
          <w:sz w:val="32"/>
          <w:szCs w:val="32"/>
        </w:rPr>
        <w:t xml:space="preserve">1  </w:t>
      </w:r>
      <w:r>
        <w:rPr>
          <w:rFonts w:eastAsia="仿宋_GB2312"/>
          <w:bCs/>
          <w:sz w:val="32"/>
          <w:szCs w:val="32"/>
        </w:rPr>
        <w:t>历年全市城镇职工基本医疗保险参保人数图（单位：人）</w:t>
      </w:r>
    </w:p>
    <w:p w:rsidR="008B4CFB" w:rsidRDefault="008B4CFB" w:rsidP="008B4CFB">
      <w:pPr>
        <w:pStyle w:val="aa"/>
      </w:pPr>
    </w:p>
    <w:p w:rsidR="008B4CFB" w:rsidRDefault="008B4CFB" w:rsidP="008B4CFB">
      <w:pPr>
        <w:adjustRightInd w:val="0"/>
        <w:snapToGrid w:val="0"/>
        <w:spacing w:line="600" w:lineRule="exact"/>
        <w:rPr>
          <w:rFonts w:eastAsia="仿宋_GB2312"/>
          <w:color w:val="000000"/>
          <w:spacing w:val="4"/>
          <w:sz w:val="32"/>
          <w:szCs w:val="32"/>
        </w:rPr>
      </w:pPr>
      <w:r>
        <w:rPr>
          <w:rFonts w:ascii="楷体_GB2312" w:eastAsia="楷体_GB2312" w:hAnsi="楷体_GB2312" w:cs="楷体_GB2312" w:hint="eastAsia"/>
          <w:bCs/>
          <w:sz w:val="32"/>
          <w:szCs w:val="32"/>
        </w:rPr>
        <w:t xml:space="preserve">    2.</w:t>
      </w:r>
      <w:r>
        <w:rPr>
          <w:rFonts w:ascii="楷体_GB2312" w:eastAsia="楷体_GB2312" w:hAnsi="楷体_GB2312" w:cs="楷体_GB2312" w:hint="eastAsia"/>
          <w:b/>
          <w:sz w:val="32"/>
          <w:szCs w:val="32"/>
        </w:rPr>
        <w:t>参保人员老龄化趋势显著。</w:t>
      </w:r>
      <w:r>
        <w:rPr>
          <w:rFonts w:eastAsia="仿宋_GB2312"/>
          <w:color w:val="000000"/>
          <w:spacing w:val="4"/>
          <w:sz w:val="32"/>
          <w:szCs w:val="32"/>
        </w:rPr>
        <w:t>20</w:t>
      </w:r>
      <w:r>
        <w:rPr>
          <w:rFonts w:eastAsia="仿宋_GB2312" w:hint="eastAsia"/>
          <w:color w:val="000000"/>
          <w:spacing w:val="4"/>
          <w:sz w:val="32"/>
          <w:szCs w:val="32"/>
        </w:rPr>
        <w:t>22</w:t>
      </w:r>
      <w:r>
        <w:rPr>
          <w:rFonts w:eastAsia="仿宋_GB2312"/>
          <w:color w:val="000000"/>
          <w:spacing w:val="4"/>
          <w:sz w:val="32"/>
          <w:szCs w:val="32"/>
        </w:rPr>
        <w:t>年末全</w:t>
      </w:r>
      <w:r>
        <w:rPr>
          <w:rFonts w:eastAsia="仿宋_GB2312" w:hint="eastAsia"/>
          <w:color w:val="000000"/>
          <w:spacing w:val="4"/>
          <w:sz w:val="32"/>
          <w:szCs w:val="32"/>
        </w:rPr>
        <w:t>市</w:t>
      </w:r>
      <w:r>
        <w:rPr>
          <w:rFonts w:eastAsia="仿宋_GB2312"/>
          <w:color w:val="000000"/>
          <w:spacing w:val="4"/>
          <w:sz w:val="32"/>
          <w:szCs w:val="32"/>
        </w:rPr>
        <w:t>参保职工在职职工</w:t>
      </w:r>
      <w:r>
        <w:rPr>
          <w:rFonts w:eastAsia="仿宋_GB2312"/>
          <w:color w:val="000000"/>
          <w:spacing w:val="4"/>
          <w:sz w:val="32"/>
          <w:szCs w:val="32"/>
        </w:rPr>
        <w:t>4</w:t>
      </w:r>
      <w:r>
        <w:rPr>
          <w:rFonts w:eastAsia="仿宋_GB2312" w:hint="eastAsia"/>
          <w:color w:val="000000"/>
          <w:spacing w:val="4"/>
          <w:sz w:val="32"/>
          <w:szCs w:val="32"/>
        </w:rPr>
        <w:t>6.90</w:t>
      </w:r>
      <w:r>
        <w:rPr>
          <w:rFonts w:eastAsia="仿宋_GB2312"/>
          <w:color w:val="000000"/>
          <w:spacing w:val="4"/>
          <w:sz w:val="32"/>
          <w:szCs w:val="32"/>
        </w:rPr>
        <w:t>万人，比上年度（</w:t>
      </w:r>
      <w:r>
        <w:rPr>
          <w:rFonts w:eastAsia="仿宋_GB2312" w:hint="eastAsia"/>
          <w:color w:val="000000"/>
          <w:spacing w:val="4"/>
          <w:sz w:val="32"/>
          <w:szCs w:val="32"/>
        </w:rPr>
        <w:t>45.48</w:t>
      </w:r>
      <w:r>
        <w:rPr>
          <w:rFonts w:eastAsia="仿宋_GB2312"/>
          <w:color w:val="000000"/>
          <w:spacing w:val="4"/>
          <w:sz w:val="32"/>
          <w:szCs w:val="32"/>
        </w:rPr>
        <w:t>万人）</w:t>
      </w:r>
      <w:r>
        <w:rPr>
          <w:rFonts w:eastAsia="仿宋_GB2312" w:hint="eastAsia"/>
          <w:color w:val="000000"/>
          <w:spacing w:val="4"/>
          <w:sz w:val="32"/>
          <w:szCs w:val="32"/>
        </w:rPr>
        <w:t>增加</w:t>
      </w:r>
      <w:r>
        <w:rPr>
          <w:rFonts w:eastAsia="仿宋_GB2312"/>
          <w:color w:val="000000"/>
          <w:spacing w:val="4"/>
          <w:sz w:val="32"/>
          <w:szCs w:val="32"/>
        </w:rPr>
        <w:t>了</w:t>
      </w:r>
      <w:r>
        <w:rPr>
          <w:rFonts w:eastAsia="仿宋_GB2312" w:hint="eastAsia"/>
          <w:color w:val="000000"/>
          <w:spacing w:val="4"/>
          <w:sz w:val="32"/>
          <w:szCs w:val="32"/>
        </w:rPr>
        <w:t>1.42</w:t>
      </w:r>
      <w:r>
        <w:rPr>
          <w:rFonts w:eastAsia="仿宋_GB2312"/>
          <w:color w:val="000000"/>
          <w:spacing w:val="4"/>
          <w:sz w:val="32"/>
          <w:szCs w:val="32"/>
        </w:rPr>
        <w:t>万人，在职人数占总参保人数的</w:t>
      </w:r>
      <w:r>
        <w:rPr>
          <w:rFonts w:eastAsia="仿宋_GB2312" w:hint="eastAsia"/>
          <w:color w:val="000000"/>
          <w:spacing w:val="4"/>
          <w:sz w:val="32"/>
          <w:szCs w:val="32"/>
        </w:rPr>
        <w:t>63.79</w:t>
      </w:r>
      <w:r>
        <w:rPr>
          <w:rFonts w:eastAsia="仿宋_GB2312"/>
          <w:color w:val="000000"/>
          <w:spacing w:val="4"/>
          <w:sz w:val="32"/>
          <w:szCs w:val="32"/>
        </w:rPr>
        <w:t>%</w:t>
      </w:r>
      <w:r>
        <w:rPr>
          <w:rFonts w:eastAsia="仿宋_GB2312" w:hint="eastAsia"/>
          <w:color w:val="000000"/>
          <w:spacing w:val="4"/>
          <w:sz w:val="32"/>
          <w:szCs w:val="32"/>
        </w:rPr>
        <w:t>；</w:t>
      </w:r>
      <w:r>
        <w:rPr>
          <w:rFonts w:eastAsia="仿宋_GB2312"/>
          <w:color w:val="000000"/>
          <w:spacing w:val="4"/>
          <w:sz w:val="32"/>
          <w:szCs w:val="32"/>
        </w:rPr>
        <w:t>退休职工</w:t>
      </w:r>
      <w:r>
        <w:rPr>
          <w:rFonts w:eastAsia="仿宋_GB2312" w:hint="eastAsia"/>
          <w:color w:val="000000"/>
          <w:spacing w:val="4"/>
          <w:sz w:val="32"/>
          <w:szCs w:val="32"/>
        </w:rPr>
        <w:t>26.63</w:t>
      </w:r>
      <w:r>
        <w:rPr>
          <w:rFonts w:eastAsia="仿宋_GB2312"/>
          <w:color w:val="000000"/>
          <w:spacing w:val="4"/>
          <w:sz w:val="32"/>
          <w:szCs w:val="32"/>
        </w:rPr>
        <w:t>万人，比上年度（</w:t>
      </w:r>
      <w:r>
        <w:rPr>
          <w:rFonts w:eastAsia="仿宋_GB2312" w:hint="eastAsia"/>
          <w:color w:val="000000"/>
          <w:spacing w:val="4"/>
          <w:sz w:val="32"/>
          <w:szCs w:val="32"/>
        </w:rPr>
        <w:t>27.26</w:t>
      </w:r>
      <w:r>
        <w:rPr>
          <w:rFonts w:eastAsia="仿宋_GB2312"/>
          <w:color w:val="000000"/>
          <w:spacing w:val="4"/>
          <w:sz w:val="32"/>
          <w:szCs w:val="32"/>
        </w:rPr>
        <w:t>万人）</w:t>
      </w:r>
      <w:r>
        <w:rPr>
          <w:rFonts w:eastAsia="仿宋_GB2312" w:hint="eastAsia"/>
          <w:color w:val="000000"/>
          <w:spacing w:val="4"/>
          <w:sz w:val="32"/>
          <w:szCs w:val="32"/>
        </w:rPr>
        <w:t>减少</w:t>
      </w:r>
      <w:r>
        <w:rPr>
          <w:rFonts w:eastAsia="仿宋_GB2312"/>
          <w:color w:val="000000"/>
          <w:spacing w:val="4"/>
          <w:sz w:val="32"/>
          <w:szCs w:val="32"/>
        </w:rPr>
        <w:t>了</w:t>
      </w:r>
      <w:r>
        <w:rPr>
          <w:rFonts w:eastAsia="仿宋_GB2312" w:hint="eastAsia"/>
          <w:color w:val="000000"/>
          <w:spacing w:val="4"/>
          <w:sz w:val="32"/>
          <w:szCs w:val="32"/>
        </w:rPr>
        <w:t>0.63</w:t>
      </w:r>
      <w:r>
        <w:rPr>
          <w:rFonts w:eastAsia="仿宋_GB2312"/>
          <w:color w:val="000000"/>
          <w:spacing w:val="4"/>
          <w:sz w:val="32"/>
          <w:szCs w:val="32"/>
        </w:rPr>
        <w:t>万人，退休人数占参保总人数的</w:t>
      </w:r>
      <w:r>
        <w:rPr>
          <w:rFonts w:eastAsia="仿宋_GB2312"/>
          <w:color w:val="000000"/>
          <w:spacing w:val="4"/>
          <w:sz w:val="32"/>
          <w:szCs w:val="32"/>
        </w:rPr>
        <w:t>3</w:t>
      </w:r>
      <w:r>
        <w:rPr>
          <w:rFonts w:eastAsia="仿宋_GB2312" w:hint="eastAsia"/>
          <w:color w:val="000000"/>
          <w:spacing w:val="4"/>
          <w:sz w:val="32"/>
          <w:szCs w:val="32"/>
        </w:rPr>
        <w:t>6.21</w:t>
      </w:r>
      <w:r>
        <w:rPr>
          <w:rFonts w:eastAsia="仿宋_GB2312"/>
          <w:color w:val="000000"/>
          <w:spacing w:val="4"/>
          <w:sz w:val="32"/>
          <w:szCs w:val="32"/>
        </w:rPr>
        <w:t>%</w:t>
      </w:r>
      <w:r>
        <w:rPr>
          <w:rFonts w:eastAsia="仿宋_GB2312"/>
          <w:color w:val="000000"/>
          <w:spacing w:val="4"/>
          <w:sz w:val="32"/>
          <w:szCs w:val="32"/>
        </w:rPr>
        <w:t>。</w:t>
      </w:r>
      <w:r>
        <w:rPr>
          <w:rFonts w:eastAsia="仿宋_GB2312" w:hint="eastAsia"/>
          <w:color w:val="000000"/>
          <w:spacing w:val="4"/>
          <w:sz w:val="32"/>
          <w:szCs w:val="32"/>
        </w:rPr>
        <w:t>目前，人口老龄化已经成为一个极为严峻的社会问题，严重影响着我国社会、经济等各方面的发展。</w:t>
      </w:r>
      <w:r>
        <w:rPr>
          <w:rFonts w:eastAsia="仿宋_GB2312"/>
          <w:color w:val="000000"/>
          <w:spacing w:val="4"/>
          <w:sz w:val="32"/>
          <w:szCs w:val="32"/>
        </w:rPr>
        <w:t>株洲作为湖南省的老工业城市，老年人口</w:t>
      </w:r>
      <w:r>
        <w:rPr>
          <w:rFonts w:eastAsia="仿宋_GB2312" w:hint="eastAsia"/>
          <w:color w:val="000000"/>
          <w:spacing w:val="4"/>
          <w:sz w:val="32"/>
          <w:szCs w:val="32"/>
        </w:rPr>
        <w:t>较</w:t>
      </w:r>
      <w:r>
        <w:rPr>
          <w:rFonts w:eastAsia="仿宋_GB2312"/>
          <w:color w:val="000000"/>
          <w:spacing w:val="4"/>
          <w:sz w:val="32"/>
          <w:szCs w:val="32"/>
        </w:rPr>
        <w:t>多，</w:t>
      </w:r>
      <w:r>
        <w:rPr>
          <w:rFonts w:eastAsia="仿宋_GB2312" w:hint="eastAsia"/>
          <w:color w:val="000000"/>
          <w:spacing w:val="4"/>
          <w:sz w:val="32"/>
          <w:szCs w:val="32"/>
        </w:rPr>
        <w:t>老龄化速度加快，退休人员占全部参保</w:t>
      </w:r>
      <w:r>
        <w:rPr>
          <w:rFonts w:eastAsia="仿宋_GB2312"/>
          <w:color w:val="000000"/>
          <w:spacing w:val="4"/>
          <w:sz w:val="32"/>
          <w:szCs w:val="32"/>
        </w:rPr>
        <w:t>人</w:t>
      </w:r>
      <w:r>
        <w:rPr>
          <w:rFonts w:eastAsia="仿宋_GB2312" w:hint="eastAsia"/>
          <w:color w:val="000000"/>
          <w:spacing w:val="4"/>
          <w:sz w:val="32"/>
          <w:szCs w:val="32"/>
        </w:rPr>
        <w:t>数</w:t>
      </w:r>
      <w:r>
        <w:rPr>
          <w:rFonts w:eastAsia="仿宋_GB2312"/>
          <w:color w:val="000000"/>
          <w:spacing w:val="4"/>
          <w:sz w:val="32"/>
          <w:szCs w:val="32"/>
        </w:rPr>
        <w:t>中所占比例</w:t>
      </w:r>
      <w:r>
        <w:rPr>
          <w:rFonts w:eastAsia="仿宋_GB2312" w:hint="eastAsia"/>
          <w:color w:val="000000"/>
          <w:spacing w:val="4"/>
          <w:sz w:val="32"/>
          <w:szCs w:val="32"/>
        </w:rPr>
        <w:t>比较高，</w:t>
      </w:r>
      <w:r>
        <w:rPr>
          <w:rFonts w:eastAsia="仿宋_GB2312"/>
          <w:color w:val="000000"/>
          <w:spacing w:val="4"/>
          <w:sz w:val="32"/>
          <w:szCs w:val="32"/>
        </w:rPr>
        <w:t>在老龄化社会已经到来的今天，人口结构</w:t>
      </w:r>
      <w:r>
        <w:rPr>
          <w:rFonts w:eastAsia="仿宋_GB2312" w:hint="eastAsia"/>
          <w:color w:val="000000"/>
          <w:spacing w:val="4"/>
          <w:sz w:val="32"/>
          <w:szCs w:val="32"/>
        </w:rPr>
        <w:t>已</w:t>
      </w:r>
      <w:r>
        <w:rPr>
          <w:rFonts w:eastAsia="仿宋_GB2312"/>
          <w:color w:val="000000"/>
          <w:spacing w:val="4"/>
          <w:sz w:val="32"/>
          <w:szCs w:val="32"/>
        </w:rPr>
        <w:t>呈现老年</w:t>
      </w:r>
      <w:r>
        <w:rPr>
          <w:rFonts w:eastAsia="仿宋_GB2312" w:hint="eastAsia"/>
          <w:color w:val="000000"/>
          <w:spacing w:val="4"/>
          <w:sz w:val="32"/>
          <w:szCs w:val="32"/>
        </w:rPr>
        <w:t>化</w:t>
      </w:r>
      <w:r>
        <w:rPr>
          <w:rFonts w:eastAsia="仿宋_GB2312"/>
          <w:color w:val="000000"/>
          <w:spacing w:val="4"/>
          <w:sz w:val="32"/>
          <w:szCs w:val="32"/>
        </w:rPr>
        <w:t>状态，</w:t>
      </w:r>
      <w:r>
        <w:rPr>
          <w:rFonts w:eastAsia="仿宋_GB2312" w:hint="eastAsia"/>
          <w:color w:val="000000"/>
          <w:spacing w:val="4"/>
          <w:sz w:val="32"/>
          <w:szCs w:val="32"/>
        </w:rPr>
        <w:t>同时也带来了巨大的压力，</w:t>
      </w:r>
      <w:r>
        <w:rPr>
          <w:rFonts w:eastAsia="仿宋_GB2312"/>
          <w:color w:val="000000"/>
          <w:spacing w:val="4"/>
          <w:sz w:val="32"/>
          <w:szCs w:val="32"/>
        </w:rPr>
        <w:t>我市医保基金收支的平衡将面临越来越严峻的挑战。</w:t>
      </w:r>
    </w:p>
    <w:p w:rsidR="008B4CFB" w:rsidRDefault="008B4CFB" w:rsidP="008B4CFB">
      <w:pPr>
        <w:adjustRightInd w:val="0"/>
        <w:snapToGrid w:val="0"/>
        <w:rPr>
          <w:sz w:val="32"/>
          <w:szCs w:val="32"/>
        </w:rPr>
      </w:pPr>
      <w:r>
        <w:rPr>
          <w:rFonts w:hint="eastAsia"/>
        </w:rPr>
        <w:lastRenderedPageBreak/>
        <w:t xml:space="preserve">       </w:t>
      </w:r>
      <w:r>
        <w:rPr>
          <w:noProof/>
        </w:rPr>
        <w:drawing>
          <wp:inline distT="0" distB="0" distL="0" distR="0">
            <wp:extent cx="4573897" cy="2745092"/>
            <wp:effectExtent l="4447" t="4448" r="14611" b="14615"/>
            <wp:docPr id="42"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4CFB" w:rsidRDefault="008B4CFB" w:rsidP="008B4CFB">
      <w:pPr>
        <w:adjustRightInd w:val="0"/>
        <w:snapToGrid w:val="0"/>
        <w:jc w:val="center"/>
        <w:rPr>
          <w:rFonts w:eastAsia="仿宋_GB2312"/>
          <w:bCs/>
          <w:spacing w:val="-12"/>
          <w:sz w:val="32"/>
          <w:szCs w:val="32"/>
        </w:rPr>
      </w:pPr>
      <w:r>
        <w:rPr>
          <w:rFonts w:eastAsia="仿宋_GB2312"/>
          <w:bCs/>
          <w:spacing w:val="-12"/>
          <w:sz w:val="32"/>
          <w:szCs w:val="32"/>
        </w:rPr>
        <w:t>图</w:t>
      </w:r>
      <w:r>
        <w:rPr>
          <w:rFonts w:eastAsia="仿宋_GB2312"/>
          <w:bCs/>
          <w:spacing w:val="-12"/>
          <w:sz w:val="32"/>
          <w:szCs w:val="32"/>
        </w:rPr>
        <w:t xml:space="preserve">2  </w:t>
      </w:r>
      <w:r>
        <w:rPr>
          <w:rFonts w:eastAsia="仿宋_GB2312"/>
          <w:bCs/>
          <w:spacing w:val="-12"/>
          <w:sz w:val="32"/>
          <w:szCs w:val="32"/>
        </w:rPr>
        <w:t>历年全市城镇职工基本医疗保险参保人员结构图</w:t>
      </w:r>
      <w:r>
        <w:rPr>
          <w:rFonts w:eastAsia="仿宋_GB2312"/>
          <w:bCs/>
          <w:spacing w:val="-12"/>
          <w:sz w:val="32"/>
          <w:szCs w:val="32"/>
        </w:rPr>
        <w:t xml:space="preserve"> (</w:t>
      </w:r>
      <w:r>
        <w:rPr>
          <w:rFonts w:eastAsia="仿宋_GB2312"/>
          <w:bCs/>
          <w:spacing w:val="-12"/>
          <w:sz w:val="32"/>
          <w:szCs w:val="32"/>
        </w:rPr>
        <w:t>单位：</w:t>
      </w:r>
      <w:r>
        <w:rPr>
          <w:rFonts w:eastAsia="仿宋_GB2312"/>
          <w:bCs/>
          <w:spacing w:val="-12"/>
          <w:sz w:val="32"/>
          <w:szCs w:val="32"/>
        </w:rPr>
        <w:t>%)</w:t>
      </w:r>
    </w:p>
    <w:p w:rsidR="008B4CFB" w:rsidRDefault="008B4CFB" w:rsidP="008B4CFB">
      <w:pPr>
        <w:adjustRightInd w:val="0"/>
        <w:snapToGrid w:val="0"/>
        <w:jc w:val="center"/>
        <w:rPr>
          <w:rFonts w:eastAsia="仿宋_GB2312"/>
          <w:bCs/>
          <w:spacing w:val="-12"/>
          <w:sz w:val="32"/>
          <w:szCs w:val="32"/>
        </w:rPr>
      </w:pPr>
    </w:p>
    <w:p w:rsidR="008B4CFB" w:rsidRDefault="008B4CFB" w:rsidP="00F31A6E">
      <w:pPr>
        <w:adjustRightInd w:val="0"/>
        <w:snapToGrid w:val="0"/>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 xml:space="preserve"> 3.各县市职工基本医疗保险参保人员情况</w:t>
      </w:r>
    </w:p>
    <w:p w:rsidR="008B4CFB" w:rsidRDefault="008B4CFB" w:rsidP="008B4CFB">
      <w:pPr>
        <w:adjustRightInd w:val="0"/>
        <w:snapToGrid w:val="0"/>
        <w:ind w:firstLineChars="98" w:firstLine="276"/>
        <w:jc w:val="center"/>
        <w:rPr>
          <w:b/>
          <w:spacing w:val="-20"/>
          <w:sz w:val="32"/>
          <w:szCs w:val="32"/>
        </w:rPr>
      </w:pPr>
    </w:p>
    <w:p w:rsidR="008B4CFB" w:rsidRDefault="008B4CFB" w:rsidP="008B4CFB">
      <w:pPr>
        <w:adjustRightInd w:val="0"/>
        <w:snapToGrid w:val="0"/>
        <w:ind w:firstLineChars="98" w:firstLine="206"/>
        <w:jc w:val="center"/>
        <w:rPr>
          <w:b/>
          <w:sz w:val="32"/>
          <w:szCs w:val="32"/>
        </w:rPr>
      </w:pPr>
      <w:r>
        <w:rPr>
          <w:noProof/>
        </w:rPr>
        <w:drawing>
          <wp:inline distT="0" distB="0" distL="0" distR="0">
            <wp:extent cx="4578971" cy="2222205"/>
            <wp:effectExtent l="19050" t="0" r="12079" b="6645"/>
            <wp:docPr id="43"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B4CFB" w:rsidRPr="00E01784" w:rsidRDefault="008B4CFB" w:rsidP="00E01784">
      <w:pPr>
        <w:adjustRightInd w:val="0"/>
        <w:snapToGrid w:val="0"/>
        <w:ind w:firstLineChars="98" w:firstLine="321"/>
        <w:jc w:val="left"/>
        <w:rPr>
          <w:rFonts w:eastAsia="仿宋_GB2312"/>
          <w:color w:val="000000"/>
          <w:spacing w:val="4"/>
          <w:sz w:val="32"/>
          <w:szCs w:val="32"/>
        </w:rPr>
      </w:pPr>
      <w:r w:rsidRPr="008B4CFB">
        <w:rPr>
          <w:rFonts w:eastAsia="仿宋_GB2312"/>
          <w:color w:val="000000"/>
          <w:spacing w:val="4"/>
          <w:sz w:val="32"/>
          <w:szCs w:val="32"/>
        </w:rPr>
        <w:t>图</w:t>
      </w:r>
      <w:r w:rsidRPr="008B4CFB">
        <w:rPr>
          <w:rFonts w:eastAsia="仿宋_GB2312"/>
          <w:color w:val="000000"/>
          <w:spacing w:val="4"/>
          <w:sz w:val="32"/>
          <w:szCs w:val="32"/>
        </w:rPr>
        <w:t>3  20</w:t>
      </w:r>
      <w:r w:rsidRPr="008B4CFB">
        <w:rPr>
          <w:rFonts w:eastAsia="仿宋_GB2312" w:hint="eastAsia"/>
          <w:color w:val="000000"/>
          <w:spacing w:val="4"/>
          <w:sz w:val="32"/>
          <w:szCs w:val="32"/>
        </w:rPr>
        <w:t>22</w:t>
      </w:r>
      <w:r w:rsidRPr="008B4CFB">
        <w:rPr>
          <w:rFonts w:eastAsia="仿宋_GB2312"/>
          <w:color w:val="000000"/>
          <w:spacing w:val="4"/>
          <w:sz w:val="32"/>
          <w:szCs w:val="32"/>
        </w:rPr>
        <w:t>年全市城镇职工基本医疗保险各县市参保人数图</w:t>
      </w:r>
      <w:r w:rsidR="00985C18">
        <w:rPr>
          <w:rFonts w:eastAsia="仿宋_GB2312" w:hint="eastAsia"/>
          <w:color w:val="000000"/>
          <w:spacing w:val="4"/>
          <w:sz w:val="32"/>
          <w:szCs w:val="32"/>
        </w:rPr>
        <w:t xml:space="preserve">   </w:t>
      </w:r>
      <w:r w:rsidRPr="008B4CFB">
        <w:rPr>
          <w:rFonts w:eastAsia="仿宋_GB2312"/>
          <w:color w:val="000000"/>
          <w:spacing w:val="4"/>
          <w:sz w:val="32"/>
          <w:szCs w:val="32"/>
        </w:rPr>
        <w:t>（单位：人）</w:t>
      </w:r>
      <w:r>
        <w:rPr>
          <w:rFonts w:eastAsia="仿宋_GB2312" w:hint="eastAsia"/>
          <w:bCs/>
          <w:sz w:val="32"/>
          <w:szCs w:val="32"/>
        </w:rPr>
        <w:t xml:space="preserve">      </w:t>
      </w:r>
    </w:p>
    <w:p w:rsidR="008B4CFB" w:rsidRDefault="008B4CFB" w:rsidP="008B4CFB">
      <w:pPr>
        <w:spacing w:line="600" w:lineRule="exact"/>
        <w:ind w:firstLineChars="200" w:firstLine="643"/>
        <w:rPr>
          <w:rFonts w:eastAsia="黑体"/>
          <w:b/>
          <w:bCs/>
          <w:sz w:val="32"/>
          <w:szCs w:val="32"/>
        </w:rPr>
      </w:pPr>
      <w:r>
        <w:rPr>
          <w:rFonts w:eastAsia="黑体" w:hint="eastAsia"/>
          <w:b/>
          <w:bCs/>
          <w:sz w:val="32"/>
          <w:szCs w:val="32"/>
        </w:rPr>
        <w:t>（</w:t>
      </w:r>
      <w:r>
        <w:rPr>
          <w:rFonts w:eastAsia="黑体"/>
          <w:b/>
          <w:bCs/>
          <w:sz w:val="32"/>
          <w:szCs w:val="32"/>
        </w:rPr>
        <w:t>二</w:t>
      </w:r>
      <w:r>
        <w:rPr>
          <w:rFonts w:eastAsia="黑体" w:hint="eastAsia"/>
          <w:b/>
          <w:bCs/>
          <w:sz w:val="32"/>
          <w:szCs w:val="32"/>
        </w:rPr>
        <w:t>）</w:t>
      </w:r>
      <w:r>
        <w:rPr>
          <w:rFonts w:eastAsia="黑体"/>
          <w:b/>
          <w:bCs/>
          <w:sz w:val="32"/>
          <w:szCs w:val="32"/>
        </w:rPr>
        <w:t>城乡居民基本医疗保险</w:t>
      </w:r>
    </w:p>
    <w:p w:rsidR="008B4CFB" w:rsidRDefault="008B4CFB" w:rsidP="00F31A6E">
      <w:pPr>
        <w:pStyle w:val="a4"/>
        <w:adjustRightInd w:val="0"/>
        <w:snapToGrid w:val="0"/>
        <w:spacing w:line="600" w:lineRule="exact"/>
        <w:ind w:firstLineChars="196" w:firstLine="630"/>
        <w:rPr>
          <w:rFonts w:ascii="Times New Roman" w:eastAsia="仿宋_GB2312"/>
          <w:bCs w:val="0"/>
          <w:szCs w:val="32"/>
        </w:rPr>
      </w:pPr>
      <w:r>
        <w:rPr>
          <w:rFonts w:hAnsi="楷体_GB2312" w:cs="楷体_GB2312" w:hint="eastAsia"/>
          <w:b/>
          <w:bCs w:val="0"/>
          <w:szCs w:val="32"/>
        </w:rPr>
        <w:t>1.城乡居民医疗保险参保人数情况。</w:t>
      </w:r>
      <w:r>
        <w:rPr>
          <w:rFonts w:ascii="Times New Roman" w:eastAsia="仿宋_GB2312"/>
          <w:bCs w:val="0"/>
          <w:szCs w:val="32"/>
        </w:rPr>
        <w:t>20</w:t>
      </w:r>
      <w:r>
        <w:rPr>
          <w:rFonts w:ascii="Times New Roman" w:eastAsia="仿宋_GB2312" w:hint="eastAsia"/>
          <w:bCs w:val="0"/>
          <w:szCs w:val="32"/>
        </w:rPr>
        <w:t>22</w:t>
      </w:r>
      <w:r>
        <w:rPr>
          <w:rFonts w:ascii="Times New Roman" w:eastAsia="仿宋_GB2312"/>
          <w:bCs w:val="0"/>
          <w:szCs w:val="32"/>
        </w:rPr>
        <w:t>年，我市城乡居民医疗保险参保人数为</w:t>
      </w:r>
      <w:r>
        <w:rPr>
          <w:rFonts w:ascii="Times New Roman" w:eastAsia="仿宋_GB2312" w:hint="eastAsia"/>
          <w:bCs w:val="0"/>
          <w:szCs w:val="32"/>
        </w:rPr>
        <w:t>2918115</w:t>
      </w:r>
      <w:r>
        <w:rPr>
          <w:rFonts w:ascii="Times New Roman" w:eastAsia="仿宋_GB2312"/>
          <w:bCs w:val="0"/>
          <w:szCs w:val="32"/>
        </w:rPr>
        <w:t>人，其中：成年人</w:t>
      </w:r>
      <w:r>
        <w:rPr>
          <w:rFonts w:ascii="Times New Roman" w:eastAsia="仿宋_GB2312" w:hint="eastAsia"/>
          <w:bCs w:val="0"/>
          <w:szCs w:val="32"/>
        </w:rPr>
        <w:t>2269986</w:t>
      </w:r>
      <w:r>
        <w:rPr>
          <w:rFonts w:ascii="Times New Roman" w:eastAsia="仿宋_GB2312"/>
          <w:bCs w:val="0"/>
          <w:szCs w:val="32"/>
        </w:rPr>
        <w:t>人，</w:t>
      </w:r>
      <w:r>
        <w:rPr>
          <w:rFonts w:ascii="Times New Roman" w:eastAsia="仿宋_GB2312" w:hint="eastAsia"/>
          <w:bCs w:val="0"/>
          <w:szCs w:val="32"/>
        </w:rPr>
        <w:t>中小</w:t>
      </w:r>
      <w:r>
        <w:rPr>
          <w:rFonts w:ascii="Times New Roman" w:eastAsia="仿宋_GB2312"/>
          <w:bCs w:val="0"/>
          <w:szCs w:val="32"/>
        </w:rPr>
        <w:t>学生儿童</w:t>
      </w:r>
      <w:r>
        <w:rPr>
          <w:rFonts w:ascii="Times New Roman" w:eastAsia="仿宋_GB2312" w:hint="eastAsia"/>
          <w:bCs w:val="0"/>
          <w:szCs w:val="32"/>
        </w:rPr>
        <w:t>529664</w:t>
      </w:r>
      <w:r>
        <w:rPr>
          <w:rFonts w:ascii="Times New Roman" w:eastAsia="仿宋_GB2312"/>
          <w:bCs w:val="0"/>
          <w:szCs w:val="32"/>
        </w:rPr>
        <w:t>人，大学生</w:t>
      </w:r>
      <w:r>
        <w:rPr>
          <w:rFonts w:ascii="Times New Roman" w:eastAsia="仿宋_GB2312" w:hint="eastAsia"/>
          <w:bCs w:val="0"/>
          <w:szCs w:val="32"/>
        </w:rPr>
        <w:t>118465</w:t>
      </w:r>
      <w:r>
        <w:rPr>
          <w:rFonts w:ascii="Times New Roman" w:eastAsia="仿宋_GB2312"/>
          <w:bCs w:val="0"/>
          <w:szCs w:val="32"/>
        </w:rPr>
        <w:t>人。</w:t>
      </w:r>
    </w:p>
    <w:p w:rsidR="008B4CFB" w:rsidRDefault="008B4CFB" w:rsidP="008B4CFB">
      <w:pPr>
        <w:ind w:firstLineChars="200" w:firstLine="640"/>
        <w:rPr>
          <w:rFonts w:ascii="仿宋_GB2312" w:eastAsia="仿宋_GB2312"/>
          <w:bCs/>
          <w:sz w:val="32"/>
          <w:szCs w:val="32"/>
        </w:rPr>
      </w:pPr>
      <w:r>
        <w:rPr>
          <w:rFonts w:ascii="仿宋_GB2312" w:eastAsia="仿宋_GB2312" w:hint="eastAsia"/>
          <w:bCs/>
          <w:sz w:val="32"/>
          <w:szCs w:val="32"/>
        </w:rPr>
        <w:t>2022年全市城乡居民共有缴费人数2918115人，去年同期3019813人，同比减少3.37</w:t>
      </w:r>
      <w:r>
        <w:rPr>
          <w:rFonts w:ascii="仿宋_GB2312" w:eastAsia="仿宋_GB2312"/>
          <w:bCs/>
          <w:sz w:val="32"/>
          <w:szCs w:val="32"/>
        </w:rPr>
        <w:t>%</w:t>
      </w:r>
      <w:r>
        <w:rPr>
          <w:rFonts w:ascii="仿宋_GB2312" w:eastAsia="仿宋_GB2312" w:hint="eastAsia"/>
          <w:bCs/>
          <w:sz w:val="32"/>
          <w:szCs w:val="32"/>
        </w:rPr>
        <w:t>。分县区来看，市本级719819人，</w:t>
      </w:r>
      <w:r>
        <w:rPr>
          <w:rFonts w:ascii="仿宋_GB2312" w:eastAsia="仿宋_GB2312" w:hint="eastAsia"/>
          <w:bCs/>
          <w:sz w:val="32"/>
          <w:szCs w:val="32"/>
        </w:rPr>
        <w:lastRenderedPageBreak/>
        <w:t>渌口区225206人，醴陵市780206人，攸县571011人，茶陵县480770人，炎陵县141103人，分别占24.67%、7.72%、26.74%、</w:t>
      </w:r>
      <w:r>
        <w:rPr>
          <w:rFonts w:ascii="仿宋_GB2312" w:eastAsia="仿宋_GB2312"/>
          <w:bCs/>
          <w:sz w:val="32"/>
          <w:szCs w:val="32"/>
        </w:rPr>
        <w:t>1</w:t>
      </w:r>
      <w:r>
        <w:rPr>
          <w:rFonts w:ascii="仿宋_GB2312" w:eastAsia="仿宋_GB2312" w:hint="eastAsia"/>
          <w:bCs/>
          <w:sz w:val="32"/>
          <w:szCs w:val="32"/>
        </w:rPr>
        <w:t>9.57%、16.48%和4.84%，其中市本级和醴陵市占比重较大。2022年全市城乡居民医疗保险按320元/人缴费</w:t>
      </w:r>
      <w:r w:rsidR="00E01784">
        <w:rPr>
          <w:rFonts w:asciiTheme="minorHAnsi" w:eastAsia="仿宋_GB2312" w:hAnsiTheme="minorHAnsi" w:hint="eastAsia"/>
          <w:bCs/>
          <w:sz w:val="32"/>
          <w:szCs w:val="32"/>
        </w:rPr>
        <w:t>，</w:t>
      </w:r>
      <w:r>
        <w:rPr>
          <w:rFonts w:ascii="仿宋_GB2312" w:eastAsia="仿宋_GB2312" w:hint="eastAsia"/>
          <w:bCs/>
          <w:sz w:val="32"/>
          <w:szCs w:val="32"/>
        </w:rPr>
        <w:t>财政补助资金610元/人。</w:t>
      </w:r>
    </w:p>
    <w:p w:rsidR="008B4CFB" w:rsidRDefault="008B4CFB" w:rsidP="00F31A6E">
      <w:pPr>
        <w:pStyle w:val="a4"/>
        <w:adjustRightInd w:val="0"/>
        <w:snapToGrid w:val="0"/>
        <w:spacing w:line="600" w:lineRule="exact"/>
        <w:ind w:firstLineChars="200" w:firstLine="643"/>
        <w:rPr>
          <w:rFonts w:ascii="Times New Roman" w:eastAsia="仿宋_GB2312"/>
          <w:bCs w:val="0"/>
          <w:szCs w:val="32"/>
        </w:rPr>
      </w:pPr>
      <w:r>
        <w:rPr>
          <w:rFonts w:hAnsi="楷体_GB2312" w:cs="楷体_GB2312" w:hint="eastAsia"/>
          <w:b/>
          <w:bCs w:val="0"/>
          <w:szCs w:val="32"/>
        </w:rPr>
        <w:t>2.参保人员结构比例。</w:t>
      </w:r>
      <w:r>
        <w:rPr>
          <w:rFonts w:ascii="Times New Roman" w:eastAsia="仿宋_GB2312"/>
          <w:bCs w:val="0"/>
          <w:szCs w:val="32"/>
        </w:rPr>
        <w:t>20</w:t>
      </w:r>
      <w:r>
        <w:rPr>
          <w:rFonts w:ascii="Times New Roman" w:eastAsia="仿宋_GB2312" w:hint="eastAsia"/>
          <w:bCs w:val="0"/>
          <w:szCs w:val="32"/>
        </w:rPr>
        <w:t>22</w:t>
      </w:r>
      <w:r>
        <w:rPr>
          <w:rFonts w:ascii="Times New Roman" w:eastAsia="仿宋_GB2312"/>
          <w:bCs w:val="0"/>
          <w:szCs w:val="32"/>
        </w:rPr>
        <w:t>年全市城乡居民医疗保险参保人员中成年人、中小学生儿童、大学生所占比例分别为</w:t>
      </w:r>
      <w:r>
        <w:rPr>
          <w:rFonts w:ascii="Times New Roman" w:eastAsia="仿宋_GB2312"/>
          <w:bCs w:val="0"/>
          <w:szCs w:val="32"/>
        </w:rPr>
        <w:t>7</w:t>
      </w:r>
      <w:r>
        <w:rPr>
          <w:rFonts w:ascii="Times New Roman" w:eastAsia="仿宋_GB2312" w:hint="eastAsia"/>
          <w:bCs w:val="0"/>
          <w:szCs w:val="32"/>
        </w:rPr>
        <w:t>7.79</w:t>
      </w:r>
      <w:r>
        <w:rPr>
          <w:rFonts w:ascii="Times New Roman" w:eastAsia="仿宋_GB2312"/>
          <w:bCs w:val="0"/>
          <w:szCs w:val="32"/>
        </w:rPr>
        <w:t>％、</w:t>
      </w:r>
      <w:r>
        <w:rPr>
          <w:rFonts w:ascii="Times New Roman" w:eastAsia="仿宋_GB2312" w:hint="eastAsia"/>
          <w:bCs w:val="0"/>
          <w:szCs w:val="32"/>
        </w:rPr>
        <w:t>18.15</w:t>
      </w:r>
      <w:r>
        <w:rPr>
          <w:rFonts w:ascii="Times New Roman" w:eastAsia="仿宋_GB2312"/>
          <w:bCs w:val="0"/>
          <w:szCs w:val="32"/>
        </w:rPr>
        <w:t>％、</w:t>
      </w:r>
      <w:r>
        <w:rPr>
          <w:rFonts w:ascii="Times New Roman" w:eastAsia="仿宋_GB2312" w:hint="eastAsia"/>
          <w:bCs w:val="0"/>
          <w:szCs w:val="32"/>
        </w:rPr>
        <w:t>4.06</w:t>
      </w:r>
      <w:r>
        <w:rPr>
          <w:rFonts w:ascii="Times New Roman" w:eastAsia="仿宋_GB2312"/>
          <w:bCs w:val="0"/>
          <w:szCs w:val="32"/>
        </w:rPr>
        <w:t>％。参保人员中女性</w:t>
      </w:r>
      <w:r>
        <w:rPr>
          <w:rFonts w:ascii="Times New Roman" w:eastAsia="仿宋_GB2312" w:hint="eastAsia"/>
          <w:bCs w:val="0"/>
          <w:szCs w:val="32"/>
        </w:rPr>
        <w:t>1451036</w:t>
      </w:r>
      <w:r>
        <w:rPr>
          <w:rFonts w:ascii="Times New Roman" w:eastAsia="仿宋_GB2312"/>
          <w:bCs w:val="0"/>
          <w:szCs w:val="32"/>
        </w:rPr>
        <w:t>人参加城乡居民医疗保险，占比</w:t>
      </w:r>
      <w:r>
        <w:rPr>
          <w:rFonts w:ascii="Times New Roman" w:eastAsia="仿宋_GB2312"/>
          <w:bCs w:val="0"/>
          <w:szCs w:val="32"/>
        </w:rPr>
        <w:t>4</w:t>
      </w:r>
      <w:r>
        <w:rPr>
          <w:rFonts w:ascii="Times New Roman" w:eastAsia="仿宋_GB2312" w:hint="eastAsia"/>
          <w:bCs w:val="0"/>
          <w:szCs w:val="32"/>
        </w:rPr>
        <w:t>9.73</w:t>
      </w:r>
      <w:r>
        <w:rPr>
          <w:rFonts w:ascii="Times New Roman" w:eastAsia="仿宋_GB2312"/>
          <w:bCs w:val="0"/>
          <w:szCs w:val="32"/>
        </w:rPr>
        <w:t>%</w:t>
      </w:r>
      <w:r>
        <w:rPr>
          <w:rFonts w:ascii="Times New Roman" w:eastAsia="仿宋_GB2312" w:hint="eastAsia"/>
          <w:bCs w:val="0"/>
          <w:szCs w:val="32"/>
        </w:rPr>
        <w:t>，</w:t>
      </w:r>
      <w:r>
        <w:rPr>
          <w:rFonts w:ascii="Times New Roman" w:eastAsia="仿宋_GB2312" w:hint="eastAsia"/>
          <w:bCs w:val="0"/>
          <w:szCs w:val="32"/>
        </w:rPr>
        <w:t>60</w:t>
      </w:r>
      <w:r>
        <w:rPr>
          <w:rFonts w:ascii="Times New Roman" w:eastAsia="仿宋_GB2312" w:hint="eastAsia"/>
          <w:bCs w:val="0"/>
          <w:szCs w:val="32"/>
        </w:rPr>
        <w:t>岁以上（老年人）参加城乡居民基本医疗保险</w:t>
      </w:r>
      <w:r>
        <w:rPr>
          <w:rFonts w:ascii="Times New Roman" w:eastAsia="仿宋_GB2312" w:hint="eastAsia"/>
          <w:bCs w:val="0"/>
          <w:szCs w:val="32"/>
        </w:rPr>
        <w:t>591732</w:t>
      </w:r>
      <w:r>
        <w:rPr>
          <w:rFonts w:ascii="Times New Roman" w:eastAsia="仿宋_GB2312" w:hint="eastAsia"/>
          <w:bCs w:val="0"/>
          <w:szCs w:val="32"/>
        </w:rPr>
        <w:t>人，占比</w:t>
      </w:r>
      <w:r>
        <w:rPr>
          <w:rFonts w:ascii="Times New Roman" w:eastAsia="仿宋_GB2312" w:hint="eastAsia"/>
          <w:bCs w:val="0"/>
          <w:szCs w:val="32"/>
        </w:rPr>
        <w:t>20.28%</w:t>
      </w:r>
      <w:r>
        <w:rPr>
          <w:rFonts w:ascii="Times New Roman" w:eastAsia="仿宋_GB2312" w:hint="eastAsia"/>
          <w:bCs w:val="0"/>
          <w:szCs w:val="32"/>
        </w:rPr>
        <w:t>。</w:t>
      </w:r>
    </w:p>
    <w:p w:rsidR="008B4CFB" w:rsidRDefault="008B4CFB" w:rsidP="008B4CFB">
      <w:pPr>
        <w:pStyle w:val="a4"/>
        <w:adjustRightInd w:val="0"/>
        <w:snapToGrid w:val="0"/>
        <w:spacing w:line="600" w:lineRule="exact"/>
        <w:ind w:firstLineChars="0" w:firstLine="0"/>
        <w:rPr>
          <w:rFonts w:ascii="Times New Roman" w:eastAsia="仿宋_GB2312"/>
          <w:bCs w:val="0"/>
          <w:szCs w:val="32"/>
        </w:rPr>
      </w:pPr>
    </w:p>
    <w:p w:rsidR="008B4CFB" w:rsidRDefault="008B4CFB" w:rsidP="008B4CFB">
      <w:pPr>
        <w:adjustRightInd w:val="0"/>
        <w:snapToGrid w:val="0"/>
        <w:spacing w:line="360" w:lineRule="auto"/>
        <w:rPr>
          <w:sz w:val="32"/>
          <w:szCs w:val="32"/>
        </w:rPr>
      </w:pPr>
      <w:r>
        <w:rPr>
          <w:rFonts w:hint="eastAsia"/>
        </w:rPr>
        <w:t xml:space="preserve">      </w:t>
      </w:r>
      <w:r>
        <w:rPr>
          <w:noProof/>
        </w:rPr>
        <w:drawing>
          <wp:inline distT="0" distB="0" distL="0" distR="0">
            <wp:extent cx="4583415" cy="1818167"/>
            <wp:effectExtent l="19050" t="0" r="26685" b="0"/>
            <wp:docPr id="48"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B4CFB" w:rsidRDefault="008B4CFB" w:rsidP="008B4CFB">
      <w:pPr>
        <w:jc w:val="center"/>
        <w:rPr>
          <w:rFonts w:eastAsia="仿宋_GB2312"/>
          <w:bCs/>
          <w:sz w:val="32"/>
          <w:szCs w:val="32"/>
        </w:rPr>
      </w:pPr>
      <w:r>
        <w:rPr>
          <w:rFonts w:eastAsia="仿宋_GB2312"/>
          <w:bCs/>
          <w:sz w:val="32"/>
          <w:szCs w:val="32"/>
        </w:rPr>
        <w:t>图</w:t>
      </w:r>
      <w:r>
        <w:rPr>
          <w:rFonts w:eastAsia="仿宋_GB2312"/>
          <w:bCs/>
          <w:sz w:val="32"/>
          <w:szCs w:val="32"/>
        </w:rPr>
        <w:t xml:space="preserve">1   </w:t>
      </w:r>
      <w:r>
        <w:rPr>
          <w:rFonts w:eastAsia="仿宋_GB2312"/>
          <w:bCs/>
          <w:sz w:val="32"/>
          <w:szCs w:val="32"/>
        </w:rPr>
        <w:t>全市城乡居民医疗保险参保人群结构图（单位：</w:t>
      </w:r>
      <w:r>
        <w:rPr>
          <w:rFonts w:eastAsia="仿宋_GB2312"/>
          <w:bCs/>
          <w:sz w:val="32"/>
          <w:szCs w:val="32"/>
        </w:rPr>
        <w:t>%</w:t>
      </w:r>
      <w:r>
        <w:rPr>
          <w:rFonts w:eastAsia="仿宋_GB2312"/>
          <w:bCs/>
          <w:sz w:val="32"/>
          <w:szCs w:val="32"/>
        </w:rPr>
        <w:t>）</w:t>
      </w:r>
    </w:p>
    <w:p w:rsidR="00C27119" w:rsidRDefault="00C27119" w:rsidP="008B4CFB">
      <w:pPr>
        <w:ind w:firstLineChars="200" w:firstLine="643"/>
        <w:rPr>
          <w:rFonts w:ascii="黑体" w:eastAsia="黑体" w:hAnsi="黑体"/>
          <w:b/>
          <w:sz w:val="32"/>
          <w:szCs w:val="32"/>
        </w:rPr>
      </w:pPr>
      <w:r>
        <w:rPr>
          <w:rFonts w:ascii="黑体" w:eastAsia="黑体" w:hAnsi="黑体" w:hint="eastAsia"/>
          <w:b/>
          <w:sz w:val="32"/>
          <w:szCs w:val="32"/>
        </w:rPr>
        <w:t>二、基金收支余情况</w:t>
      </w:r>
    </w:p>
    <w:p w:rsidR="00C27119" w:rsidRDefault="00C27119" w:rsidP="00F31A6E">
      <w:pPr>
        <w:ind w:leftChars="36" w:left="76" w:firstLineChars="119" w:firstLine="382"/>
        <w:jc w:val="left"/>
        <w:rPr>
          <w:rFonts w:ascii="楷体_GB2312" w:eastAsia="楷体_GB2312" w:hAnsi="宋体"/>
          <w:b/>
          <w:sz w:val="32"/>
          <w:szCs w:val="32"/>
        </w:rPr>
      </w:pPr>
      <w:r>
        <w:rPr>
          <w:rFonts w:ascii="楷体_GB2312" w:eastAsia="楷体_GB2312" w:hAnsi="宋体" w:hint="eastAsia"/>
          <w:b/>
          <w:sz w:val="32"/>
          <w:szCs w:val="32"/>
        </w:rPr>
        <w:t>（一）基金收入情况</w:t>
      </w:r>
    </w:p>
    <w:p w:rsidR="00C27119" w:rsidRDefault="00C27119">
      <w:pPr>
        <w:ind w:left="74" w:hangingChars="23" w:hanging="74"/>
        <w:jc w:val="left"/>
        <w:rPr>
          <w:rFonts w:ascii="仿宋_GB2312" w:eastAsia="仿宋_GB2312" w:hAnsi="宋体"/>
          <w:b/>
          <w:sz w:val="32"/>
          <w:szCs w:val="32"/>
        </w:rPr>
      </w:pPr>
      <w:r>
        <w:rPr>
          <w:rFonts w:ascii="宋体" w:hAnsi="宋体" w:hint="eastAsia"/>
          <w:b/>
          <w:sz w:val="32"/>
          <w:szCs w:val="32"/>
        </w:rPr>
        <w:t xml:space="preserve">    </w:t>
      </w:r>
      <w:r>
        <w:rPr>
          <w:rFonts w:ascii="仿宋_GB2312" w:eastAsia="仿宋_GB2312" w:hAnsi="宋体" w:hint="eastAsia"/>
          <w:b/>
          <w:sz w:val="32"/>
          <w:szCs w:val="32"/>
        </w:rPr>
        <w:t xml:space="preserve"> 1</w:t>
      </w:r>
      <w:r>
        <w:rPr>
          <w:rFonts w:ascii="Calibri" w:eastAsia="仿宋_GB2312" w:hAnsi="Calibri"/>
          <w:b/>
          <w:sz w:val="32"/>
          <w:szCs w:val="32"/>
        </w:rPr>
        <w:t>.</w:t>
      </w:r>
      <w:r>
        <w:rPr>
          <w:rFonts w:ascii="仿宋_GB2312" w:eastAsia="仿宋_GB2312" w:hAnsi="宋体" w:hint="eastAsia"/>
          <w:b/>
          <w:sz w:val="32"/>
          <w:szCs w:val="32"/>
        </w:rPr>
        <w:t>对比分析情况</w:t>
      </w:r>
    </w:p>
    <w:p w:rsidR="00C27119" w:rsidRDefault="00C27119">
      <w:pPr>
        <w:jc w:val="center"/>
        <w:rPr>
          <w:b/>
          <w:szCs w:val="21"/>
        </w:rPr>
      </w:pPr>
      <w:r>
        <w:rPr>
          <w:rFonts w:ascii="宋体" w:hAnsi="宋体" w:hint="eastAsia"/>
          <w:b/>
          <w:sz w:val="32"/>
          <w:szCs w:val="32"/>
        </w:rPr>
        <w:t xml:space="preserve">  </w:t>
      </w:r>
      <w:r w:rsidR="00F845D6" w:rsidRPr="00980A91">
        <w:rPr>
          <w:rFonts w:ascii="宋体" w:hAnsi="宋体" w:hint="eastAsia"/>
          <w:b/>
          <w:sz w:val="32"/>
          <w:szCs w:val="32"/>
        </w:rPr>
        <w:t>201</w:t>
      </w:r>
      <w:r w:rsidR="00FF331C" w:rsidRPr="00980A91">
        <w:rPr>
          <w:rFonts w:ascii="宋体" w:hAnsi="宋体" w:hint="eastAsia"/>
          <w:b/>
          <w:sz w:val="32"/>
          <w:szCs w:val="32"/>
        </w:rPr>
        <w:t>7</w:t>
      </w:r>
      <w:r w:rsidR="00F845D6" w:rsidRPr="00980A91">
        <w:rPr>
          <w:rFonts w:ascii="宋体" w:hAnsi="宋体" w:hint="eastAsia"/>
          <w:b/>
          <w:sz w:val="32"/>
          <w:szCs w:val="32"/>
        </w:rPr>
        <w:t>-2022</w:t>
      </w:r>
      <w:r w:rsidRPr="0062258B">
        <w:rPr>
          <w:rFonts w:ascii="宋体" w:hAnsi="宋体" w:hint="eastAsia"/>
          <w:b/>
          <w:sz w:val="32"/>
          <w:szCs w:val="32"/>
        </w:rPr>
        <w:t>年全市</w:t>
      </w:r>
      <w:r>
        <w:rPr>
          <w:rFonts w:ascii="宋体" w:hAnsi="宋体" w:hint="eastAsia"/>
          <w:b/>
          <w:sz w:val="32"/>
          <w:szCs w:val="32"/>
        </w:rPr>
        <w:t>医疗生育保险总收入增长图</w:t>
      </w:r>
      <w:r>
        <w:rPr>
          <w:rFonts w:ascii="宋体" w:hAnsi="宋体" w:hint="eastAsia"/>
          <w:b/>
          <w:szCs w:val="21"/>
        </w:rPr>
        <w:t>（</w:t>
      </w:r>
      <w:r>
        <w:rPr>
          <w:rFonts w:hint="eastAsia"/>
          <w:b/>
          <w:szCs w:val="21"/>
        </w:rPr>
        <w:t>单位</w:t>
      </w:r>
      <w:r>
        <w:rPr>
          <w:rFonts w:hint="eastAsia"/>
          <w:b/>
          <w:szCs w:val="21"/>
        </w:rPr>
        <w:t>:</w:t>
      </w:r>
      <w:r>
        <w:rPr>
          <w:rFonts w:hint="eastAsia"/>
          <w:b/>
          <w:szCs w:val="21"/>
        </w:rPr>
        <w:t>亿元）</w:t>
      </w:r>
    </w:p>
    <w:p w:rsidR="00C27119" w:rsidRDefault="00C27119">
      <w:pPr>
        <w:ind w:left="210" w:hangingChars="100" w:hanging="210"/>
        <w:jc w:val="left"/>
        <w:rPr>
          <w:szCs w:val="28"/>
        </w:rPr>
      </w:pPr>
      <w:r>
        <w:rPr>
          <w:rFonts w:hint="eastAsia"/>
          <w:szCs w:val="28"/>
        </w:rPr>
        <w:lastRenderedPageBreak/>
        <w:t xml:space="preserve">   </w:t>
      </w:r>
      <w:r w:rsidR="008B4CFB" w:rsidRPr="00F01B26">
        <w:rPr>
          <w:szCs w:val="28"/>
        </w:rPr>
        <w:object w:dxaOrig="8279" w:dyaOrig="4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10pt" o:ole="">
            <v:imagedata r:id="rId11" o:title=""/>
          </v:shape>
          <o:OLEObject Type="Embed" ProgID="MSGraph.Chart.8" ShapeID="_x0000_i1025" DrawAspect="Content" ObjectID="_1806737283" r:id="rId12">
            <o:FieldCodes>\s</o:FieldCodes>
          </o:OLEObject>
        </w:object>
      </w:r>
    </w:p>
    <w:p w:rsidR="00C27119" w:rsidRDefault="00C27119">
      <w:pPr>
        <w:ind w:leftChars="36" w:left="76" w:firstLineChars="200" w:firstLine="420"/>
        <w:jc w:val="left"/>
        <w:rPr>
          <w:rFonts w:ascii="仿宋_GB2312" w:eastAsia="仿宋_GB2312"/>
          <w:sz w:val="32"/>
          <w:szCs w:val="32"/>
        </w:rPr>
      </w:pPr>
      <w:r>
        <w:rPr>
          <w:rFonts w:ascii="仿宋_GB2312" w:eastAsia="仿宋_GB2312" w:hint="eastAsia"/>
          <w:szCs w:val="28"/>
        </w:rPr>
        <w:t xml:space="preserve">  </w:t>
      </w:r>
      <w:r>
        <w:rPr>
          <w:rFonts w:ascii="仿宋_GB2312" w:eastAsia="仿宋_GB2312" w:hint="eastAsia"/>
          <w:sz w:val="32"/>
          <w:szCs w:val="32"/>
        </w:rPr>
        <w:t>注：</w:t>
      </w:r>
      <w:r>
        <w:rPr>
          <w:rFonts w:ascii="仿宋_GB2312" w:eastAsia="仿宋_GB2312" w:hAnsi="宋体" w:hint="eastAsia"/>
          <w:sz w:val="32"/>
          <w:szCs w:val="32"/>
        </w:rPr>
        <w:t>城镇职工医保</w:t>
      </w:r>
      <w:r>
        <w:rPr>
          <w:rFonts w:ascii="仿宋_GB2312" w:eastAsia="仿宋_GB2312" w:hint="eastAsia"/>
          <w:sz w:val="32"/>
          <w:szCs w:val="32"/>
        </w:rPr>
        <w:t>和生育保险在2019年正式合并为职工医疗（生育）基金。</w:t>
      </w:r>
      <w:r>
        <w:rPr>
          <w:rFonts w:ascii="仿宋_GB2312" w:eastAsia="仿宋_GB2312" w:hint="eastAsia"/>
          <w:szCs w:val="28"/>
        </w:rPr>
        <w:t xml:space="preserve">  </w:t>
      </w:r>
    </w:p>
    <w:p w:rsidR="00C27119" w:rsidRDefault="00C27119">
      <w:pPr>
        <w:jc w:val="left"/>
        <w:rPr>
          <w:rFonts w:ascii="仿宋_GB2312" w:eastAsia="仿宋_GB2312" w:hAnsi="宋体"/>
          <w:sz w:val="32"/>
          <w:szCs w:val="32"/>
        </w:rPr>
      </w:pPr>
      <w:r>
        <w:rPr>
          <w:rFonts w:ascii="仿宋_GB2312" w:eastAsia="仿宋_GB2312" w:hint="eastAsia"/>
          <w:sz w:val="32"/>
          <w:szCs w:val="32"/>
        </w:rPr>
        <w:t xml:space="preserve">    </w:t>
      </w:r>
      <w:r w:rsidRPr="00985C18">
        <w:rPr>
          <w:rFonts w:ascii="仿宋_GB2312" w:eastAsia="仿宋_GB2312" w:hint="eastAsia"/>
          <w:sz w:val="32"/>
          <w:szCs w:val="32"/>
        </w:rPr>
        <w:t>202</w:t>
      </w:r>
      <w:r w:rsidR="00B5423A" w:rsidRPr="00985C18">
        <w:rPr>
          <w:rFonts w:ascii="仿宋_GB2312" w:eastAsia="仿宋_GB2312" w:hint="eastAsia"/>
          <w:sz w:val="32"/>
          <w:szCs w:val="32"/>
        </w:rPr>
        <w:t>2</w:t>
      </w:r>
      <w:r w:rsidRPr="00985C18">
        <w:rPr>
          <w:rFonts w:ascii="仿宋_GB2312" w:eastAsia="仿宋_GB2312" w:hint="eastAsia"/>
          <w:sz w:val="32"/>
          <w:szCs w:val="32"/>
        </w:rPr>
        <w:t>年全市</w:t>
      </w:r>
      <w:r w:rsidRPr="00985C18">
        <w:rPr>
          <w:rFonts w:ascii="仿宋_GB2312" w:eastAsia="仿宋_GB2312" w:hAnsi="宋体" w:hint="eastAsia"/>
          <w:sz w:val="32"/>
          <w:szCs w:val="32"/>
        </w:rPr>
        <w:t>城镇职工医保(生育)、城乡居民二项基金总收入合计</w:t>
      </w:r>
      <w:r w:rsidR="00B5423A" w:rsidRPr="00985C18">
        <w:rPr>
          <w:rFonts w:ascii="仿宋_GB2312" w:eastAsia="仿宋_GB2312" w:hAnsi="宋体" w:hint="eastAsia"/>
          <w:sz w:val="32"/>
          <w:szCs w:val="32"/>
        </w:rPr>
        <w:t>66.75</w:t>
      </w:r>
      <w:r w:rsidRPr="00985C18">
        <w:rPr>
          <w:rFonts w:ascii="仿宋_GB2312" w:eastAsia="仿宋_GB2312" w:hAnsi="宋体" w:hint="eastAsia"/>
          <w:sz w:val="32"/>
          <w:szCs w:val="32"/>
        </w:rPr>
        <w:t>亿元，同比</w:t>
      </w:r>
      <w:r w:rsidRPr="00985C18">
        <w:rPr>
          <w:rFonts w:ascii="Calibri" w:eastAsia="仿宋_GB2312" w:hAnsi="Calibri" w:hint="eastAsia"/>
          <w:sz w:val="32"/>
          <w:szCs w:val="32"/>
        </w:rPr>
        <w:t>增长</w:t>
      </w:r>
      <w:r w:rsidRPr="00985C18">
        <w:rPr>
          <w:rFonts w:ascii="仿宋_GB2312" w:eastAsia="仿宋_GB2312" w:hAnsi="宋体" w:hint="eastAsia"/>
          <w:sz w:val="32"/>
          <w:szCs w:val="32"/>
        </w:rPr>
        <w:t>为</w:t>
      </w:r>
      <w:r w:rsidR="00B5423A" w:rsidRPr="00985C18">
        <w:rPr>
          <w:rFonts w:ascii="仿宋_GB2312" w:eastAsia="仿宋_GB2312" w:hAnsi="宋体" w:hint="eastAsia"/>
          <w:sz w:val="32"/>
          <w:szCs w:val="32"/>
        </w:rPr>
        <w:t>11.42</w:t>
      </w:r>
      <w:r w:rsidRPr="00985C18">
        <w:rPr>
          <w:rFonts w:ascii="仿宋_GB2312" w:eastAsia="仿宋_GB2312" w:hAnsi="宋体" w:hint="eastAsia"/>
          <w:sz w:val="32"/>
          <w:szCs w:val="32"/>
        </w:rPr>
        <w:t>%，其中职工医保</w:t>
      </w:r>
      <w:r w:rsidR="00B5423A" w:rsidRPr="00985C18">
        <w:rPr>
          <w:rFonts w:ascii="仿宋_GB2312" w:eastAsia="仿宋_GB2312" w:hAnsi="宋体" w:hint="eastAsia"/>
          <w:sz w:val="32"/>
          <w:szCs w:val="32"/>
        </w:rPr>
        <w:t>35.88</w:t>
      </w:r>
      <w:r w:rsidRPr="00985C18">
        <w:rPr>
          <w:rFonts w:ascii="仿宋_GB2312" w:eastAsia="仿宋_GB2312" w:hAnsi="宋体" w:hint="eastAsia"/>
          <w:sz w:val="32"/>
          <w:szCs w:val="32"/>
        </w:rPr>
        <w:t>亿元、居民医保</w:t>
      </w:r>
      <w:r w:rsidR="00B5423A" w:rsidRPr="00985C18">
        <w:rPr>
          <w:rFonts w:ascii="仿宋_GB2312" w:eastAsia="仿宋_GB2312" w:hAnsi="宋体" w:hint="eastAsia"/>
          <w:sz w:val="32"/>
          <w:szCs w:val="32"/>
        </w:rPr>
        <w:t>30.87</w:t>
      </w:r>
      <w:r w:rsidR="001B65DE" w:rsidRPr="00985C18">
        <w:rPr>
          <w:rFonts w:ascii="仿宋_GB2312" w:eastAsia="仿宋_GB2312" w:hAnsi="宋体" w:hint="eastAsia"/>
          <w:sz w:val="32"/>
          <w:szCs w:val="32"/>
        </w:rPr>
        <w:t>亿元，同比增长</w:t>
      </w:r>
      <w:r w:rsidRPr="00985C18">
        <w:rPr>
          <w:rFonts w:ascii="仿宋_GB2312" w:eastAsia="仿宋_GB2312" w:hAnsi="宋体" w:hint="eastAsia"/>
          <w:sz w:val="32"/>
          <w:szCs w:val="32"/>
        </w:rPr>
        <w:t>率分别</w:t>
      </w:r>
      <w:r w:rsidR="00B5423A" w:rsidRPr="00985C18">
        <w:rPr>
          <w:rFonts w:ascii="仿宋_GB2312" w:eastAsia="仿宋_GB2312" w:hAnsi="宋体" w:hint="eastAsia"/>
          <w:sz w:val="32"/>
          <w:szCs w:val="32"/>
        </w:rPr>
        <w:t>16.15%</w:t>
      </w:r>
      <w:r w:rsidRPr="00985C18">
        <w:rPr>
          <w:rFonts w:ascii="仿宋_GB2312" w:eastAsia="仿宋_GB2312" w:hAnsi="宋体" w:hint="eastAsia"/>
          <w:sz w:val="32"/>
          <w:szCs w:val="32"/>
        </w:rPr>
        <w:t>、</w:t>
      </w:r>
      <w:r w:rsidR="001B65DE" w:rsidRPr="00985C18">
        <w:rPr>
          <w:rFonts w:ascii="仿宋_GB2312" w:eastAsia="仿宋_GB2312" w:hAnsi="宋体" w:hint="eastAsia"/>
          <w:sz w:val="32"/>
          <w:szCs w:val="32"/>
        </w:rPr>
        <w:t>6.40</w:t>
      </w:r>
      <w:r w:rsidRPr="00985C18">
        <w:rPr>
          <w:rFonts w:ascii="仿宋_GB2312" w:eastAsia="仿宋_GB2312" w:hAnsi="宋体" w:hint="eastAsia"/>
          <w:sz w:val="32"/>
          <w:szCs w:val="32"/>
        </w:rPr>
        <w:t>%。</w:t>
      </w:r>
    </w:p>
    <w:p w:rsidR="00C27119" w:rsidRDefault="001B65DE">
      <w:pPr>
        <w:jc w:val="center"/>
        <w:rPr>
          <w:b/>
          <w:szCs w:val="21"/>
        </w:rPr>
      </w:pPr>
      <w:r>
        <w:rPr>
          <w:rFonts w:hint="eastAsia"/>
          <w:b/>
          <w:sz w:val="32"/>
          <w:szCs w:val="32"/>
        </w:rPr>
        <w:t xml:space="preserve">    </w:t>
      </w:r>
      <w:r w:rsidRPr="00985C18">
        <w:rPr>
          <w:rFonts w:hint="eastAsia"/>
          <w:b/>
          <w:sz w:val="32"/>
          <w:szCs w:val="32"/>
        </w:rPr>
        <w:t>202</w:t>
      </w:r>
      <w:r w:rsidR="00FF331C" w:rsidRPr="00985C18">
        <w:rPr>
          <w:rFonts w:hint="eastAsia"/>
          <w:b/>
          <w:sz w:val="32"/>
          <w:szCs w:val="32"/>
        </w:rPr>
        <w:t>2</w:t>
      </w:r>
      <w:r w:rsidR="00C27119" w:rsidRPr="00985C18">
        <w:rPr>
          <w:rFonts w:hint="eastAsia"/>
          <w:b/>
          <w:sz w:val="32"/>
          <w:szCs w:val="32"/>
        </w:rPr>
        <w:t>年全市医疗生育保险基金总收入同比增长图</w:t>
      </w:r>
      <w:r w:rsidR="00C27119" w:rsidRPr="00985C18">
        <w:rPr>
          <w:rFonts w:hint="eastAsia"/>
          <w:b/>
          <w:szCs w:val="21"/>
        </w:rPr>
        <w:t>（单位</w:t>
      </w:r>
      <w:r w:rsidR="00C27119" w:rsidRPr="00985C18">
        <w:rPr>
          <w:rFonts w:hint="eastAsia"/>
          <w:b/>
          <w:szCs w:val="21"/>
        </w:rPr>
        <w:t>:</w:t>
      </w:r>
      <w:r w:rsidR="00C27119" w:rsidRPr="00985C18">
        <w:rPr>
          <w:rFonts w:hint="eastAsia"/>
          <w:b/>
          <w:szCs w:val="21"/>
        </w:rPr>
        <w:t>亿</w:t>
      </w:r>
      <w:r w:rsidR="00C27119" w:rsidRPr="00985C18">
        <w:rPr>
          <w:rFonts w:hint="eastAsia"/>
          <w:b/>
          <w:szCs w:val="21"/>
        </w:rPr>
        <w:t>.</w:t>
      </w:r>
      <w:r w:rsidR="00C27119" w:rsidRPr="00985C18">
        <w:rPr>
          <w:rFonts w:hint="eastAsia"/>
          <w:b/>
          <w:szCs w:val="21"/>
        </w:rPr>
        <w:t>元）</w:t>
      </w:r>
    </w:p>
    <w:p w:rsidR="00C27119" w:rsidRDefault="005221BC">
      <w:pPr>
        <w:jc w:val="center"/>
        <w:rPr>
          <w:b/>
          <w:sz w:val="32"/>
          <w:szCs w:val="32"/>
        </w:rPr>
      </w:pPr>
      <w:r w:rsidRPr="00F01B26">
        <w:rPr>
          <w:b/>
          <w:sz w:val="32"/>
          <w:szCs w:val="32"/>
        </w:rPr>
        <w:object w:dxaOrig="8040" w:dyaOrig="3345">
          <v:shape id="_x0000_i1026" type="#_x0000_t75" style="width:402pt;height:167.25pt" o:ole="">
            <v:imagedata r:id="rId13" o:title=""/>
          </v:shape>
          <o:OLEObject Type="Embed" ProgID="MSGraph.Chart.8" ShapeID="_x0000_i1026" DrawAspect="Content" ObjectID="_1806737284" r:id="rId14">
            <o:FieldCodes>\s</o:FieldCodes>
          </o:OLEObject>
        </w:object>
      </w:r>
    </w:p>
    <w:p w:rsidR="00C27119" w:rsidRPr="00D601E0" w:rsidRDefault="001B65DE">
      <w:pPr>
        <w:jc w:val="left"/>
        <w:rPr>
          <w:rFonts w:ascii="仿宋_GB2312" w:eastAsia="仿宋_GB2312" w:hAnsi="宋体"/>
          <w:sz w:val="32"/>
          <w:szCs w:val="32"/>
        </w:rPr>
      </w:pPr>
      <w:r>
        <w:rPr>
          <w:rFonts w:ascii="仿宋_GB2312" w:eastAsia="仿宋_GB2312" w:hint="eastAsia"/>
          <w:sz w:val="32"/>
          <w:szCs w:val="32"/>
        </w:rPr>
        <w:t xml:space="preserve">    </w:t>
      </w:r>
      <w:r w:rsidRPr="00D601E0">
        <w:rPr>
          <w:rFonts w:ascii="仿宋_GB2312" w:eastAsia="仿宋_GB2312" w:hAnsi="宋体" w:hint="eastAsia"/>
          <w:sz w:val="32"/>
          <w:szCs w:val="32"/>
        </w:rPr>
        <w:t>202</w:t>
      </w:r>
      <w:r w:rsidR="008B4CFB" w:rsidRPr="00D601E0">
        <w:rPr>
          <w:rFonts w:ascii="仿宋_GB2312" w:eastAsia="仿宋_GB2312" w:hAnsi="宋体" w:hint="eastAsia"/>
          <w:sz w:val="32"/>
          <w:szCs w:val="32"/>
        </w:rPr>
        <w:t>2</w:t>
      </w:r>
      <w:r w:rsidR="00C27119" w:rsidRPr="00D601E0">
        <w:rPr>
          <w:rFonts w:ascii="仿宋_GB2312" w:eastAsia="仿宋_GB2312" w:hAnsi="宋体" w:hint="eastAsia"/>
          <w:sz w:val="32"/>
          <w:szCs w:val="32"/>
        </w:rPr>
        <w:t>年全市</w:t>
      </w:r>
      <w:r w:rsidR="00C27119" w:rsidRPr="002E02B4">
        <w:rPr>
          <w:rFonts w:ascii="仿宋_GB2312" w:eastAsia="仿宋_GB2312" w:hAnsi="宋体" w:hint="eastAsia"/>
          <w:sz w:val="32"/>
          <w:szCs w:val="32"/>
        </w:rPr>
        <w:t>城镇职工医保(生育)</w:t>
      </w:r>
      <w:r w:rsidR="00D601E0">
        <w:rPr>
          <w:rFonts w:ascii="仿宋_GB2312" w:eastAsia="仿宋_GB2312" w:hAnsi="宋体" w:hint="eastAsia"/>
          <w:sz w:val="32"/>
          <w:szCs w:val="32"/>
        </w:rPr>
        <w:t>、城乡居民二项基金征缴总收入合3</w:t>
      </w:r>
      <w:r w:rsidR="00985C18">
        <w:rPr>
          <w:rFonts w:ascii="仿宋_GB2312" w:eastAsia="仿宋_GB2312" w:hAnsi="宋体" w:hint="eastAsia"/>
          <w:sz w:val="32"/>
          <w:szCs w:val="32"/>
        </w:rPr>
        <w:t>9.95</w:t>
      </w:r>
      <w:r w:rsidR="00C27119" w:rsidRPr="002E02B4">
        <w:rPr>
          <w:rFonts w:ascii="仿宋_GB2312" w:eastAsia="仿宋_GB2312" w:hAnsi="宋体" w:hint="eastAsia"/>
          <w:sz w:val="32"/>
          <w:szCs w:val="32"/>
        </w:rPr>
        <w:t>亿元，同比增长率为</w:t>
      </w:r>
      <w:r w:rsidR="00D601E0">
        <w:rPr>
          <w:rFonts w:ascii="仿宋_GB2312" w:eastAsia="仿宋_GB2312" w:hAnsi="宋体" w:hint="eastAsia"/>
          <w:sz w:val="32"/>
          <w:szCs w:val="32"/>
        </w:rPr>
        <w:t>8.62</w:t>
      </w:r>
      <w:r w:rsidR="00C27119" w:rsidRPr="002E02B4">
        <w:rPr>
          <w:rFonts w:ascii="仿宋_GB2312" w:eastAsia="仿宋_GB2312" w:hAnsi="宋体" w:hint="eastAsia"/>
          <w:sz w:val="32"/>
          <w:szCs w:val="32"/>
        </w:rPr>
        <w:t>%，基金征缴收入分别为</w:t>
      </w:r>
      <w:r w:rsidR="00980A91">
        <w:rPr>
          <w:rFonts w:ascii="仿宋_GB2312" w:eastAsia="仿宋_GB2312" w:hAnsi="宋体" w:hint="eastAsia"/>
          <w:sz w:val="32"/>
          <w:szCs w:val="32"/>
        </w:rPr>
        <w:t>29.46</w:t>
      </w:r>
      <w:r w:rsidR="00C27119" w:rsidRPr="002E02B4">
        <w:rPr>
          <w:rFonts w:ascii="仿宋_GB2312" w:eastAsia="仿宋_GB2312" w:hAnsi="宋体" w:hint="eastAsia"/>
          <w:sz w:val="32"/>
          <w:szCs w:val="32"/>
        </w:rPr>
        <w:t>亿元、</w:t>
      </w:r>
      <w:r w:rsidR="00985C18">
        <w:rPr>
          <w:rFonts w:ascii="仿宋_GB2312" w:eastAsia="仿宋_GB2312" w:hAnsi="宋体" w:hint="eastAsia"/>
          <w:sz w:val="32"/>
          <w:szCs w:val="32"/>
        </w:rPr>
        <w:t>10.5</w:t>
      </w:r>
      <w:r w:rsidR="00054610">
        <w:rPr>
          <w:rFonts w:ascii="仿宋_GB2312" w:eastAsia="仿宋_GB2312" w:hAnsi="宋体" w:hint="eastAsia"/>
          <w:sz w:val="32"/>
          <w:szCs w:val="32"/>
        </w:rPr>
        <w:t>亿元，同比增长</w:t>
      </w:r>
      <w:r w:rsidR="00C27119" w:rsidRPr="002E02B4">
        <w:rPr>
          <w:rFonts w:ascii="仿宋_GB2312" w:eastAsia="仿宋_GB2312" w:hAnsi="宋体" w:hint="eastAsia"/>
          <w:sz w:val="32"/>
          <w:szCs w:val="32"/>
        </w:rPr>
        <w:t>率分别为</w:t>
      </w:r>
      <w:r w:rsidR="00985C18" w:rsidRPr="00D601E0">
        <w:rPr>
          <w:rFonts w:ascii="仿宋_GB2312" w:eastAsia="仿宋_GB2312" w:hAnsi="宋体" w:hint="eastAsia"/>
          <w:sz w:val="32"/>
          <w:szCs w:val="32"/>
        </w:rPr>
        <w:t>8.</w:t>
      </w:r>
      <w:r w:rsidR="00980A91">
        <w:rPr>
          <w:rFonts w:ascii="仿宋_GB2312" w:eastAsia="仿宋_GB2312" w:hAnsi="宋体" w:hint="eastAsia"/>
          <w:sz w:val="32"/>
          <w:szCs w:val="32"/>
        </w:rPr>
        <w:t>71</w:t>
      </w:r>
      <w:r w:rsidR="00C27119" w:rsidRPr="00D601E0">
        <w:rPr>
          <w:rFonts w:ascii="仿宋_GB2312" w:eastAsia="仿宋_GB2312" w:hAnsi="宋体" w:hint="eastAsia"/>
          <w:sz w:val="32"/>
          <w:szCs w:val="32"/>
        </w:rPr>
        <w:t>%、</w:t>
      </w:r>
      <w:r w:rsidR="00985C18" w:rsidRPr="00D601E0">
        <w:rPr>
          <w:rFonts w:ascii="仿宋_GB2312" w:eastAsia="仿宋_GB2312" w:hAnsi="宋体" w:hint="eastAsia"/>
          <w:sz w:val="32"/>
          <w:szCs w:val="32"/>
        </w:rPr>
        <w:t>8.47</w:t>
      </w:r>
      <w:r w:rsidR="00C27119" w:rsidRPr="00D601E0">
        <w:rPr>
          <w:rFonts w:ascii="仿宋_GB2312" w:eastAsia="仿宋_GB2312" w:hAnsi="宋体" w:hint="eastAsia"/>
          <w:sz w:val="32"/>
          <w:szCs w:val="32"/>
        </w:rPr>
        <w:t xml:space="preserve">%。 </w:t>
      </w:r>
    </w:p>
    <w:p w:rsidR="00C27119" w:rsidRDefault="00C27119">
      <w:pPr>
        <w:jc w:val="right"/>
        <w:rPr>
          <w:szCs w:val="21"/>
        </w:rPr>
      </w:pPr>
      <w:r>
        <w:rPr>
          <w:rFonts w:hint="eastAsia"/>
          <w:b/>
          <w:sz w:val="32"/>
          <w:szCs w:val="32"/>
        </w:rPr>
        <w:lastRenderedPageBreak/>
        <w:t xml:space="preserve"> 202</w:t>
      </w:r>
      <w:r w:rsidR="00985C18">
        <w:rPr>
          <w:rFonts w:hint="eastAsia"/>
          <w:b/>
          <w:sz w:val="32"/>
          <w:szCs w:val="32"/>
        </w:rPr>
        <w:t>2</w:t>
      </w:r>
      <w:r>
        <w:rPr>
          <w:rFonts w:hint="eastAsia"/>
          <w:b/>
          <w:sz w:val="32"/>
          <w:szCs w:val="32"/>
        </w:rPr>
        <w:t>年全市医疗生育保险基金征缴收入同比增长图</w:t>
      </w:r>
      <w:r>
        <w:rPr>
          <w:rFonts w:hint="eastAsia"/>
          <w:szCs w:val="21"/>
        </w:rPr>
        <w:t>（单位</w:t>
      </w:r>
      <w:r>
        <w:rPr>
          <w:rFonts w:hint="eastAsia"/>
          <w:szCs w:val="21"/>
        </w:rPr>
        <w:t>:</w:t>
      </w:r>
      <w:r>
        <w:rPr>
          <w:rFonts w:hint="eastAsia"/>
          <w:szCs w:val="21"/>
        </w:rPr>
        <w:t>亿元）</w:t>
      </w:r>
    </w:p>
    <w:p w:rsidR="00C27119" w:rsidRDefault="00985C18">
      <w:pPr>
        <w:ind w:left="1" w:firstLineChars="200" w:firstLine="560"/>
        <w:jc w:val="left"/>
        <w:rPr>
          <w:rFonts w:ascii="楷体_GB2312" w:eastAsia="楷体_GB2312"/>
          <w:sz w:val="28"/>
          <w:szCs w:val="28"/>
        </w:rPr>
      </w:pPr>
      <w:r w:rsidRPr="00F01B26">
        <w:rPr>
          <w:rFonts w:ascii="楷体_GB2312" w:eastAsia="楷体_GB2312"/>
          <w:sz w:val="28"/>
          <w:szCs w:val="28"/>
        </w:rPr>
        <w:object w:dxaOrig="7901" w:dyaOrig="3122">
          <v:shape id="_x0000_i1027" type="#_x0000_t75" style="width:395.25pt;height:155.25pt" o:ole="">
            <v:imagedata r:id="rId15" o:title=""/>
          </v:shape>
          <o:OLEObject Type="Embed" ProgID="MSGraph.Chart.8" ShapeID="_x0000_i1027" DrawAspect="Content" ObjectID="_1806737285" r:id="rId16">
            <o:FieldCodes>\s</o:FieldCodes>
          </o:OLEObject>
        </w:object>
      </w:r>
    </w:p>
    <w:p w:rsidR="00C27119" w:rsidRDefault="00C27119">
      <w:pPr>
        <w:ind w:leftChars="36" w:left="76" w:firstLineChars="200" w:firstLine="643"/>
        <w:jc w:val="left"/>
        <w:rPr>
          <w:sz w:val="32"/>
          <w:szCs w:val="32"/>
        </w:rPr>
      </w:pPr>
      <w:r>
        <w:rPr>
          <w:rFonts w:ascii="宋体" w:hAnsi="宋体" w:hint="eastAsia"/>
          <w:b/>
          <w:sz w:val="32"/>
          <w:szCs w:val="32"/>
        </w:rPr>
        <w:t>2</w:t>
      </w:r>
      <w:r w:rsidR="00420BCC">
        <w:rPr>
          <w:rFonts w:ascii="宋体" w:hAnsi="宋体" w:hint="eastAsia"/>
          <w:b/>
          <w:sz w:val="32"/>
          <w:szCs w:val="32"/>
        </w:rPr>
        <w:t>.</w:t>
      </w:r>
      <w:r>
        <w:rPr>
          <w:rFonts w:ascii="宋体" w:hAnsi="宋体" w:hint="eastAsia"/>
          <w:b/>
          <w:sz w:val="32"/>
          <w:szCs w:val="32"/>
        </w:rPr>
        <w:t>收入增长因素分析</w:t>
      </w:r>
    </w:p>
    <w:p w:rsidR="00C27119" w:rsidRDefault="00C27119">
      <w:pPr>
        <w:ind w:leftChars="36" w:left="76" w:firstLineChars="200" w:firstLine="640"/>
        <w:jc w:val="left"/>
        <w:rPr>
          <w:rFonts w:ascii="仿宋_GB2312" w:eastAsia="仿宋_GB2312"/>
          <w:sz w:val="32"/>
          <w:szCs w:val="32"/>
        </w:rPr>
      </w:pPr>
      <w:r>
        <w:rPr>
          <w:rFonts w:ascii="仿宋_GB2312" w:eastAsia="仿宋_GB2312" w:hint="eastAsia"/>
          <w:sz w:val="32"/>
          <w:szCs w:val="32"/>
        </w:rPr>
        <w:t>收入增减主要受以下四是点因素影响：</w:t>
      </w:r>
    </w:p>
    <w:p w:rsidR="00C27119" w:rsidRDefault="00C27119" w:rsidP="00F31A6E">
      <w:pPr>
        <w:ind w:firstLineChars="197" w:firstLine="633"/>
        <w:jc w:val="left"/>
        <w:rPr>
          <w:rFonts w:ascii="仿宋_GB2312" w:eastAsia="仿宋_GB2312" w:hAnsi="宋体"/>
          <w:spacing w:val="4"/>
          <w:kern w:val="0"/>
          <w:sz w:val="32"/>
          <w:szCs w:val="32"/>
        </w:rPr>
      </w:pPr>
      <w:r>
        <w:rPr>
          <w:rFonts w:ascii="仿宋_GB2312" w:eastAsia="仿宋_GB2312" w:hint="eastAsia"/>
          <w:b/>
          <w:sz w:val="32"/>
          <w:szCs w:val="32"/>
        </w:rPr>
        <w:t>（1）征缴收入较</w:t>
      </w:r>
      <w:r w:rsidR="00D601E0">
        <w:rPr>
          <w:rFonts w:ascii="仿宋_GB2312" w:eastAsia="仿宋_GB2312" w:hint="eastAsia"/>
          <w:b/>
          <w:sz w:val="32"/>
          <w:szCs w:val="32"/>
        </w:rPr>
        <w:t>同期一定</w:t>
      </w:r>
      <w:r>
        <w:rPr>
          <w:rFonts w:ascii="仿宋_GB2312" w:eastAsia="仿宋_GB2312" w:hint="eastAsia"/>
          <w:b/>
          <w:sz w:val="32"/>
          <w:szCs w:val="32"/>
        </w:rPr>
        <w:t>幅度增长</w:t>
      </w:r>
      <w:r w:rsidRPr="00980A91">
        <w:rPr>
          <w:rFonts w:ascii="仿宋_GB2312" w:eastAsia="仿宋_GB2312" w:hint="eastAsia"/>
          <w:b/>
          <w:sz w:val="32"/>
          <w:szCs w:val="32"/>
        </w:rPr>
        <w:t>。</w:t>
      </w:r>
      <w:r w:rsidR="00F259CE" w:rsidRPr="00980A91">
        <w:rPr>
          <w:rFonts w:ascii="仿宋_GB2312" w:eastAsia="仿宋_GB2312" w:hint="eastAsia"/>
          <w:sz w:val="32"/>
          <w:szCs w:val="32"/>
        </w:rPr>
        <w:t>2022</w:t>
      </w:r>
      <w:r w:rsidRPr="00980A91">
        <w:rPr>
          <w:rFonts w:ascii="仿宋_GB2312" w:eastAsia="仿宋_GB2312" w:hint="eastAsia"/>
          <w:sz w:val="32"/>
          <w:szCs w:val="32"/>
        </w:rPr>
        <w:t>年</w:t>
      </w:r>
      <w:r w:rsidRPr="00DA09A9">
        <w:rPr>
          <w:rFonts w:ascii="仿宋_GB2312" w:eastAsia="仿宋_GB2312" w:hint="eastAsia"/>
          <w:sz w:val="32"/>
          <w:szCs w:val="32"/>
        </w:rPr>
        <w:t>全市职工医保(生育)</w:t>
      </w:r>
      <w:r w:rsidR="00980A91">
        <w:rPr>
          <w:rFonts w:ascii="仿宋_GB2312" w:eastAsia="仿宋_GB2312" w:hint="eastAsia"/>
          <w:sz w:val="32"/>
          <w:szCs w:val="32"/>
        </w:rPr>
        <w:t>、城乡居民两项基金征</w:t>
      </w:r>
      <w:r w:rsidRPr="00DA09A9">
        <w:rPr>
          <w:rFonts w:ascii="仿宋_GB2312" w:eastAsia="仿宋_GB2312" w:hint="eastAsia"/>
          <w:sz w:val="32"/>
          <w:szCs w:val="32"/>
        </w:rPr>
        <w:t>缴费收入总额</w:t>
      </w:r>
      <w:r w:rsidR="00D601E0">
        <w:rPr>
          <w:rFonts w:ascii="仿宋_GB2312" w:eastAsia="仿宋_GB2312" w:hint="eastAsia"/>
          <w:sz w:val="32"/>
          <w:szCs w:val="32"/>
        </w:rPr>
        <w:t>39.95</w:t>
      </w:r>
      <w:r w:rsidRPr="00DA09A9">
        <w:rPr>
          <w:rFonts w:ascii="仿宋_GB2312" w:eastAsia="仿宋_GB2312" w:hint="eastAsia"/>
          <w:sz w:val="32"/>
          <w:szCs w:val="32"/>
        </w:rPr>
        <w:t>亿元，比上年增加</w:t>
      </w:r>
      <w:r w:rsidR="00D601E0">
        <w:rPr>
          <w:rFonts w:ascii="仿宋_GB2312" w:eastAsia="仿宋_GB2312" w:hint="eastAsia"/>
          <w:sz w:val="32"/>
          <w:szCs w:val="32"/>
        </w:rPr>
        <w:t>3.17</w:t>
      </w:r>
      <w:r w:rsidRPr="00DA09A9">
        <w:rPr>
          <w:rFonts w:ascii="仿宋_GB2312" w:eastAsia="仿宋_GB2312" w:hint="eastAsia"/>
          <w:sz w:val="32"/>
          <w:szCs w:val="32"/>
        </w:rPr>
        <w:t>亿元。主要原因</w:t>
      </w:r>
      <w:r w:rsidRPr="00DA09A9">
        <w:rPr>
          <w:rFonts w:ascii="仿宋_GB2312" w:eastAsia="仿宋_GB2312" w:hint="eastAsia"/>
          <w:b/>
          <w:sz w:val="32"/>
          <w:szCs w:val="32"/>
        </w:rPr>
        <w:t>一是</w:t>
      </w:r>
      <w:r>
        <w:rPr>
          <w:rFonts w:ascii="仿宋_GB2312" w:eastAsia="仿宋_GB2312" w:hint="eastAsia"/>
          <w:b/>
          <w:sz w:val="32"/>
          <w:szCs w:val="32"/>
        </w:rPr>
        <w:t>征缴基数稳步增长。</w:t>
      </w:r>
      <w:r>
        <w:rPr>
          <w:rFonts w:ascii="Calibri" w:eastAsia="仿宋_GB2312" w:hAnsi="Calibri" w:hint="eastAsia"/>
          <w:sz w:val="32"/>
          <w:szCs w:val="32"/>
        </w:rPr>
        <w:t>2021</w:t>
      </w:r>
      <w:r>
        <w:rPr>
          <w:rFonts w:ascii="Calibri" w:eastAsia="仿宋_GB2312" w:hAnsi="Calibri" w:hint="eastAsia"/>
          <w:sz w:val="32"/>
          <w:szCs w:val="32"/>
        </w:rPr>
        <w:t>年缴费基数为</w:t>
      </w:r>
      <w:r>
        <w:rPr>
          <w:rFonts w:ascii="Calibri" w:eastAsia="仿宋_GB2312" w:hAnsi="Calibri" w:hint="eastAsia"/>
          <w:sz w:val="32"/>
          <w:szCs w:val="32"/>
        </w:rPr>
        <w:t>5054</w:t>
      </w:r>
      <w:r>
        <w:rPr>
          <w:rFonts w:ascii="Calibri" w:eastAsia="仿宋_GB2312" w:hAnsi="Calibri" w:hint="eastAsia"/>
          <w:sz w:val="32"/>
          <w:szCs w:val="32"/>
        </w:rPr>
        <w:t>元</w:t>
      </w:r>
      <w:r>
        <w:rPr>
          <w:rFonts w:ascii="Calibri" w:eastAsia="仿宋_GB2312" w:hAnsi="Calibri"/>
          <w:sz w:val="32"/>
          <w:szCs w:val="32"/>
        </w:rPr>
        <w:t>/</w:t>
      </w:r>
      <w:r>
        <w:rPr>
          <w:rFonts w:ascii="Calibri" w:eastAsia="仿宋_GB2312" w:hAnsi="Calibri" w:hint="eastAsia"/>
          <w:sz w:val="32"/>
          <w:szCs w:val="32"/>
        </w:rPr>
        <w:t>人</w:t>
      </w:r>
      <w:r>
        <w:rPr>
          <w:rFonts w:ascii="Calibri" w:eastAsia="仿宋_GB2312" w:hAnsi="Calibri"/>
          <w:sz w:val="32"/>
          <w:szCs w:val="32"/>
        </w:rPr>
        <w:t>.</w:t>
      </w:r>
      <w:r>
        <w:rPr>
          <w:rFonts w:ascii="Calibri" w:eastAsia="仿宋_GB2312" w:hAnsi="Calibri" w:hint="eastAsia"/>
          <w:sz w:val="32"/>
          <w:szCs w:val="32"/>
        </w:rPr>
        <w:t>月</w:t>
      </w:r>
      <w:r w:rsidR="00D601E0">
        <w:rPr>
          <w:rFonts w:ascii="Calibri" w:eastAsia="仿宋_GB2312" w:hAnsi="Calibri" w:hint="eastAsia"/>
          <w:sz w:val="32"/>
          <w:szCs w:val="32"/>
        </w:rPr>
        <w:t>，</w:t>
      </w:r>
      <w:r w:rsidR="00D601E0">
        <w:rPr>
          <w:rFonts w:ascii="Calibri" w:eastAsia="仿宋_GB2312" w:hAnsi="Calibri" w:hint="eastAsia"/>
          <w:sz w:val="32"/>
          <w:szCs w:val="32"/>
        </w:rPr>
        <w:t>2022</w:t>
      </w:r>
      <w:r w:rsidR="00D601E0">
        <w:rPr>
          <w:rFonts w:ascii="Calibri" w:eastAsia="仿宋_GB2312" w:hAnsi="Calibri" w:hint="eastAsia"/>
          <w:sz w:val="32"/>
          <w:szCs w:val="32"/>
        </w:rPr>
        <w:t>缴费基数提高到</w:t>
      </w:r>
      <w:r w:rsidR="00D601E0">
        <w:rPr>
          <w:rFonts w:ascii="Calibri" w:eastAsia="仿宋_GB2312" w:hAnsi="Calibri" w:hint="eastAsia"/>
          <w:sz w:val="32"/>
          <w:szCs w:val="32"/>
        </w:rPr>
        <w:t>5977</w:t>
      </w:r>
      <w:r w:rsidR="00D601E0">
        <w:rPr>
          <w:rFonts w:ascii="Calibri" w:eastAsia="仿宋_GB2312" w:hAnsi="Calibri" w:hint="eastAsia"/>
          <w:sz w:val="32"/>
          <w:szCs w:val="32"/>
        </w:rPr>
        <w:t>元</w:t>
      </w:r>
      <w:r w:rsidR="00D601E0">
        <w:rPr>
          <w:rFonts w:ascii="Calibri" w:eastAsia="仿宋_GB2312" w:hAnsi="Calibri"/>
          <w:sz w:val="32"/>
          <w:szCs w:val="32"/>
        </w:rPr>
        <w:t>/</w:t>
      </w:r>
      <w:r w:rsidR="00D601E0">
        <w:rPr>
          <w:rFonts w:ascii="Calibri" w:eastAsia="仿宋_GB2312" w:hAnsi="Calibri" w:hint="eastAsia"/>
          <w:sz w:val="32"/>
          <w:szCs w:val="32"/>
        </w:rPr>
        <w:t>人</w:t>
      </w:r>
      <w:r w:rsidR="00D601E0">
        <w:rPr>
          <w:rFonts w:ascii="Calibri" w:eastAsia="仿宋_GB2312" w:hAnsi="Calibri" w:hint="eastAsia"/>
          <w:sz w:val="32"/>
          <w:szCs w:val="32"/>
        </w:rPr>
        <w:t>.</w:t>
      </w:r>
      <w:r w:rsidR="00D601E0">
        <w:rPr>
          <w:rFonts w:ascii="Calibri" w:eastAsia="仿宋_GB2312" w:hAnsi="Calibri" w:hint="eastAsia"/>
          <w:sz w:val="32"/>
          <w:szCs w:val="32"/>
        </w:rPr>
        <w:t>月</w:t>
      </w:r>
      <w:r>
        <w:rPr>
          <w:rFonts w:ascii="Calibri" w:eastAsia="仿宋_GB2312" w:hAnsi="Calibri" w:hint="eastAsia"/>
          <w:sz w:val="32"/>
          <w:szCs w:val="32"/>
        </w:rPr>
        <w:t>，提高</w:t>
      </w:r>
      <w:r w:rsidR="00D601E0">
        <w:rPr>
          <w:rFonts w:ascii="Calibri" w:eastAsia="仿宋_GB2312" w:hAnsi="Calibri" w:hint="eastAsia"/>
          <w:sz w:val="32"/>
          <w:szCs w:val="32"/>
        </w:rPr>
        <w:t>923</w:t>
      </w:r>
      <w:r>
        <w:rPr>
          <w:rFonts w:ascii="Calibri" w:eastAsia="仿宋_GB2312" w:hAnsi="Calibri" w:hint="eastAsia"/>
          <w:sz w:val="32"/>
          <w:szCs w:val="32"/>
        </w:rPr>
        <w:t>元</w:t>
      </w:r>
      <w:r>
        <w:rPr>
          <w:rFonts w:ascii="Calibri" w:eastAsia="仿宋_GB2312" w:hAnsi="Calibri"/>
          <w:sz w:val="32"/>
          <w:szCs w:val="32"/>
        </w:rPr>
        <w:t>/</w:t>
      </w:r>
      <w:r>
        <w:rPr>
          <w:rFonts w:ascii="Calibri" w:eastAsia="仿宋_GB2312" w:hAnsi="Calibri" w:hint="eastAsia"/>
          <w:sz w:val="32"/>
          <w:szCs w:val="32"/>
        </w:rPr>
        <w:t>人</w:t>
      </w:r>
      <w:r>
        <w:rPr>
          <w:rFonts w:ascii="Calibri" w:eastAsia="仿宋_GB2312" w:hAnsi="Calibri"/>
          <w:sz w:val="32"/>
          <w:szCs w:val="32"/>
        </w:rPr>
        <w:t>.</w:t>
      </w:r>
      <w:r>
        <w:rPr>
          <w:rFonts w:ascii="Calibri" w:eastAsia="仿宋_GB2312" w:hAnsi="Calibri" w:hint="eastAsia"/>
          <w:sz w:val="32"/>
          <w:szCs w:val="32"/>
        </w:rPr>
        <w:t>月。</w:t>
      </w:r>
      <w:r w:rsidR="00D601E0">
        <w:rPr>
          <w:rFonts w:ascii="Calibri" w:eastAsia="仿宋_GB2312" w:hAnsi="Calibri" w:hint="eastAsia"/>
          <w:b/>
          <w:sz w:val="32"/>
          <w:szCs w:val="32"/>
        </w:rPr>
        <w:t>二</w:t>
      </w:r>
      <w:r>
        <w:rPr>
          <w:rFonts w:ascii="Calibri" w:eastAsia="仿宋_GB2312" w:hAnsi="Calibri" w:hint="eastAsia"/>
          <w:b/>
          <w:sz w:val="32"/>
          <w:szCs w:val="32"/>
        </w:rPr>
        <w:t>是</w:t>
      </w:r>
      <w:r>
        <w:rPr>
          <w:rFonts w:ascii="仿宋_GB2312" w:eastAsia="仿宋_GB2312" w:hint="eastAsia"/>
          <w:b/>
          <w:sz w:val="32"/>
          <w:szCs w:val="32"/>
        </w:rPr>
        <w:t>参保人数减少。</w:t>
      </w:r>
      <w:r>
        <w:rPr>
          <w:rFonts w:ascii="仿宋_GB2312" w:eastAsia="仿宋_GB2312" w:hAnsi="宋体" w:hint="eastAsia"/>
          <w:spacing w:val="4"/>
          <w:kern w:val="0"/>
          <w:sz w:val="32"/>
          <w:szCs w:val="32"/>
        </w:rPr>
        <w:t>2021年全市参保人数72.74万人，较上年同期</w:t>
      </w:r>
      <w:r w:rsidR="00D601E0">
        <w:rPr>
          <w:rFonts w:ascii="仿宋_GB2312" w:eastAsia="仿宋_GB2312" w:hAnsi="宋体" w:hint="eastAsia"/>
          <w:spacing w:val="4"/>
          <w:kern w:val="0"/>
          <w:sz w:val="32"/>
          <w:szCs w:val="32"/>
        </w:rPr>
        <w:t>增加0.79</w:t>
      </w:r>
      <w:r>
        <w:rPr>
          <w:rFonts w:ascii="仿宋_GB2312" w:eastAsia="仿宋_GB2312" w:hAnsi="宋体" w:hint="eastAsia"/>
          <w:spacing w:val="4"/>
          <w:kern w:val="0"/>
          <w:sz w:val="32"/>
          <w:szCs w:val="32"/>
        </w:rPr>
        <w:t>万人。</w:t>
      </w:r>
    </w:p>
    <w:p w:rsidR="00C27119" w:rsidRDefault="00C27119" w:rsidP="00F31A6E">
      <w:pPr>
        <w:ind w:firstLineChars="172" w:firstLine="566"/>
        <w:jc w:val="left"/>
        <w:rPr>
          <w:rFonts w:ascii="仿宋_GB2312" w:eastAsia="仿宋_GB2312" w:hAnsi="宋体"/>
          <w:spacing w:val="4"/>
          <w:kern w:val="0"/>
          <w:sz w:val="32"/>
          <w:szCs w:val="32"/>
        </w:rPr>
      </w:pPr>
      <w:r>
        <w:rPr>
          <w:rFonts w:ascii="仿宋_GB2312" w:eastAsia="仿宋_GB2312" w:hAnsi="宋体" w:hint="eastAsia"/>
          <w:b/>
          <w:spacing w:val="4"/>
          <w:kern w:val="0"/>
          <w:sz w:val="32"/>
          <w:szCs w:val="32"/>
        </w:rPr>
        <w:t>（2）</w:t>
      </w:r>
      <w:r>
        <w:rPr>
          <w:rFonts w:ascii="Calibri" w:eastAsia="仿宋_GB2312" w:hAnsi="Calibri" w:hint="eastAsia"/>
          <w:b/>
          <w:spacing w:val="4"/>
          <w:kern w:val="0"/>
          <w:sz w:val="32"/>
          <w:szCs w:val="32"/>
        </w:rPr>
        <w:t>计提</w:t>
      </w:r>
      <w:r>
        <w:rPr>
          <w:rFonts w:ascii="仿宋_GB2312" w:eastAsia="仿宋_GB2312" w:hAnsi="宋体" w:hint="eastAsia"/>
          <w:b/>
          <w:spacing w:val="4"/>
          <w:kern w:val="0"/>
          <w:sz w:val="32"/>
          <w:szCs w:val="32"/>
        </w:rPr>
        <w:t>风险储备金</w:t>
      </w:r>
      <w:r w:rsidR="00D601E0">
        <w:rPr>
          <w:rFonts w:ascii="仿宋_GB2312" w:eastAsia="仿宋_GB2312" w:hAnsi="宋体" w:hint="eastAsia"/>
          <w:b/>
          <w:spacing w:val="4"/>
          <w:kern w:val="0"/>
          <w:sz w:val="32"/>
          <w:szCs w:val="32"/>
        </w:rPr>
        <w:t>1.67</w:t>
      </w:r>
      <w:r>
        <w:rPr>
          <w:rFonts w:ascii="仿宋_GB2312" w:eastAsia="仿宋_GB2312" w:hAnsi="宋体" w:hint="eastAsia"/>
          <w:b/>
          <w:spacing w:val="4"/>
          <w:kern w:val="0"/>
          <w:sz w:val="32"/>
          <w:szCs w:val="32"/>
        </w:rPr>
        <w:t>亿元。为</w:t>
      </w:r>
      <w:r>
        <w:rPr>
          <w:rFonts w:ascii="仿宋_GB2312" w:eastAsia="仿宋_GB2312" w:hAnsi="宋体" w:hint="eastAsia"/>
          <w:spacing w:val="4"/>
          <w:kern w:val="0"/>
          <w:sz w:val="32"/>
          <w:szCs w:val="32"/>
        </w:rPr>
        <w:t>市本级及各县市区上解风险储备金。</w:t>
      </w:r>
    </w:p>
    <w:p w:rsidR="00C27119" w:rsidRDefault="00C27119" w:rsidP="00F31A6E">
      <w:pPr>
        <w:ind w:firstLineChars="150" w:firstLine="482"/>
        <w:jc w:val="left"/>
        <w:rPr>
          <w:rFonts w:ascii="仿宋_GB2312" w:eastAsia="仿宋_GB2312" w:hAnsi="宋体"/>
          <w:spacing w:val="4"/>
          <w:kern w:val="0"/>
          <w:sz w:val="32"/>
          <w:szCs w:val="32"/>
        </w:rPr>
      </w:pPr>
      <w:r>
        <w:rPr>
          <w:rFonts w:ascii="仿宋_GB2312" w:eastAsia="仿宋_GB2312" w:hint="eastAsia"/>
          <w:b/>
          <w:sz w:val="32"/>
          <w:szCs w:val="32"/>
        </w:rPr>
        <w:t>（3）城乡居民</w:t>
      </w:r>
      <w:r w:rsidRPr="00980A91">
        <w:rPr>
          <w:rFonts w:ascii="仿宋_GB2312" w:eastAsia="仿宋_GB2312" w:hint="eastAsia"/>
          <w:b/>
          <w:sz w:val="32"/>
          <w:szCs w:val="32"/>
        </w:rPr>
        <w:t>个人缴费标准和财政补助标准提高。</w:t>
      </w:r>
      <w:r w:rsidR="00E355A8" w:rsidRPr="00980A91">
        <w:rPr>
          <w:rFonts w:ascii="仿宋_GB2312" w:eastAsia="仿宋_GB2312" w:hint="eastAsia"/>
          <w:sz w:val="32"/>
          <w:szCs w:val="32"/>
        </w:rPr>
        <w:t>2022</w:t>
      </w:r>
      <w:r w:rsidRPr="00980A91">
        <w:rPr>
          <w:rFonts w:ascii="仿宋_GB2312" w:eastAsia="仿宋_GB2312" w:hint="eastAsia"/>
          <w:sz w:val="32"/>
          <w:szCs w:val="32"/>
        </w:rPr>
        <w:t>年全市居民医保个人缴费标准为</w:t>
      </w:r>
      <w:r w:rsidR="00EA7382" w:rsidRPr="00980A91">
        <w:rPr>
          <w:rFonts w:ascii="仿宋_GB2312" w:eastAsia="仿宋_GB2312" w:hint="eastAsia"/>
          <w:sz w:val="32"/>
          <w:szCs w:val="32"/>
        </w:rPr>
        <w:t>350</w:t>
      </w:r>
      <w:r w:rsidRPr="00980A91">
        <w:rPr>
          <w:rFonts w:ascii="仿宋_GB2312" w:eastAsia="仿宋_GB2312" w:hint="eastAsia"/>
          <w:sz w:val="32"/>
          <w:szCs w:val="32"/>
        </w:rPr>
        <w:t>元/人，比上年（</w:t>
      </w:r>
      <w:r w:rsidR="00EA7382" w:rsidRPr="00980A91">
        <w:rPr>
          <w:rFonts w:ascii="仿宋_GB2312" w:eastAsia="仿宋_GB2312" w:hint="eastAsia"/>
          <w:sz w:val="32"/>
          <w:szCs w:val="32"/>
        </w:rPr>
        <w:t>320</w:t>
      </w:r>
      <w:r w:rsidRPr="00980A91">
        <w:rPr>
          <w:rFonts w:ascii="仿宋_GB2312" w:eastAsia="仿宋_GB2312" w:hint="eastAsia"/>
          <w:sz w:val="32"/>
          <w:szCs w:val="32"/>
        </w:rPr>
        <w:t>元/人）增加了</w:t>
      </w:r>
      <w:r w:rsidR="005221BC" w:rsidRPr="00980A91">
        <w:rPr>
          <w:rFonts w:ascii="仿宋_GB2312" w:eastAsia="仿宋_GB2312"/>
          <w:sz w:val="32"/>
          <w:szCs w:val="32"/>
        </w:rPr>
        <w:t>30</w:t>
      </w:r>
      <w:r w:rsidRPr="00980A91">
        <w:rPr>
          <w:rFonts w:ascii="仿宋_GB2312" w:eastAsia="仿宋_GB2312" w:hint="eastAsia"/>
          <w:sz w:val="32"/>
          <w:szCs w:val="32"/>
        </w:rPr>
        <w:t>元/人；</w:t>
      </w:r>
      <w:r w:rsidR="00E355A8" w:rsidRPr="00980A91">
        <w:rPr>
          <w:rFonts w:ascii="仿宋_GB2312" w:eastAsia="仿宋_GB2312" w:hint="eastAsia"/>
          <w:sz w:val="32"/>
          <w:szCs w:val="32"/>
        </w:rPr>
        <w:t>2022</w:t>
      </w:r>
      <w:r w:rsidRPr="00980A91">
        <w:rPr>
          <w:rFonts w:ascii="仿宋_GB2312" w:eastAsia="仿宋_GB2312" w:hint="eastAsia"/>
          <w:sz w:val="32"/>
          <w:szCs w:val="32"/>
        </w:rPr>
        <w:t>年人均财政补助标准为</w:t>
      </w:r>
      <w:r w:rsidR="00EA7382" w:rsidRPr="00980A91">
        <w:rPr>
          <w:rFonts w:ascii="仿宋_GB2312" w:eastAsia="仿宋_GB2312" w:hint="eastAsia"/>
          <w:sz w:val="32"/>
          <w:szCs w:val="32"/>
        </w:rPr>
        <w:t>610</w:t>
      </w:r>
      <w:r w:rsidRPr="00980A91">
        <w:rPr>
          <w:rFonts w:ascii="仿宋_GB2312" w:eastAsia="仿宋_GB2312" w:hint="eastAsia"/>
          <w:sz w:val="32"/>
          <w:szCs w:val="32"/>
        </w:rPr>
        <w:t>元/人，比</w:t>
      </w:r>
      <w:r w:rsidRPr="00420BCC">
        <w:rPr>
          <w:rFonts w:ascii="仿宋_GB2312" w:eastAsia="仿宋_GB2312" w:hint="eastAsia"/>
          <w:sz w:val="32"/>
          <w:szCs w:val="32"/>
        </w:rPr>
        <w:t>上年（5</w:t>
      </w:r>
      <w:r w:rsidR="00EA7382">
        <w:rPr>
          <w:rFonts w:ascii="仿宋_GB2312" w:eastAsia="仿宋_GB2312" w:hint="eastAsia"/>
          <w:sz w:val="32"/>
          <w:szCs w:val="32"/>
        </w:rPr>
        <w:t>8</w:t>
      </w:r>
      <w:r w:rsidRPr="00420BCC">
        <w:rPr>
          <w:rFonts w:ascii="仿宋_GB2312" w:eastAsia="仿宋_GB2312" w:hint="eastAsia"/>
          <w:sz w:val="32"/>
          <w:szCs w:val="32"/>
        </w:rPr>
        <w:t>0元/人）增加了30元/人。目前从账面上看城乡居民征</w:t>
      </w:r>
      <w:r>
        <w:rPr>
          <w:rFonts w:ascii="仿宋_GB2312" w:eastAsia="仿宋_GB2312" w:hint="eastAsia"/>
          <w:sz w:val="32"/>
          <w:szCs w:val="32"/>
        </w:rPr>
        <w:t>缴收入较去年</w:t>
      </w:r>
      <w:r w:rsidR="00EA7382">
        <w:rPr>
          <w:rFonts w:ascii="仿宋_GB2312" w:eastAsia="仿宋_GB2312" w:hint="eastAsia"/>
          <w:sz w:val="32"/>
          <w:szCs w:val="32"/>
        </w:rPr>
        <w:t>增加8.47</w:t>
      </w:r>
      <w:r>
        <w:rPr>
          <w:rFonts w:ascii="仿宋_GB2312" w:eastAsia="仿宋_GB2312" w:hint="eastAsia"/>
          <w:sz w:val="32"/>
          <w:szCs w:val="32"/>
        </w:rPr>
        <w:t>%，</w:t>
      </w:r>
      <w:r w:rsidR="005221BC">
        <w:rPr>
          <w:rFonts w:asciiTheme="minorHAnsi" w:eastAsia="仿宋_GB2312" w:hAnsiTheme="minorHAnsi" w:hint="eastAsia"/>
          <w:sz w:val="32"/>
          <w:szCs w:val="32"/>
        </w:rPr>
        <w:t>主要原因：</w:t>
      </w:r>
      <w:r>
        <w:rPr>
          <w:rFonts w:ascii="仿宋_GB2312" w:eastAsia="仿宋_GB2312" w:hint="eastAsia"/>
          <w:sz w:val="32"/>
          <w:szCs w:val="32"/>
        </w:rPr>
        <w:t>一是个人缴费以及财政补助提高，增加征缴收入，二是</w:t>
      </w:r>
      <w:r w:rsidR="00EA7382">
        <w:rPr>
          <w:rFonts w:ascii="仿宋_GB2312" w:eastAsia="仿宋_GB2312" w:hAnsi="宋体" w:hint="eastAsia"/>
          <w:spacing w:val="4"/>
          <w:kern w:val="0"/>
          <w:sz w:val="32"/>
          <w:szCs w:val="32"/>
        </w:rPr>
        <w:t>2021年个人缴费延期到2022年</w:t>
      </w:r>
      <w:r w:rsidR="00EA7382">
        <w:rPr>
          <w:rFonts w:ascii="仿宋_GB2312" w:eastAsia="仿宋_GB2312" w:hAnsi="宋体" w:hint="eastAsia"/>
          <w:spacing w:val="4"/>
          <w:kern w:val="0"/>
          <w:sz w:val="32"/>
          <w:szCs w:val="32"/>
        </w:rPr>
        <w:lastRenderedPageBreak/>
        <w:t>3月底</w:t>
      </w:r>
      <w:r>
        <w:rPr>
          <w:rFonts w:ascii="仿宋_GB2312" w:eastAsia="仿宋_GB2312" w:hAnsi="宋体" w:hint="eastAsia"/>
          <w:spacing w:val="4"/>
          <w:kern w:val="0"/>
          <w:sz w:val="32"/>
          <w:szCs w:val="32"/>
        </w:rPr>
        <w:t>。</w:t>
      </w:r>
    </w:p>
    <w:p w:rsidR="00C27119" w:rsidRPr="00980A91" w:rsidRDefault="00C27119" w:rsidP="00F31A6E">
      <w:pPr>
        <w:ind w:leftChars="36" w:left="76" w:firstLineChars="200" w:firstLine="643"/>
        <w:jc w:val="left"/>
        <w:rPr>
          <w:rFonts w:ascii="仿宋_GB2312" w:eastAsia="仿宋_GB2312"/>
          <w:b/>
          <w:sz w:val="32"/>
          <w:szCs w:val="32"/>
        </w:rPr>
      </w:pPr>
      <w:r w:rsidRPr="00980A91">
        <w:rPr>
          <w:rFonts w:ascii="仿宋_GB2312" w:eastAsia="仿宋_GB2312" w:hint="eastAsia"/>
          <w:b/>
          <w:sz w:val="32"/>
          <w:szCs w:val="32"/>
        </w:rPr>
        <w:t>3</w:t>
      </w:r>
      <w:r w:rsidR="0062365F" w:rsidRPr="00980A91">
        <w:rPr>
          <w:rFonts w:ascii="仿宋_GB2312" w:eastAsia="仿宋_GB2312" w:hint="eastAsia"/>
          <w:b/>
          <w:sz w:val="32"/>
          <w:szCs w:val="32"/>
        </w:rPr>
        <w:t>.</w:t>
      </w:r>
      <w:r w:rsidRPr="00980A91">
        <w:rPr>
          <w:rFonts w:ascii="仿宋_GB2312" w:eastAsia="仿宋_GB2312" w:hint="eastAsia"/>
          <w:b/>
          <w:sz w:val="32"/>
          <w:szCs w:val="32"/>
        </w:rPr>
        <w:t>收入预算执行情况分析</w:t>
      </w:r>
    </w:p>
    <w:p w:rsidR="00C27119" w:rsidRPr="00FB142F" w:rsidRDefault="00C27119">
      <w:pPr>
        <w:ind w:firstLineChars="150" w:firstLine="480"/>
        <w:jc w:val="left"/>
        <w:rPr>
          <w:rFonts w:ascii="仿宋_GB2312" w:eastAsia="仿宋_GB2312"/>
          <w:sz w:val="32"/>
          <w:szCs w:val="32"/>
        </w:rPr>
      </w:pPr>
      <w:r w:rsidRPr="00980A91">
        <w:rPr>
          <w:rFonts w:ascii="仿宋_GB2312" w:eastAsia="仿宋_GB2312" w:hint="eastAsia"/>
          <w:sz w:val="32"/>
          <w:szCs w:val="32"/>
        </w:rPr>
        <w:t>20</w:t>
      </w:r>
      <w:r w:rsidRPr="00980A91">
        <w:rPr>
          <w:rFonts w:ascii="仿宋_GB2312" w:eastAsia="仿宋_GB2312"/>
          <w:sz w:val="32"/>
          <w:szCs w:val="32"/>
        </w:rPr>
        <w:t>2</w:t>
      </w:r>
      <w:r w:rsidR="00E355A8" w:rsidRPr="00980A91">
        <w:rPr>
          <w:rFonts w:ascii="仿宋_GB2312" w:eastAsia="仿宋_GB2312" w:hint="eastAsia"/>
          <w:sz w:val="32"/>
          <w:szCs w:val="32"/>
        </w:rPr>
        <w:t>2</w:t>
      </w:r>
      <w:r w:rsidRPr="00980A91">
        <w:rPr>
          <w:rFonts w:ascii="仿宋_GB2312" w:eastAsia="仿宋_GB2312" w:hint="eastAsia"/>
          <w:sz w:val="32"/>
          <w:szCs w:val="32"/>
        </w:rPr>
        <w:t>年度全市城镇职工医保、居民医保基金预算收入执行率分别为</w:t>
      </w:r>
      <w:r w:rsidR="00DE778C" w:rsidRPr="00980A91">
        <w:rPr>
          <w:rFonts w:ascii="仿宋_GB2312" w:eastAsia="仿宋_GB2312" w:hint="eastAsia"/>
          <w:sz w:val="32"/>
          <w:szCs w:val="32"/>
        </w:rPr>
        <w:t>127.46</w:t>
      </w:r>
      <w:r w:rsidRPr="00980A91">
        <w:rPr>
          <w:rFonts w:ascii="仿宋_GB2312" w:eastAsia="仿宋_GB2312"/>
          <w:sz w:val="32"/>
          <w:szCs w:val="32"/>
        </w:rPr>
        <w:t>%</w:t>
      </w:r>
      <w:r w:rsidRPr="00980A91">
        <w:rPr>
          <w:rFonts w:ascii="仿宋_GB2312" w:eastAsia="仿宋_GB2312" w:hint="eastAsia"/>
          <w:sz w:val="32"/>
          <w:szCs w:val="32"/>
        </w:rPr>
        <w:t>、</w:t>
      </w:r>
      <w:r w:rsidR="00DE778C" w:rsidRPr="00980A91">
        <w:rPr>
          <w:rFonts w:ascii="仿宋_GB2312" w:eastAsia="仿宋_GB2312" w:hint="eastAsia"/>
          <w:sz w:val="32"/>
          <w:szCs w:val="32"/>
        </w:rPr>
        <w:t>110.</w:t>
      </w:r>
      <w:r w:rsidRPr="00980A91">
        <w:rPr>
          <w:rFonts w:ascii="仿宋_GB2312" w:eastAsia="仿宋_GB2312" w:hint="eastAsia"/>
          <w:sz w:val="32"/>
          <w:szCs w:val="32"/>
        </w:rPr>
        <w:t>7</w:t>
      </w:r>
      <w:r w:rsidR="00DE778C" w:rsidRPr="00980A91">
        <w:rPr>
          <w:rFonts w:ascii="仿宋_GB2312" w:eastAsia="仿宋_GB2312" w:hint="eastAsia"/>
          <w:sz w:val="32"/>
          <w:szCs w:val="32"/>
        </w:rPr>
        <w:t>2</w:t>
      </w:r>
      <w:r w:rsidRPr="00980A91">
        <w:rPr>
          <w:rFonts w:ascii="仿宋_GB2312" w:eastAsia="仿宋_GB2312" w:hint="eastAsia"/>
          <w:sz w:val="32"/>
          <w:szCs w:val="32"/>
        </w:rPr>
        <w:t>%，保险费收入预算执行率分别为</w:t>
      </w:r>
      <w:r w:rsidR="00DE778C" w:rsidRPr="00980A91">
        <w:rPr>
          <w:rFonts w:ascii="仿宋_GB2312" w:eastAsia="仿宋_GB2312" w:hint="eastAsia"/>
          <w:sz w:val="32"/>
          <w:szCs w:val="32"/>
        </w:rPr>
        <w:t>106.39</w:t>
      </w:r>
      <w:r w:rsidRPr="00980A91">
        <w:rPr>
          <w:rFonts w:ascii="仿宋_GB2312" w:eastAsia="仿宋_GB2312" w:hint="eastAsia"/>
          <w:sz w:val="32"/>
          <w:szCs w:val="32"/>
        </w:rPr>
        <w:t>%、</w:t>
      </w:r>
      <w:r w:rsidR="00DE778C" w:rsidRPr="00980A91">
        <w:rPr>
          <w:rFonts w:ascii="仿宋_GB2312" w:eastAsia="仿宋_GB2312" w:hint="eastAsia"/>
          <w:sz w:val="32"/>
          <w:szCs w:val="32"/>
        </w:rPr>
        <w:t>110.53</w:t>
      </w:r>
      <w:r w:rsidRPr="00980A91">
        <w:rPr>
          <w:rFonts w:ascii="仿宋_GB2312" w:eastAsia="仿宋_GB2312" w:hint="eastAsia"/>
          <w:sz w:val="32"/>
          <w:szCs w:val="32"/>
        </w:rPr>
        <w:t>%。如按上下浮动5个百分点的控</w:t>
      </w:r>
      <w:r w:rsidRPr="0062365F">
        <w:rPr>
          <w:rFonts w:ascii="仿宋_GB2312" w:eastAsia="仿宋_GB2312" w:hint="eastAsia"/>
          <w:sz w:val="32"/>
          <w:szCs w:val="32"/>
        </w:rPr>
        <w:t>制标准来评价预算执行情况的话，职工医保</w:t>
      </w:r>
      <w:r w:rsidRPr="0062365F">
        <w:rPr>
          <w:rFonts w:ascii="Calibri" w:eastAsia="仿宋_GB2312" w:hAnsi="Calibri"/>
          <w:sz w:val="32"/>
          <w:szCs w:val="32"/>
        </w:rPr>
        <w:t>(</w:t>
      </w:r>
      <w:r w:rsidRPr="0062365F">
        <w:rPr>
          <w:rFonts w:ascii="Calibri" w:eastAsia="仿宋_GB2312" w:hAnsi="Calibri" w:hint="eastAsia"/>
          <w:sz w:val="32"/>
          <w:szCs w:val="32"/>
        </w:rPr>
        <w:t>含</w:t>
      </w:r>
      <w:r w:rsidRPr="0062365F">
        <w:rPr>
          <w:rFonts w:ascii="仿宋_GB2312" w:eastAsia="仿宋_GB2312" w:hint="eastAsia"/>
          <w:sz w:val="32"/>
          <w:szCs w:val="32"/>
        </w:rPr>
        <w:t>生育保险</w:t>
      </w:r>
      <w:r w:rsidRPr="0062365F">
        <w:rPr>
          <w:rFonts w:ascii="Calibri" w:eastAsia="仿宋_GB2312" w:hAnsi="Calibri"/>
          <w:sz w:val="32"/>
          <w:szCs w:val="32"/>
        </w:rPr>
        <w:t>)</w:t>
      </w:r>
      <w:r w:rsidRPr="0062365F">
        <w:rPr>
          <w:rFonts w:ascii="仿宋_GB2312" w:eastAsia="仿宋_GB2312" w:hint="eastAsia"/>
          <w:sz w:val="32"/>
          <w:szCs w:val="32"/>
        </w:rPr>
        <w:t>基金预</w:t>
      </w:r>
      <w:r>
        <w:rPr>
          <w:rFonts w:ascii="仿宋_GB2312" w:eastAsia="仿宋_GB2312" w:hint="eastAsia"/>
          <w:sz w:val="32"/>
          <w:szCs w:val="32"/>
        </w:rPr>
        <w:t>算收支执行比率</w:t>
      </w:r>
      <w:r w:rsidR="00EA7382">
        <w:rPr>
          <w:rFonts w:ascii="仿宋_GB2312" w:eastAsia="仿宋_GB2312" w:hint="eastAsia"/>
          <w:sz w:val="32"/>
          <w:szCs w:val="32"/>
        </w:rPr>
        <w:t>超</w:t>
      </w:r>
      <w:r>
        <w:rPr>
          <w:rFonts w:ascii="仿宋_GB2312" w:eastAsia="仿宋_GB2312" w:hint="eastAsia"/>
          <w:sz w:val="32"/>
          <w:szCs w:val="32"/>
        </w:rPr>
        <w:t>5%</w:t>
      </w:r>
      <w:r w:rsidR="00EA7382">
        <w:rPr>
          <w:rFonts w:ascii="仿宋_GB2312" w:eastAsia="仿宋_GB2312" w:hint="eastAsia"/>
          <w:sz w:val="32"/>
          <w:szCs w:val="32"/>
        </w:rPr>
        <w:t>主要</w:t>
      </w:r>
      <w:r w:rsidR="0051185E">
        <w:rPr>
          <w:rFonts w:ascii="仿宋_GB2312" w:eastAsia="仿宋_GB2312" w:hint="eastAsia"/>
          <w:sz w:val="32"/>
          <w:szCs w:val="32"/>
        </w:rPr>
        <w:t>原因：一</w:t>
      </w:r>
      <w:r w:rsidR="00EA7382">
        <w:rPr>
          <w:rFonts w:ascii="仿宋_GB2312" w:eastAsia="仿宋_GB2312" w:hint="eastAsia"/>
          <w:sz w:val="32"/>
          <w:szCs w:val="32"/>
        </w:rPr>
        <w:t>是个人账户增加两年补助款共计3.35</w:t>
      </w:r>
      <w:r w:rsidR="00EA7382">
        <w:rPr>
          <w:rFonts w:asciiTheme="minorHAnsi" w:eastAsia="仿宋_GB2312" w:hAnsiTheme="minorHAnsi" w:hint="eastAsia"/>
          <w:sz w:val="32"/>
          <w:szCs w:val="32"/>
        </w:rPr>
        <w:t>亿元</w:t>
      </w:r>
      <w:r w:rsidR="0051185E">
        <w:rPr>
          <w:rFonts w:asciiTheme="minorHAnsi" w:eastAsia="仿宋_GB2312" w:hAnsiTheme="minorHAnsi" w:hint="eastAsia"/>
          <w:sz w:val="32"/>
          <w:szCs w:val="32"/>
        </w:rPr>
        <w:t>，二是</w:t>
      </w:r>
      <w:r w:rsidR="00FB142F">
        <w:rPr>
          <w:rFonts w:asciiTheme="minorHAnsi" w:eastAsia="仿宋_GB2312" w:hAnsiTheme="minorHAnsi" w:hint="eastAsia"/>
          <w:sz w:val="32"/>
          <w:szCs w:val="32"/>
        </w:rPr>
        <w:t>计提风险储备金</w:t>
      </w:r>
      <w:r w:rsidR="00FB142F">
        <w:rPr>
          <w:rFonts w:asciiTheme="minorHAnsi" w:eastAsia="仿宋_GB2312" w:hAnsiTheme="minorHAnsi" w:hint="eastAsia"/>
          <w:sz w:val="32"/>
          <w:szCs w:val="32"/>
        </w:rPr>
        <w:t>1.67</w:t>
      </w:r>
      <w:r w:rsidR="00FB142F">
        <w:rPr>
          <w:rFonts w:asciiTheme="minorHAnsi" w:eastAsia="仿宋_GB2312" w:hAnsiTheme="minorHAnsi" w:hint="eastAsia"/>
          <w:sz w:val="32"/>
          <w:szCs w:val="32"/>
        </w:rPr>
        <w:t>亿元，三是</w:t>
      </w:r>
      <w:r w:rsidR="00FB142F">
        <w:rPr>
          <w:rFonts w:ascii="Calibri" w:eastAsia="仿宋_GB2312" w:hAnsi="Calibri" w:hint="eastAsia"/>
          <w:sz w:val="32"/>
          <w:szCs w:val="32"/>
        </w:rPr>
        <w:t>2022</w:t>
      </w:r>
      <w:r w:rsidR="00FB142F">
        <w:rPr>
          <w:rFonts w:ascii="Calibri" w:eastAsia="仿宋_GB2312" w:hAnsi="Calibri" w:hint="eastAsia"/>
          <w:sz w:val="32"/>
          <w:szCs w:val="32"/>
        </w:rPr>
        <w:t>缴费基数从</w:t>
      </w:r>
      <w:r w:rsidR="00FB142F">
        <w:rPr>
          <w:rFonts w:ascii="Calibri" w:eastAsia="仿宋_GB2312" w:hAnsi="Calibri" w:hint="eastAsia"/>
          <w:sz w:val="32"/>
          <w:szCs w:val="32"/>
        </w:rPr>
        <w:t>9</w:t>
      </w:r>
      <w:r w:rsidR="00FB142F">
        <w:rPr>
          <w:rFonts w:ascii="Calibri" w:eastAsia="仿宋_GB2312" w:hAnsi="Calibri" w:hint="eastAsia"/>
          <w:sz w:val="32"/>
          <w:szCs w:val="32"/>
        </w:rPr>
        <w:t>月提高到</w:t>
      </w:r>
      <w:r w:rsidR="00FB142F">
        <w:rPr>
          <w:rFonts w:ascii="Calibri" w:eastAsia="仿宋_GB2312" w:hAnsi="Calibri" w:hint="eastAsia"/>
          <w:sz w:val="32"/>
          <w:szCs w:val="32"/>
        </w:rPr>
        <w:t>5977</w:t>
      </w:r>
      <w:r w:rsidR="00FB142F">
        <w:rPr>
          <w:rFonts w:ascii="Calibri" w:eastAsia="仿宋_GB2312" w:hAnsi="Calibri" w:hint="eastAsia"/>
          <w:sz w:val="32"/>
          <w:szCs w:val="32"/>
        </w:rPr>
        <w:t>元</w:t>
      </w:r>
      <w:r w:rsidR="00FB142F">
        <w:rPr>
          <w:rFonts w:ascii="Calibri" w:eastAsia="仿宋_GB2312" w:hAnsi="Calibri"/>
          <w:sz w:val="32"/>
          <w:szCs w:val="32"/>
        </w:rPr>
        <w:t>/</w:t>
      </w:r>
      <w:r w:rsidR="00FB142F">
        <w:rPr>
          <w:rFonts w:ascii="Calibri" w:eastAsia="仿宋_GB2312" w:hAnsi="Calibri" w:hint="eastAsia"/>
          <w:sz w:val="32"/>
          <w:szCs w:val="32"/>
        </w:rPr>
        <w:t>人</w:t>
      </w:r>
      <w:r w:rsidR="00FB142F">
        <w:rPr>
          <w:rFonts w:ascii="Calibri" w:eastAsia="仿宋_GB2312" w:hAnsi="Calibri" w:hint="eastAsia"/>
          <w:sz w:val="32"/>
          <w:szCs w:val="32"/>
        </w:rPr>
        <w:t>.</w:t>
      </w:r>
      <w:r w:rsidR="00FB142F">
        <w:rPr>
          <w:rFonts w:ascii="Calibri" w:eastAsia="仿宋_GB2312" w:hAnsi="Calibri" w:hint="eastAsia"/>
          <w:sz w:val="32"/>
          <w:szCs w:val="32"/>
        </w:rPr>
        <w:t>月，提高</w:t>
      </w:r>
      <w:r w:rsidR="00FB142F">
        <w:rPr>
          <w:rFonts w:ascii="Calibri" w:eastAsia="仿宋_GB2312" w:hAnsi="Calibri" w:hint="eastAsia"/>
          <w:sz w:val="32"/>
          <w:szCs w:val="32"/>
        </w:rPr>
        <w:t>923</w:t>
      </w:r>
      <w:r w:rsidR="00FB142F">
        <w:rPr>
          <w:rFonts w:ascii="Calibri" w:eastAsia="仿宋_GB2312" w:hAnsi="Calibri" w:hint="eastAsia"/>
          <w:sz w:val="32"/>
          <w:szCs w:val="32"/>
        </w:rPr>
        <w:t>元</w:t>
      </w:r>
      <w:r w:rsidR="00FB142F">
        <w:rPr>
          <w:rFonts w:ascii="Calibri" w:eastAsia="仿宋_GB2312" w:hAnsi="Calibri"/>
          <w:sz w:val="32"/>
          <w:szCs w:val="32"/>
        </w:rPr>
        <w:t>/</w:t>
      </w:r>
      <w:r w:rsidR="00FB142F">
        <w:rPr>
          <w:rFonts w:ascii="Calibri" w:eastAsia="仿宋_GB2312" w:hAnsi="Calibri" w:hint="eastAsia"/>
          <w:sz w:val="32"/>
          <w:szCs w:val="32"/>
        </w:rPr>
        <w:t>人</w:t>
      </w:r>
      <w:r w:rsidR="00FB142F">
        <w:rPr>
          <w:rFonts w:ascii="Calibri" w:eastAsia="仿宋_GB2312" w:hAnsi="Calibri"/>
          <w:sz w:val="32"/>
          <w:szCs w:val="32"/>
        </w:rPr>
        <w:t>.</w:t>
      </w:r>
      <w:r w:rsidR="00FB142F">
        <w:rPr>
          <w:rFonts w:ascii="Calibri" w:eastAsia="仿宋_GB2312" w:hAnsi="Calibri" w:hint="eastAsia"/>
          <w:sz w:val="32"/>
          <w:szCs w:val="32"/>
        </w:rPr>
        <w:t>月。</w:t>
      </w:r>
      <w:r>
        <w:rPr>
          <w:rFonts w:ascii="仿宋_GB2312" w:eastAsia="仿宋_GB2312" w:hint="eastAsia"/>
          <w:sz w:val="32"/>
          <w:szCs w:val="32"/>
        </w:rPr>
        <w:t>城乡居民收入增长主要原因：一是个人缴费以及财政补助提高，</w:t>
      </w:r>
      <w:r w:rsidR="00FB142F" w:rsidRPr="00FB142F">
        <w:rPr>
          <w:rFonts w:ascii="仿宋_GB2312" w:eastAsia="仿宋_GB2312" w:hint="eastAsia"/>
          <w:sz w:val="32"/>
          <w:szCs w:val="32"/>
        </w:rPr>
        <w:t>2022</w:t>
      </w:r>
      <w:r w:rsidR="00FB142F" w:rsidRPr="00420BCC">
        <w:rPr>
          <w:rFonts w:ascii="仿宋_GB2312" w:eastAsia="仿宋_GB2312" w:hint="eastAsia"/>
          <w:sz w:val="32"/>
          <w:szCs w:val="32"/>
        </w:rPr>
        <w:t>年全市居民医保个人缴费标准为</w:t>
      </w:r>
      <w:r w:rsidR="00FB142F" w:rsidRPr="00FB142F">
        <w:rPr>
          <w:rFonts w:ascii="仿宋_GB2312" w:eastAsia="仿宋_GB2312" w:hint="eastAsia"/>
          <w:sz w:val="32"/>
          <w:szCs w:val="32"/>
        </w:rPr>
        <w:t>350元/人</w:t>
      </w:r>
      <w:r w:rsidR="00FB142F" w:rsidRPr="00420BCC">
        <w:rPr>
          <w:rFonts w:ascii="仿宋_GB2312" w:eastAsia="仿宋_GB2312" w:hint="eastAsia"/>
          <w:sz w:val="32"/>
          <w:szCs w:val="32"/>
        </w:rPr>
        <w:t>，比上年（</w:t>
      </w:r>
      <w:r w:rsidR="00FB142F" w:rsidRPr="00FB142F">
        <w:rPr>
          <w:rFonts w:ascii="仿宋_GB2312" w:eastAsia="仿宋_GB2312" w:hint="eastAsia"/>
          <w:sz w:val="32"/>
          <w:szCs w:val="32"/>
        </w:rPr>
        <w:t>320元/人</w:t>
      </w:r>
      <w:r w:rsidR="00FB142F" w:rsidRPr="00420BCC">
        <w:rPr>
          <w:rFonts w:ascii="仿宋_GB2312" w:eastAsia="仿宋_GB2312" w:hint="eastAsia"/>
          <w:sz w:val="32"/>
          <w:szCs w:val="32"/>
        </w:rPr>
        <w:t>）增加了</w:t>
      </w:r>
      <w:r w:rsidR="005221BC">
        <w:rPr>
          <w:rFonts w:ascii="仿宋_GB2312" w:eastAsia="仿宋_GB2312" w:hint="eastAsia"/>
          <w:sz w:val="32"/>
          <w:szCs w:val="32"/>
        </w:rPr>
        <w:t>30</w:t>
      </w:r>
      <w:r w:rsidR="00FB142F" w:rsidRPr="00420BCC">
        <w:rPr>
          <w:rFonts w:ascii="仿宋_GB2312" w:eastAsia="仿宋_GB2312" w:hint="eastAsia"/>
          <w:sz w:val="32"/>
          <w:szCs w:val="32"/>
        </w:rPr>
        <w:t>元/人；</w:t>
      </w:r>
      <w:r w:rsidR="00FB142F" w:rsidRPr="00FB142F">
        <w:rPr>
          <w:rFonts w:ascii="仿宋_GB2312" w:eastAsia="仿宋_GB2312" w:hint="eastAsia"/>
          <w:sz w:val="32"/>
          <w:szCs w:val="32"/>
        </w:rPr>
        <w:t>2022年</w:t>
      </w:r>
      <w:r w:rsidR="00FB142F" w:rsidRPr="00420BCC">
        <w:rPr>
          <w:rFonts w:ascii="仿宋_GB2312" w:eastAsia="仿宋_GB2312" w:hint="eastAsia"/>
          <w:sz w:val="32"/>
          <w:szCs w:val="32"/>
        </w:rPr>
        <w:t>人均财政补助标准为</w:t>
      </w:r>
      <w:r w:rsidR="00FB142F">
        <w:rPr>
          <w:rFonts w:ascii="仿宋_GB2312" w:eastAsia="仿宋_GB2312" w:hint="eastAsia"/>
          <w:sz w:val="32"/>
          <w:szCs w:val="32"/>
        </w:rPr>
        <w:t>610</w:t>
      </w:r>
      <w:r w:rsidR="00FB142F" w:rsidRPr="00420BCC">
        <w:rPr>
          <w:rFonts w:ascii="仿宋_GB2312" w:eastAsia="仿宋_GB2312" w:hint="eastAsia"/>
          <w:sz w:val="32"/>
          <w:szCs w:val="32"/>
        </w:rPr>
        <w:t>元/人，比上年（5</w:t>
      </w:r>
      <w:r w:rsidR="00FB142F">
        <w:rPr>
          <w:rFonts w:ascii="仿宋_GB2312" w:eastAsia="仿宋_GB2312" w:hint="eastAsia"/>
          <w:sz w:val="32"/>
          <w:szCs w:val="32"/>
        </w:rPr>
        <w:t>8</w:t>
      </w:r>
      <w:r w:rsidR="00FB142F" w:rsidRPr="00420BCC">
        <w:rPr>
          <w:rFonts w:ascii="仿宋_GB2312" w:eastAsia="仿宋_GB2312" w:hint="eastAsia"/>
          <w:sz w:val="32"/>
          <w:szCs w:val="32"/>
        </w:rPr>
        <w:t>0元/人）增加了30元/人</w:t>
      </w:r>
      <w:r w:rsidR="005221BC">
        <w:rPr>
          <w:rFonts w:ascii="仿宋_GB2312" w:eastAsia="仿宋_GB2312" w:hint="eastAsia"/>
          <w:sz w:val="32"/>
          <w:szCs w:val="32"/>
        </w:rPr>
        <w:t>，</w:t>
      </w:r>
      <w:r>
        <w:rPr>
          <w:rFonts w:ascii="仿宋_GB2312" w:eastAsia="仿宋_GB2312" w:hint="eastAsia"/>
          <w:sz w:val="32"/>
          <w:szCs w:val="32"/>
        </w:rPr>
        <w:t>增加征缴收入，</w:t>
      </w:r>
      <w:r w:rsidR="00FB142F">
        <w:rPr>
          <w:rFonts w:ascii="仿宋_GB2312" w:eastAsia="仿宋_GB2312" w:hint="eastAsia"/>
          <w:sz w:val="32"/>
          <w:szCs w:val="32"/>
        </w:rPr>
        <w:t>二</w:t>
      </w:r>
      <w:r w:rsidRPr="00FB142F">
        <w:rPr>
          <w:rFonts w:ascii="仿宋_GB2312" w:eastAsia="仿宋_GB2312" w:hint="eastAsia"/>
          <w:sz w:val="32"/>
          <w:szCs w:val="32"/>
        </w:rPr>
        <w:t>是计提风险储备金2.6</w:t>
      </w:r>
      <w:r w:rsidR="00FB142F" w:rsidRPr="00FB142F">
        <w:rPr>
          <w:rFonts w:ascii="仿宋_GB2312" w:eastAsia="仿宋_GB2312" w:hint="eastAsia"/>
          <w:sz w:val="32"/>
          <w:szCs w:val="32"/>
        </w:rPr>
        <w:t>3</w:t>
      </w:r>
      <w:r w:rsidRPr="00FB142F">
        <w:rPr>
          <w:rFonts w:ascii="仿宋_GB2312" w:eastAsia="仿宋_GB2312" w:hint="eastAsia"/>
          <w:sz w:val="32"/>
          <w:szCs w:val="32"/>
        </w:rPr>
        <w:t>亿元，综上所述</w:t>
      </w:r>
      <w:r w:rsidR="00FB142F" w:rsidRPr="00FB142F">
        <w:rPr>
          <w:rFonts w:ascii="仿宋_GB2312" w:eastAsia="仿宋_GB2312" w:hint="eastAsia"/>
          <w:sz w:val="32"/>
          <w:szCs w:val="32"/>
        </w:rPr>
        <w:t>一定</w:t>
      </w:r>
      <w:r w:rsidRPr="00FB142F">
        <w:rPr>
          <w:rFonts w:ascii="仿宋_GB2312" w:eastAsia="仿宋_GB2312" w:hint="eastAsia"/>
          <w:sz w:val="32"/>
          <w:szCs w:val="32"/>
        </w:rPr>
        <w:t>幅度增加。</w:t>
      </w:r>
    </w:p>
    <w:p w:rsidR="00C27119" w:rsidRPr="00420BCC" w:rsidRDefault="00C27119" w:rsidP="00F31A6E">
      <w:pPr>
        <w:ind w:firstLineChars="176" w:firstLine="565"/>
        <w:jc w:val="left"/>
        <w:rPr>
          <w:sz w:val="32"/>
          <w:szCs w:val="32"/>
        </w:rPr>
      </w:pPr>
      <w:r w:rsidRPr="00420BCC">
        <w:rPr>
          <w:rFonts w:ascii="仿宋_GB2312" w:eastAsia="仿宋_GB2312" w:hint="eastAsia"/>
          <w:b/>
          <w:sz w:val="32"/>
          <w:szCs w:val="32"/>
        </w:rPr>
        <w:t>20</w:t>
      </w:r>
      <w:r w:rsidRPr="00420BCC">
        <w:rPr>
          <w:rFonts w:ascii="仿宋_GB2312" w:eastAsia="仿宋_GB2312"/>
          <w:b/>
          <w:sz w:val="32"/>
          <w:szCs w:val="32"/>
        </w:rPr>
        <w:t>2</w:t>
      </w:r>
      <w:r w:rsidR="00A40B6C">
        <w:rPr>
          <w:rFonts w:ascii="仿宋_GB2312" w:eastAsia="仿宋_GB2312" w:hint="eastAsia"/>
          <w:b/>
          <w:sz w:val="32"/>
          <w:szCs w:val="32"/>
        </w:rPr>
        <w:t>2</w:t>
      </w:r>
      <w:r w:rsidRPr="00420BCC">
        <w:rPr>
          <w:rFonts w:ascii="仿宋_GB2312" w:eastAsia="仿宋_GB2312" w:hint="eastAsia"/>
          <w:b/>
          <w:sz w:val="32"/>
          <w:szCs w:val="32"/>
        </w:rPr>
        <w:t>年全市医疗生育保险基金预算收入执行情况表</w:t>
      </w:r>
      <w:r w:rsidRPr="00420BCC">
        <w:rPr>
          <w:rFonts w:hint="eastAsia"/>
          <w:szCs w:val="21"/>
        </w:rPr>
        <w:t>（单位</w:t>
      </w:r>
      <w:r w:rsidRPr="00420BCC">
        <w:rPr>
          <w:rFonts w:hint="eastAsia"/>
          <w:szCs w:val="21"/>
        </w:rPr>
        <w:t>:</w:t>
      </w:r>
      <w:r w:rsidRPr="00420BCC">
        <w:rPr>
          <w:rFonts w:hint="eastAsia"/>
          <w:szCs w:val="21"/>
        </w:rPr>
        <w:t>亿元）</w:t>
      </w:r>
    </w:p>
    <w:tbl>
      <w:tblPr>
        <w:tblW w:w="5000" w:type="pct"/>
        <w:tblLook w:val="0000" w:firstRow="0" w:lastRow="0" w:firstColumn="0" w:lastColumn="0" w:noHBand="0" w:noVBand="0"/>
      </w:tblPr>
      <w:tblGrid>
        <w:gridCol w:w="1257"/>
        <w:gridCol w:w="1334"/>
        <w:gridCol w:w="1334"/>
        <w:gridCol w:w="1205"/>
        <w:gridCol w:w="1334"/>
        <w:gridCol w:w="1334"/>
        <w:gridCol w:w="1205"/>
      </w:tblGrid>
      <w:tr w:rsidR="00C27119" w:rsidRPr="00420BCC">
        <w:trPr>
          <w:trHeight w:val="495"/>
        </w:trPr>
        <w:tc>
          <w:tcPr>
            <w:tcW w:w="698" w:type="pct"/>
            <w:vMerge w:val="restart"/>
            <w:tcBorders>
              <w:top w:val="single" w:sz="4" w:space="0" w:color="auto"/>
              <w:left w:val="single" w:sz="4" w:space="0" w:color="auto"/>
              <w:bottom w:val="single" w:sz="4" w:space="0" w:color="auto"/>
              <w:right w:val="single" w:sz="4" w:space="0" w:color="auto"/>
            </w:tcBorders>
            <w:vAlign w:val="center"/>
          </w:tcPr>
          <w:p w:rsidR="00C27119" w:rsidRPr="00420BCC" w:rsidRDefault="00C27119">
            <w:pPr>
              <w:widowControl/>
              <w:jc w:val="center"/>
              <w:rPr>
                <w:rFonts w:ascii="宋体" w:hAnsi="宋体" w:cs="宋体"/>
                <w:color w:val="000000"/>
                <w:kern w:val="0"/>
                <w:sz w:val="24"/>
              </w:rPr>
            </w:pPr>
            <w:r w:rsidRPr="00420BCC">
              <w:rPr>
                <w:rFonts w:ascii="宋体" w:hAnsi="宋体" w:cs="宋体" w:hint="eastAsia"/>
                <w:color w:val="000000"/>
                <w:kern w:val="0"/>
                <w:sz w:val="24"/>
              </w:rPr>
              <w:t>险 种</w:t>
            </w:r>
          </w:p>
        </w:tc>
        <w:tc>
          <w:tcPr>
            <w:tcW w:w="2151" w:type="pct"/>
            <w:gridSpan w:val="3"/>
            <w:tcBorders>
              <w:top w:val="single" w:sz="4" w:space="0" w:color="auto"/>
              <w:left w:val="nil"/>
              <w:bottom w:val="single" w:sz="4" w:space="0" w:color="auto"/>
              <w:right w:val="single" w:sz="4" w:space="0" w:color="auto"/>
            </w:tcBorders>
            <w:vAlign w:val="center"/>
          </w:tcPr>
          <w:p w:rsidR="00C27119" w:rsidRPr="00420BCC" w:rsidRDefault="00C27119">
            <w:pPr>
              <w:widowControl/>
              <w:jc w:val="center"/>
              <w:rPr>
                <w:rFonts w:ascii="宋体" w:hAnsi="宋体" w:cs="宋体"/>
                <w:color w:val="000000"/>
                <w:kern w:val="0"/>
                <w:sz w:val="24"/>
              </w:rPr>
            </w:pPr>
            <w:r w:rsidRPr="00420BCC">
              <w:rPr>
                <w:rFonts w:ascii="宋体" w:hAnsi="宋体" w:cs="宋体" w:hint="eastAsia"/>
                <w:color w:val="000000"/>
                <w:kern w:val="0"/>
                <w:sz w:val="24"/>
              </w:rPr>
              <w:t>本年收入</w:t>
            </w:r>
          </w:p>
        </w:tc>
        <w:tc>
          <w:tcPr>
            <w:tcW w:w="2151" w:type="pct"/>
            <w:gridSpan w:val="3"/>
            <w:tcBorders>
              <w:top w:val="single" w:sz="4" w:space="0" w:color="auto"/>
              <w:left w:val="nil"/>
              <w:bottom w:val="single" w:sz="4" w:space="0" w:color="auto"/>
              <w:right w:val="single" w:sz="4" w:space="0" w:color="auto"/>
            </w:tcBorders>
            <w:vAlign w:val="center"/>
          </w:tcPr>
          <w:p w:rsidR="00C27119" w:rsidRPr="00420BCC" w:rsidRDefault="00C27119">
            <w:pPr>
              <w:widowControl/>
              <w:jc w:val="center"/>
              <w:rPr>
                <w:rFonts w:ascii="宋体" w:hAnsi="宋体" w:cs="宋体"/>
                <w:color w:val="000000"/>
                <w:kern w:val="0"/>
                <w:sz w:val="24"/>
              </w:rPr>
            </w:pPr>
            <w:r w:rsidRPr="00420BCC">
              <w:rPr>
                <w:rFonts w:ascii="宋体" w:hAnsi="宋体" w:cs="宋体" w:hint="eastAsia"/>
                <w:color w:val="000000"/>
                <w:kern w:val="0"/>
                <w:sz w:val="24"/>
              </w:rPr>
              <w:t>其中：保险费收入</w:t>
            </w:r>
          </w:p>
        </w:tc>
      </w:tr>
      <w:tr w:rsidR="00C27119" w:rsidRPr="00420BCC">
        <w:trPr>
          <w:trHeight w:val="433"/>
        </w:trPr>
        <w:tc>
          <w:tcPr>
            <w:tcW w:w="698" w:type="pct"/>
            <w:vMerge/>
            <w:tcBorders>
              <w:top w:val="single" w:sz="4" w:space="0" w:color="auto"/>
              <w:left w:val="single" w:sz="4" w:space="0" w:color="auto"/>
              <w:bottom w:val="single" w:sz="4" w:space="0" w:color="auto"/>
              <w:right w:val="single" w:sz="4" w:space="0" w:color="auto"/>
            </w:tcBorders>
            <w:vAlign w:val="center"/>
          </w:tcPr>
          <w:p w:rsidR="00C27119" w:rsidRPr="00420BCC" w:rsidRDefault="00C27119">
            <w:pPr>
              <w:widowControl/>
              <w:jc w:val="left"/>
              <w:rPr>
                <w:rFonts w:ascii="宋体" w:hAnsi="宋体" w:cs="宋体"/>
                <w:color w:val="000000"/>
                <w:kern w:val="0"/>
                <w:sz w:val="24"/>
              </w:rPr>
            </w:pPr>
          </w:p>
        </w:tc>
        <w:tc>
          <w:tcPr>
            <w:tcW w:w="741" w:type="pct"/>
            <w:tcBorders>
              <w:top w:val="nil"/>
              <w:left w:val="nil"/>
              <w:bottom w:val="single" w:sz="4" w:space="0" w:color="auto"/>
              <w:right w:val="single" w:sz="4" w:space="0" w:color="auto"/>
            </w:tcBorders>
            <w:vAlign w:val="center"/>
          </w:tcPr>
          <w:p w:rsidR="00C27119" w:rsidRPr="00420BCC" w:rsidRDefault="00C27119">
            <w:pPr>
              <w:widowControl/>
              <w:jc w:val="center"/>
              <w:rPr>
                <w:rFonts w:ascii="宋体" w:hAnsi="宋体" w:cs="宋体"/>
                <w:color w:val="000000"/>
                <w:kern w:val="0"/>
                <w:sz w:val="24"/>
              </w:rPr>
            </w:pPr>
            <w:r w:rsidRPr="00420BCC">
              <w:rPr>
                <w:rFonts w:ascii="宋体" w:hAnsi="宋体" w:cs="宋体" w:hint="eastAsia"/>
                <w:color w:val="000000"/>
                <w:kern w:val="0"/>
                <w:sz w:val="24"/>
              </w:rPr>
              <w:t>预算数</w:t>
            </w:r>
          </w:p>
        </w:tc>
        <w:tc>
          <w:tcPr>
            <w:tcW w:w="741" w:type="pct"/>
            <w:tcBorders>
              <w:top w:val="nil"/>
              <w:left w:val="nil"/>
              <w:bottom w:val="single" w:sz="4" w:space="0" w:color="auto"/>
              <w:right w:val="single" w:sz="4" w:space="0" w:color="auto"/>
            </w:tcBorders>
            <w:vAlign w:val="center"/>
          </w:tcPr>
          <w:p w:rsidR="00C27119" w:rsidRPr="00420BCC" w:rsidRDefault="00C27119">
            <w:pPr>
              <w:widowControl/>
              <w:jc w:val="center"/>
              <w:rPr>
                <w:rFonts w:ascii="宋体" w:hAnsi="宋体" w:cs="宋体"/>
                <w:color w:val="000000"/>
                <w:kern w:val="0"/>
                <w:sz w:val="24"/>
              </w:rPr>
            </w:pPr>
            <w:r w:rsidRPr="00420BCC">
              <w:rPr>
                <w:rFonts w:ascii="宋体" w:hAnsi="宋体" w:cs="宋体" w:hint="eastAsia"/>
                <w:color w:val="000000"/>
                <w:kern w:val="0"/>
                <w:sz w:val="24"/>
              </w:rPr>
              <w:t>执行数</w:t>
            </w:r>
          </w:p>
        </w:tc>
        <w:tc>
          <w:tcPr>
            <w:tcW w:w="669" w:type="pct"/>
            <w:tcBorders>
              <w:top w:val="nil"/>
              <w:left w:val="nil"/>
              <w:bottom w:val="single" w:sz="4" w:space="0" w:color="auto"/>
              <w:right w:val="single" w:sz="4" w:space="0" w:color="auto"/>
            </w:tcBorders>
            <w:vAlign w:val="center"/>
          </w:tcPr>
          <w:p w:rsidR="00C27119" w:rsidRPr="00420BCC" w:rsidRDefault="00C27119">
            <w:pPr>
              <w:widowControl/>
              <w:jc w:val="center"/>
              <w:rPr>
                <w:rFonts w:ascii="宋体" w:hAnsi="宋体" w:cs="宋体"/>
                <w:color w:val="000000"/>
                <w:kern w:val="0"/>
                <w:sz w:val="24"/>
              </w:rPr>
            </w:pPr>
            <w:r w:rsidRPr="00420BCC">
              <w:rPr>
                <w:rFonts w:ascii="宋体" w:hAnsi="宋体" w:cs="宋体" w:hint="eastAsia"/>
                <w:color w:val="000000"/>
                <w:kern w:val="0"/>
                <w:sz w:val="24"/>
              </w:rPr>
              <w:t>执行率</w:t>
            </w:r>
          </w:p>
        </w:tc>
        <w:tc>
          <w:tcPr>
            <w:tcW w:w="741" w:type="pct"/>
            <w:tcBorders>
              <w:top w:val="nil"/>
              <w:left w:val="nil"/>
              <w:bottom w:val="single" w:sz="4" w:space="0" w:color="auto"/>
              <w:right w:val="single" w:sz="4" w:space="0" w:color="auto"/>
            </w:tcBorders>
            <w:vAlign w:val="center"/>
          </w:tcPr>
          <w:p w:rsidR="00C27119" w:rsidRPr="00420BCC" w:rsidRDefault="00C27119">
            <w:pPr>
              <w:widowControl/>
              <w:jc w:val="center"/>
              <w:rPr>
                <w:rFonts w:ascii="宋体" w:hAnsi="宋体" w:cs="宋体"/>
                <w:color w:val="000000"/>
                <w:kern w:val="0"/>
                <w:sz w:val="24"/>
              </w:rPr>
            </w:pPr>
            <w:r w:rsidRPr="00420BCC">
              <w:rPr>
                <w:rFonts w:ascii="宋体" w:hAnsi="宋体" w:cs="宋体" w:hint="eastAsia"/>
                <w:color w:val="000000"/>
                <w:kern w:val="0"/>
                <w:sz w:val="24"/>
              </w:rPr>
              <w:t>预算数</w:t>
            </w:r>
          </w:p>
        </w:tc>
        <w:tc>
          <w:tcPr>
            <w:tcW w:w="741" w:type="pct"/>
            <w:tcBorders>
              <w:top w:val="nil"/>
              <w:left w:val="nil"/>
              <w:bottom w:val="single" w:sz="4" w:space="0" w:color="auto"/>
              <w:right w:val="single" w:sz="4" w:space="0" w:color="auto"/>
            </w:tcBorders>
            <w:vAlign w:val="center"/>
          </w:tcPr>
          <w:p w:rsidR="00C27119" w:rsidRPr="00420BCC" w:rsidRDefault="00C27119">
            <w:pPr>
              <w:widowControl/>
              <w:jc w:val="center"/>
              <w:rPr>
                <w:rFonts w:ascii="宋体" w:hAnsi="宋体" w:cs="宋体"/>
                <w:color w:val="000000"/>
                <w:kern w:val="0"/>
                <w:sz w:val="24"/>
              </w:rPr>
            </w:pPr>
            <w:r w:rsidRPr="00420BCC">
              <w:rPr>
                <w:rFonts w:ascii="宋体" w:hAnsi="宋体" w:cs="宋体" w:hint="eastAsia"/>
                <w:color w:val="000000"/>
                <w:kern w:val="0"/>
                <w:sz w:val="24"/>
              </w:rPr>
              <w:t>执行数</w:t>
            </w:r>
          </w:p>
        </w:tc>
        <w:tc>
          <w:tcPr>
            <w:tcW w:w="669" w:type="pct"/>
            <w:tcBorders>
              <w:top w:val="nil"/>
              <w:left w:val="nil"/>
              <w:bottom w:val="single" w:sz="4" w:space="0" w:color="auto"/>
              <w:right w:val="single" w:sz="4" w:space="0" w:color="auto"/>
            </w:tcBorders>
            <w:vAlign w:val="center"/>
          </w:tcPr>
          <w:p w:rsidR="00C27119" w:rsidRPr="00420BCC" w:rsidRDefault="00C27119">
            <w:pPr>
              <w:widowControl/>
              <w:jc w:val="center"/>
              <w:rPr>
                <w:rFonts w:ascii="宋体" w:hAnsi="宋体" w:cs="宋体"/>
                <w:color w:val="000000"/>
                <w:kern w:val="0"/>
                <w:sz w:val="24"/>
              </w:rPr>
            </w:pPr>
            <w:r w:rsidRPr="00420BCC">
              <w:rPr>
                <w:rFonts w:ascii="宋体" w:hAnsi="宋体" w:cs="宋体" w:hint="eastAsia"/>
                <w:color w:val="000000"/>
                <w:kern w:val="0"/>
                <w:sz w:val="24"/>
              </w:rPr>
              <w:t>执行率</w:t>
            </w:r>
          </w:p>
        </w:tc>
      </w:tr>
      <w:tr w:rsidR="00C27119" w:rsidRPr="00420BCC">
        <w:trPr>
          <w:trHeight w:val="356"/>
        </w:trPr>
        <w:tc>
          <w:tcPr>
            <w:tcW w:w="698" w:type="pct"/>
            <w:tcBorders>
              <w:top w:val="nil"/>
              <w:left w:val="single" w:sz="4" w:space="0" w:color="auto"/>
              <w:bottom w:val="single" w:sz="4" w:space="0" w:color="auto"/>
              <w:right w:val="single" w:sz="4" w:space="0" w:color="auto"/>
            </w:tcBorders>
            <w:noWrap/>
            <w:vAlign w:val="center"/>
          </w:tcPr>
          <w:p w:rsidR="00C27119" w:rsidRPr="00420BCC" w:rsidRDefault="00C27119">
            <w:pPr>
              <w:widowControl/>
              <w:jc w:val="center"/>
              <w:rPr>
                <w:rFonts w:ascii="宋体" w:hAnsi="宋体" w:cs="宋体"/>
                <w:kern w:val="0"/>
                <w:sz w:val="24"/>
              </w:rPr>
            </w:pPr>
            <w:r w:rsidRPr="00420BCC">
              <w:rPr>
                <w:rFonts w:ascii="宋体" w:hAnsi="宋体" w:cs="宋体" w:hint="eastAsia"/>
                <w:kern w:val="0"/>
                <w:sz w:val="24"/>
              </w:rPr>
              <w:t>职工医保</w:t>
            </w:r>
          </w:p>
        </w:tc>
        <w:tc>
          <w:tcPr>
            <w:tcW w:w="741" w:type="pct"/>
            <w:tcBorders>
              <w:top w:val="nil"/>
              <w:left w:val="nil"/>
              <w:bottom w:val="single" w:sz="4" w:space="0" w:color="auto"/>
              <w:right w:val="single" w:sz="4" w:space="0" w:color="auto"/>
            </w:tcBorders>
            <w:noWrap/>
            <w:vAlign w:val="center"/>
          </w:tcPr>
          <w:p w:rsidR="00C27119" w:rsidRPr="00FB142F" w:rsidRDefault="00A40B6C">
            <w:pPr>
              <w:widowControl/>
              <w:jc w:val="center"/>
              <w:rPr>
                <w:rFonts w:ascii="仿宋" w:eastAsia="仿宋" w:hAnsi="仿宋"/>
                <w:sz w:val="24"/>
              </w:rPr>
            </w:pPr>
            <w:r w:rsidRPr="00FB142F">
              <w:rPr>
                <w:rFonts w:ascii="仿宋" w:eastAsia="仿宋" w:hAnsi="仿宋" w:hint="eastAsia"/>
                <w:sz w:val="24"/>
              </w:rPr>
              <w:t>28.15</w:t>
            </w:r>
          </w:p>
        </w:tc>
        <w:tc>
          <w:tcPr>
            <w:tcW w:w="741" w:type="pct"/>
            <w:tcBorders>
              <w:top w:val="nil"/>
              <w:left w:val="nil"/>
              <w:bottom w:val="single" w:sz="4" w:space="0" w:color="auto"/>
              <w:right w:val="single" w:sz="4" w:space="0" w:color="auto"/>
            </w:tcBorders>
            <w:noWrap/>
            <w:vAlign w:val="center"/>
          </w:tcPr>
          <w:p w:rsidR="00C27119" w:rsidRPr="00FB142F" w:rsidRDefault="005B10B7">
            <w:pPr>
              <w:jc w:val="center"/>
              <w:rPr>
                <w:rFonts w:ascii="仿宋" w:eastAsia="仿宋" w:hAnsi="仿宋"/>
                <w:sz w:val="24"/>
              </w:rPr>
            </w:pPr>
            <w:r w:rsidRPr="00FB142F">
              <w:rPr>
                <w:rFonts w:ascii="仿宋" w:eastAsia="仿宋" w:hAnsi="仿宋" w:hint="eastAsia"/>
                <w:sz w:val="24"/>
              </w:rPr>
              <w:t>35.88</w:t>
            </w:r>
          </w:p>
        </w:tc>
        <w:tc>
          <w:tcPr>
            <w:tcW w:w="669" w:type="pct"/>
            <w:tcBorders>
              <w:top w:val="nil"/>
              <w:left w:val="nil"/>
              <w:bottom w:val="single" w:sz="4" w:space="0" w:color="auto"/>
              <w:right w:val="single" w:sz="4" w:space="0" w:color="auto"/>
            </w:tcBorders>
            <w:noWrap/>
            <w:vAlign w:val="center"/>
          </w:tcPr>
          <w:p w:rsidR="00C27119" w:rsidRPr="00FB142F" w:rsidRDefault="005B10B7">
            <w:pPr>
              <w:jc w:val="center"/>
              <w:rPr>
                <w:rFonts w:ascii="仿宋" w:eastAsia="仿宋" w:hAnsi="仿宋"/>
                <w:sz w:val="24"/>
              </w:rPr>
            </w:pPr>
            <w:r w:rsidRPr="00FB142F">
              <w:rPr>
                <w:rFonts w:ascii="仿宋" w:eastAsia="仿宋" w:hAnsi="仿宋" w:hint="eastAsia"/>
                <w:sz w:val="24"/>
              </w:rPr>
              <w:t>127.46</w:t>
            </w:r>
            <w:r w:rsidR="00C27119" w:rsidRPr="00FB142F">
              <w:rPr>
                <w:rFonts w:ascii="仿宋" w:eastAsia="仿宋" w:hAnsi="仿宋" w:hint="eastAsia"/>
                <w:sz w:val="24"/>
              </w:rPr>
              <w:t>%</w:t>
            </w:r>
          </w:p>
        </w:tc>
        <w:tc>
          <w:tcPr>
            <w:tcW w:w="741" w:type="pct"/>
            <w:tcBorders>
              <w:top w:val="nil"/>
              <w:left w:val="nil"/>
              <w:bottom w:val="single" w:sz="4" w:space="0" w:color="auto"/>
              <w:right w:val="single" w:sz="4" w:space="0" w:color="auto"/>
            </w:tcBorders>
            <w:noWrap/>
            <w:vAlign w:val="center"/>
          </w:tcPr>
          <w:p w:rsidR="00C27119" w:rsidRPr="00FB142F" w:rsidRDefault="007B2070">
            <w:pPr>
              <w:widowControl/>
              <w:jc w:val="center"/>
              <w:rPr>
                <w:rFonts w:ascii="仿宋" w:eastAsia="仿宋" w:hAnsi="仿宋"/>
                <w:sz w:val="24"/>
              </w:rPr>
            </w:pPr>
            <w:r w:rsidRPr="00FB142F">
              <w:rPr>
                <w:rFonts w:ascii="仿宋" w:eastAsia="仿宋" w:hAnsi="仿宋" w:hint="eastAsia"/>
                <w:sz w:val="24"/>
              </w:rPr>
              <w:t>27.69</w:t>
            </w:r>
          </w:p>
        </w:tc>
        <w:tc>
          <w:tcPr>
            <w:tcW w:w="741" w:type="pct"/>
            <w:tcBorders>
              <w:top w:val="nil"/>
              <w:left w:val="nil"/>
              <w:bottom w:val="single" w:sz="4" w:space="0" w:color="auto"/>
              <w:right w:val="single" w:sz="4" w:space="0" w:color="auto"/>
            </w:tcBorders>
            <w:noWrap/>
            <w:vAlign w:val="center"/>
          </w:tcPr>
          <w:p w:rsidR="00C27119" w:rsidRPr="00FB142F" w:rsidRDefault="007B2070">
            <w:pPr>
              <w:jc w:val="center"/>
              <w:rPr>
                <w:rFonts w:ascii="仿宋" w:eastAsia="仿宋" w:hAnsi="仿宋"/>
                <w:sz w:val="24"/>
              </w:rPr>
            </w:pPr>
            <w:r w:rsidRPr="00FB142F">
              <w:rPr>
                <w:rFonts w:ascii="仿宋" w:eastAsia="仿宋" w:hAnsi="仿宋" w:hint="eastAsia"/>
                <w:sz w:val="24"/>
              </w:rPr>
              <w:t>29.46</w:t>
            </w:r>
          </w:p>
        </w:tc>
        <w:tc>
          <w:tcPr>
            <w:tcW w:w="669" w:type="pct"/>
            <w:tcBorders>
              <w:top w:val="nil"/>
              <w:left w:val="nil"/>
              <w:bottom w:val="single" w:sz="4" w:space="0" w:color="auto"/>
              <w:right w:val="single" w:sz="4" w:space="0" w:color="auto"/>
            </w:tcBorders>
            <w:noWrap/>
            <w:vAlign w:val="center"/>
          </w:tcPr>
          <w:p w:rsidR="00C27119" w:rsidRPr="00FB142F" w:rsidRDefault="007B2070">
            <w:pPr>
              <w:jc w:val="center"/>
              <w:rPr>
                <w:rFonts w:ascii="仿宋" w:eastAsia="仿宋" w:hAnsi="仿宋"/>
                <w:sz w:val="24"/>
              </w:rPr>
            </w:pPr>
            <w:r w:rsidRPr="00FB142F">
              <w:rPr>
                <w:rFonts w:ascii="仿宋" w:eastAsia="仿宋" w:hAnsi="仿宋" w:hint="eastAsia"/>
                <w:sz w:val="24"/>
              </w:rPr>
              <w:t>106.39%</w:t>
            </w:r>
          </w:p>
        </w:tc>
      </w:tr>
      <w:tr w:rsidR="00C27119" w:rsidRPr="00420BCC">
        <w:trPr>
          <w:trHeight w:val="406"/>
        </w:trPr>
        <w:tc>
          <w:tcPr>
            <w:tcW w:w="698" w:type="pct"/>
            <w:tcBorders>
              <w:top w:val="nil"/>
              <w:left w:val="single" w:sz="4" w:space="0" w:color="auto"/>
              <w:bottom w:val="single" w:sz="4" w:space="0" w:color="auto"/>
              <w:right w:val="single" w:sz="4" w:space="0" w:color="auto"/>
            </w:tcBorders>
            <w:noWrap/>
            <w:vAlign w:val="center"/>
          </w:tcPr>
          <w:p w:rsidR="00C27119" w:rsidRPr="00420BCC" w:rsidRDefault="00C27119">
            <w:pPr>
              <w:widowControl/>
              <w:jc w:val="center"/>
              <w:rPr>
                <w:rFonts w:ascii="宋体" w:hAnsi="宋体" w:cs="宋体"/>
                <w:kern w:val="0"/>
                <w:sz w:val="24"/>
              </w:rPr>
            </w:pPr>
            <w:r w:rsidRPr="00420BCC">
              <w:rPr>
                <w:rFonts w:ascii="宋体" w:hAnsi="宋体" w:cs="宋体" w:hint="eastAsia"/>
                <w:kern w:val="0"/>
                <w:sz w:val="24"/>
              </w:rPr>
              <w:t>居民医保</w:t>
            </w:r>
          </w:p>
        </w:tc>
        <w:tc>
          <w:tcPr>
            <w:tcW w:w="741" w:type="pct"/>
            <w:tcBorders>
              <w:top w:val="nil"/>
              <w:left w:val="nil"/>
              <w:bottom w:val="single" w:sz="4" w:space="0" w:color="auto"/>
              <w:right w:val="single" w:sz="4" w:space="0" w:color="auto"/>
            </w:tcBorders>
            <w:noWrap/>
            <w:vAlign w:val="center"/>
          </w:tcPr>
          <w:p w:rsidR="00C27119" w:rsidRPr="00FB142F" w:rsidRDefault="00B80A2D">
            <w:pPr>
              <w:jc w:val="center"/>
              <w:rPr>
                <w:rFonts w:ascii="仿宋" w:eastAsia="仿宋" w:hAnsi="仿宋"/>
                <w:sz w:val="24"/>
              </w:rPr>
            </w:pPr>
            <w:r w:rsidRPr="00FB142F">
              <w:rPr>
                <w:rFonts w:ascii="仿宋" w:eastAsia="仿宋" w:hAnsi="仿宋" w:hint="eastAsia"/>
                <w:sz w:val="24"/>
              </w:rPr>
              <w:t>27.88</w:t>
            </w:r>
          </w:p>
        </w:tc>
        <w:tc>
          <w:tcPr>
            <w:tcW w:w="741" w:type="pct"/>
            <w:tcBorders>
              <w:top w:val="nil"/>
              <w:left w:val="nil"/>
              <w:bottom w:val="single" w:sz="4" w:space="0" w:color="auto"/>
              <w:right w:val="single" w:sz="4" w:space="0" w:color="auto"/>
            </w:tcBorders>
            <w:noWrap/>
            <w:vAlign w:val="center"/>
          </w:tcPr>
          <w:p w:rsidR="00C27119" w:rsidRPr="00FB142F" w:rsidRDefault="00B80A2D" w:rsidP="002E41F2">
            <w:pPr>
              <w:jc w:val="center"/>
              <w:rPr>
                <w:rFonts w:ascii="仿宋" w:eastAsia="仿宋" w:hAnsi="仿宋"/>
                <w:sz w:val="24"/>
              </w:rPr>
            </w:pPr>
            <w:r w:rsidRPr="00FB142F">
              <w:rPr>
                <w:rFonts w:ascii="仿宋" w:eastAsia="仿宋" w:hAnsi="仿宋" w:hint="eastAsia"/>
                <w:sz w:val="24"/>
              </w:rPr>
              <w:t>30.87</w:t>
            </w:r>
          </w:p>
        </w:tc>
        <w:tc>
          <w:tcPr>
            <w:tcW w:w="669" w:type="pct"/>
            <w:tcBorders>
              <w:top w:val="nil"/>
              <w:left w:val="nil"/>
              <w:bottom w:val="single" w:sz="4" w:space="0" w:color="auto"/>
              <w:right w:val="single" w:sz="4" w:space="0" w:color="auto"/>
            </w:tcBorders>
            <w:noWrap/>
            <w:vAlign w:val="center"/>
          </w:tcPr>
          <w:p w:rsidR="00C27119" w:rsidRPr="00FB142F" w:rsidRDefault="00B80A2D">
            <w:pPr>
              <w:jc w:val="center"/>
              <w:rPr>
                <w:rFonts w:ascii="仿宋" w:eastAsia="仿宋" w:hAnsi="仿宋"/>
                <w:sz w:val="24"/>
              </w:rPr>
            </w:pPr>
            <w:r w:rsidRPr="00FB142F">
              <w:rPr>
                <w:rFonts w:ascii="仿宋" w:eastAsia="仿宋" w:hAnsi="仿宋"/>
                <w:sz w:val="24"/>
              </w:rPr>
              <w:t>110.</w:t>
            </w:r>
            <w:r w:rsidRPr="00FB142F">
              <w:rPr>
                <w:rFonts w:ascii="仿宋" w:eastAsia="仿宋" w:hAnsi="仿宋" w:hint="eastAsia"/>
                <w:sz w:val="24"/>
              </w:rPr>
              <w:t>72</w:t>
            </w:r>
            <w:r w:rsidR="00B00A4D" w:rsidRPr="00FB142F">
              <w:rPr>
                <w:rFonts w:ascii="仿宋" w:eastAsia="仿宋" w:hAnsi="仿宋"/>
                <w:sz w:val="24"/>
              </w:rPr>
              <w:t>%</w:t>
            </w:r>
          </w:p>
        </w:tc>
        <w:tc>
          <w:tcPr>
            <w:tcW w:w="741" w:type="pct"/>
            <w:tcBorders>
              <w:top w:val="nil"/>
              <w:left w:val="nil"/>
              <w:bottom w:val="single" w:sz="4" w:space="0" w:color="auto"/>
              <w:right w:val="single" w:sz="4" w:space="0" w:color="auto"/>
            </w:tcBorders>
            <w:noWrap/>
            <w:vAlign w:val="center"/>
          </w:tcPr>
          <w:p w:rsidR="00C27119" w:rsidRPr="00FB142F" w:rsidRDefault="00B80A2D">
            <w:pPr>
              <w:widowControl/>
              <w:jc w:val="center"/>
              <w:rPr>
                <w:rFonts w:ascii="仿宋" w:eastAsia="仿宋" w:hAnsi="仿宋"/>
                <w:sz w:val="24"/>
              </w:rPr>
            </w:pPr>
            <w:r w:rsidRPr="00FB142F">
              <w:rPr>
                <w:rFonts w:ascii="仿宋" w:eastAsia="仿宋" w:hAnsi="仿宋" w:hint="eastAsia"/>
                <w:sz w:val="24"/>
              </w:rPr>
              <w:t>9.50</w:t>
            </w:r>
          </w:p>
        </w:tc>
        <w:tc>
          <w:tcPr>
            <w:tcW w:w="741" w:type="pct"/>
            <w:tcBorders>
              <w:top w:val="nil"/>
              <w:left w:val="nil"/>
              <w:bottom w:val="single" w:sz="4" w:space="0" w:color="auto"/>
              <w:right w:val="single" w:sz="4" w:space="0" w:color="auto"/>
            </w:tcBorders>
            <w:noWrap/>
            <w:vAlign w:val="center"/>
          </w:tcPr>
          <w:p w:rsidR="00C27119" w:rsidRPr="00FB142F" w:rsidRDefault="00B80A2D" w:rsidP="002E41F2">
            <w:pPr>
              <w:jc w:val="center"/>
              <w:rPr>
                <w:rFonts w:ascii="仿宋" w:eastAsia="仿宋" w:hAnsi="仿宋"/>
                <w:sz w:val="24"/>
              </w:rPr>
            </w:pPr>
            <w:r w:rsidRPr="00FB142F">
              <w:rPr>
                <w:rFonts w:ascii="仿宋" w:eastAsia="仿宋" w:hAnsi="仿宋" w:hint="eastAsia"/>
                <w:sz w:val="24"/>
              </w:rPr>
              <w:t>10.50</w:t>
            </w:r>
          </w:p>
        </w:tc>
        <w:tc>
          <w:tcPr>
            <w:tcW w:w="669" w:type="pct"/>
            <w:tcBorders>
              <w:top w:val="nil"/>
              <w:left w:val="nil"/>
              <w:bottom w:val="single" w:sz="4" w:space="0" w:color="auto"/>
              <w:right w:val="single" w:sz="4" w:space="0" w:color="auto"/>
            </w:tcBorders>
            <w:noWrap/>
            <w:vAlign w:val="center"/>
          </w:tcPr>
          <w:p w:rsidR="00C27119" w:rsidRPr="00FB142F" w:rsidRDefault="00B80A2D" w:rsidP="00B00A4D">
            <w:pPr>
              <w:jc w:val="center"/>
              <w:rPr>
                <w:rFonts w:ascii="仿宋" w:eastAsia="仿宋" w:hAnsi="仿宋"/>
                <w:sz w:val="24"/>
              </w:rPr>
            </w:pPr>
            <w:r w:rsidRPr="00FB142F">
              <w:rPr>
                <w:rFonts w:ascii="仿宋" w:eastAsia="仿宋" w:hAnsi="仿宋" w:hint="eastAsia"/>
                <w:sz w:val="24"/>
              </w:rPr>
              <w:t>110.53</w:t>
            </w:r>
            <w:r w:rsidR="00C27119" w:rsidRPr="00FB142F">
              <w:rPr>
                <w:rFonts w:ascii="仿宋" w:eastAsia="仿宋" w:hAnsi="仿宋" w:hint="eastAsia"/>
                <w:sz w:val="24"/>
              </w:rPr>
              <w:t>%</w:t>
            </w:r>
          </w:p>
        </w:tc>
      </w:tr>
    </w:tbl>
    <w:p w:rsidR="00C27119" w:rsidRPr="00420BCC" w:rsidRDefault="00D66A87">
      <w:pPr>
        <w:ind w:firstLineChars="148" w:firstLine="475"/>
        <w:jc w:val="left"/>
        <w:rPr>
          <w:rFonts w:ascii="宋体" w:hAnsi="宋体"/>
          <w:b/>
          <w:sz w:val="32"/>
          <w:szCs w:val="32"/>
        </w:rPr>
      </w:pPr>
      <w:r>
        <w:rPr>
          <w:rFonts w:ascii="宋体" w:hAnsi="宋体"/>
          <w:b/>
          <w:sz w:val="32"/>
          <w:szCs w:val="32"/>
        </w:rPr>
        <w:pict>
          <v:shapetype id="_x0000_t32" coordsize="21600,21600" o:spt="32" o:oned="t" path="m,l21600,21600e" filled="f">
            <v:path arrowok="t" fillok="f" o:connecttype="none"/>
            <o:lock v:ext="edit" shapetype="t"/>
          </v:shapetype>
          <v:shape id="自选图形 243" o:spid="_x0000_s1267" type="#_x0000_t32" style="position:absolute;left:0;text-align:left;margin-left:-5.55pt;margin-top:.2pt;width:449.25pt;height:.75pt;z-index:251657728;mso-position-horizontal-relative:text;mso-position-vertical-relative:text" o:connectortype="straight"/>
        </w:pict>
      </w:r>
      <w:r w:rsidR="00C27119" w:rsidRPr="00420BCC">
        <w:rPr>
          <w:rFonts w:ascii="宋体" w:hAnsi="宋体" w:hint="eastAsia"/>
          <w:b/>
          <w:sz w:val="32"/>
          <w:szCs w:val="32"/>
        </w:rPr>
        <w:t>（二）基金支出情况</w:t>
      </w:r>
    </w:p>
    <w:p w:rsidR="00C27119" w:rsidRPr="00420BCC" w:rsidRDefault="00C27119" w:rsidP="00F31A6E">
      <w:pPr>
        <w:ind w:leftChars="36" w:left="76" w:firstLineChars="200" w:firstLine="643"/>
        <w:jc w:val="left"/>
        <w:rPr>
          <w:rFonts w:ascii="仿宋_GB2312" w:eastAsia="仿宋_GB2312" w:hAnsi="宋体"/>
          <w:sz w:val="32"/>
          <w:szCs w:val="32"/>
        </w:rPr>
      </w:pPr>
      <w:r w:rsidRPr="00420BCC">
        <w:rPr>
          <w:rFonts w:ascii="仿宋_GB2312" w:eastAsia="仿宋_GB2312" w:hAnsi="宋体" w:hint="eastAsia"/>
          <w:b/>
          <w:sz w:val="32"/>
          <w:szCs w:val="32"/>
        </w:rPr>
        <w:t xml:space="preserve">1.对比分析情况  </w:t>
      </w:r>
      <w:r w:rsidR="00E67A96" w:rsidRPr="002C5790">
        <w:rPr>
          <w:rFonts w:ascii="仿宋_GB2312" w:eastAsia="仿宋_GB2312" w:hint="eastAsia"/>
          <w:sz w:val="32"/>
          <w:szCs w:val="32"/>
        </w:rPr>
        <w:t>2022</w:t>
      </w:r>
      <w:r w:rsidRPr="002C5790">
        <w:rPr>
          <w:rFonts w:ascii="仿宋_GB2312" w:eastAsia="仿宋_GB2312" w:hint="eastAsia"/>
          <w:sz w:val="32"/>
          <w:szCs w:val="32"/>
        </w:rPr>
        <w:t>年度全市</w:t>
      </w:r>
      <w:r w:rsidRPr="002C5790">
        <w:rPr>
          <w:rFonts w:ascii="仿宋_GB2312" w:eastAsia="仿宋_GB2312" w:hAnsi="宋体" w:hint="eastAsia"/>
          <w:sz w:val="32"/>
          <w:szCs w:val="32"/>
        </w:rPr>
        <w:t>城镇职工医保、城乡居民医保二</w:t>
      </w:r>
      <w:r w:rsidRPr="002C5790">
        <w:rPr>
          <w:rFonts w:ascii="仿宋_GB2312" w:eastAsia="仿宋_GB2312" w:hint="eastAsia"/>
          <w:sz w:val="32"/>
          <w:szCs w:val="32"/>
        </w:rPr>
        <w:t>项基金总支出</w:t>
      </w:r>
      <w:r w:rsidRPr="002C5790">
        <w:rPr>
          <w:rFonts w:ascii="仿宋_GB2312" w:eastAsia="仿宋_GB2312" w:hAnsi="宋体" w:hint="eastAsia"/>
          <w:sz w:val="32"/>
          <w:szCs w:val="32"/>
        </w:rPr>
        <w:t>合计</w:t>
      </w:r>
      <w:r w:rsidR="00E67A96" w:rsidRPr="002C5790">
        <w:rPr>
          <w:rFonts w:ascii="仿宋_GB2312" w:eastAsia="仿宋_GB2312" w:hAnsi="宋体" w:hint="eastAsia"/>
          <w:sz w:val="32"/>
          <w:szCs w:val="32"/>
        </w:rPr>
        <w:t>57.25</w:t>
      </w:r>
      <w:r w:rsidRPr="002C5790">
        <w:rPr>
          <w:rFonts w:ascii="仿宋_GB2312" w:eastAsia="仿宋_GB2312" w:hAnsi="宋体" w:hint="eastAsia"/>
          <w:sz w:val="32"/>
          <w:szCs w:val="32"/>
        </w:rPr>
        <w:t>亿元，同比增长率为</w:t>
      </w:r>
      <w:r w:rsidR="00E67A96" w:rsidRPr="002C5790">
        <w:rPr>
          <w:rFonts w:ascii="仿宋_GB2312" w:eastAsia="仿宋_GB2312" w:hAnsi="宋体" w:hint="eastAsia"/>
          <w:sz w:val="32"/>
          <w:szCs w:val="32"/>
        </w:rPr>
        <w:t>6.</w:t>
      </w:r>
      <w:r w:rsidR="00FB142F" w:rsidRPr="002C5790">
        <w:rPr>
          <w:rFonts w:ascii="仿宋_GB2312" w:eastAsia="仿宋_GB2312" w:hAnsi="宋体" w:hint="eastAsia"/>
          <w:sz w:val="32"/>
          <w:szCs w:val="32"/>
        </w:rPr>
        <w:t>7</w:t>
      </w:r>
      <w:r w:rsidRPr="002C5790">
        <w:rPr>
          <w:rFonts w:ascii="仿宋_GB2312" w:eastAsia="仿宋_GB2312" w:hint="eastAsia"/>
          <w:sz w:val="32"/>
          <w:szCs w:val="32"/>
        </w:rPr>
        <w:t>%，其</w:t>
      </w:r>
      <w:r w:rsidRPr="002C5790">
        <w:rPr>
          <w:rFonts w:ascii="仿宋_GB2312" w:eastAsia="仿宋_GB2312" w:hAnsi="宋体" w:hint="eastAsia"/>
          <w:sz w:val="32"/>
          <w:szCs w:val="32"/>
        </w:rPr>
        <w:t>中职工医保（生育）</w:t>
      </w:r>
      <w:r w:rsidR="00E67A96" w:rsidRPr="002C5790">
        <w:rPr>
          <w:rFonts w:ascii="仿宋_GB2312" w:eastAsia="仿宋_GB2312" w:hAnsi="宋体" w:hint="eastAsia"/>
          <w:sz w:val="32"/>
          <w:szCs w:val="32"/>
        </w:rPr>
        <w:t>28.45</w:t>
      </w:r>
      <w:r w:rsidRPr="002C5790">
        <w:rPr>
          <w:rFonts w:ascii="仿宋_GB2312" w:eastAsia="仿宋_GB2312" w:hAnsi="宋体" w:hint="eastAsia"/>
          <w:sz w:val="32"/>
          <w:szCs w:val="32"/>
        </w:rPr>
        <w:t>亿元、居民医保</w:t>
      </w:r>
      <w:r w:rsidR="00E67A96" w:rsidRPr="002C5790">
        <w:rPr>
          <w:rFonts w:ascii="仿宋_GB2312" w:eastAsia="仿宋_GB2312" w:hAnsi="宋体" w:hint="eastAsia"/>
          <w:sz w:val="32"/>
          <w:szCs w:val="32"/>
        </w:rPr>
        <w:t>28.80</w:t>
      </w:r>
      <w:r w:rsidRPr="002C5790">
        <w:rPr>
          <w:rFonts w:ascii="仿宋_GB2312" w:eastAsia="仿宋_GB2312" w:hAnsi="宋体" w:hint="eastAsia"/>
          <w:sz w:val="32"/>
          <w:szCs w:val="32"/>
        </w:rPr>
        <w:t>亿元，同比</w:t>
      </w:r>
      <w:r w:rsidRPr="002C5790">
        <w:rPr>
          <w:rFonts w:ascii="仿宋_GB2312" w:eastAsia="仿宋_GB2312" w:hAnsi="宋体" w:hint="eastAsia"/>
          <w:sz w:val="32"/>
          <w:szCs w:val="32"/>
        </w:rPr>
        <w:lastRenderedPageBreak/>
        <w:t>增长率分别为</w:t>
      </w:r>
      <w:r w:rsidR="00E67A96" w:rsidRPr="002C5790">
        <w:rPr>
          <w:rFonts w:ascii="仿宋_GB2312" w:eastAsia="仿宋_GB2312" w:hAnsi="宋体" w:hint="eastAsia"/>
          <w:sz w:val="32"/>
          <w:szCs w:val="32"/>
        </w:rPr>
        <w:t>7.16</w:t>
      </w:r>
      <w:r w:rsidRPr="002C5790">
        <w:rPr>
          <w:rFonts w:ascii="仿宋_GB2312" w:eastAsia="仿宋_GB2312" w:hAnsi="宋体" w:hint="eastAsia"/>
          <w:sz w:val="32"/>
          <w:szCs w:val="32"/>
        </w:rPr>
        <w:t>%、</w:t>
      </w:r>
      <w:r w:rsidR="00E67A96" w:rsidRPr="002C5790">
        <w:rPr>
          <w:rFonts w:ascii="仿宋_GB2312" w:eastAsia="仿宋_GB2312" w:hAnsi="宋体" w:hint="eastAsia"/>
          <w:sz w:val="32"/>
          <w:szCs w:val="32"/>
        </w:rPr>
        <w:t>6.51</w:t>
      </w:r>
      <w:r w:rsidRPr="002C5790">
        <w:rPr>
          <w:rFonts w:ascii="仿宋_GB2312" w:eastAsia="仿宋_GB2312" w:hAnsi="宋体" w:hint="eastAsia"/>
          <w:sz w:val="32"/>
          <w:szCs w:val="32"/>
        </w:rPr>
        <w:t>%。</w:t>
      </w:r>
    </w:p>
    <w:p w:rsidR="00C27119" w:rsidRDefault="00C27119">
      <w:pPr>
        <w:tabs>
          <w:tab w:val="left" w:pos="1325"/>
          <w:tab w:val="center" w:pos="4393"/>
        </w:tabs>
        <w:ind w:left="76" w:hangingChars="27" w:hanging="76"/>
        <w:jc w:val="left"/>
        <w:rPr>
          <w:szCs w:val="21"/>
        </w:rPr>
      </w:pPr>
      <w:r w:rsidRPr="00420BCC">
        <w:rPr>
          <w:b/>
          <w:sz w:val="28"/>
          <w:szCs w:val="28"/>
        </w:rPr>
        <w:tab/>
      </w:r>
      <w:r w:rsidRPr="00420BCC">
        <w:rPr>
          <w:b/>
          <w:sz w:val="28"/>
          <w:szCs w:val="28"/>
        </w:rPr>
        <w:tab/>
      </w:r>
      <w:r w:rsidR="00F845D6" w:rsidRPr="002C5790">
        <w:rPr>
          <w:rFonts w:hint="eastAsia"/>
          <w:b/>
          <w:sz w:val="28"/>
          <w:szCs w:val="28"/>
        </w:rPr>
        <w:t>201</w:t>
      </w:r>
      <w:r w:rsidR="00FB142F" w:rsidRPr="002C5790">
        <w:rPr>
          <w:rFonts w:hint="eastAsia"/>
          <w:b/>
          <w:sz w:val="28"/>
          <w:szCs w:val="28"/>
        </w:rPr>
        <w:t>7</w:t>
      </w:r>
      <w:r w:rsidR="00F845D6" w:rsidRPr="002C5790">
        <w:rPr>
          <w:rFonts w:hint="eastAsia"/>
          <w:b/>
          <w:sz w:val="28"/>
          <w:szCs w:val="28"/>
        </w:rPr>
        <w:t>-2022</w:t>
      </w:r>
      <w:r w:rsidRPr="002C5790">
        <w:rPr>
          <w:rFonts w:hint="eastAsia"/>
          <w:b/>
          <w:sz w:val="28"/>
          <w:szCs w:val="28"/>
        </w:rPr>
        <w:t>年全市医疗生育保险基金支出增长图</w:t>
      </w:r>
      <w:r w:rsidRPr="002C5790">
        <w:rPr>
          <w:rFonts w:hint="eastAsia"/>
          <w:szCs w:val="21"/>
        </w:rPr>
        <w:t>（单位</w:t>
      </w:r>
      <w:r w:rsidRPr="002C5790">
        <w:rPr>
          <w:rFonts w:hint="eastAsia"/>
          <w:szCs w:val="21"/>
        </w:rPr>
        <w:t>:</w:t>
      </w:r>
      <w:r w:rsidRPr="002C5790">
        <w:rPr>
          <w:rFonts w:hint="eastAsia"/>
          <w:szCs w:val="21"/>
        </w:rPr>
        <w:t>亿元）</w:t>
      </w:r>
    </w:p>
    <w:p w:rsidR="00C27119" w:rsidRDefault="00FB142F">
      <w:pPr>
        <w:ind w:leftChars="36" w:left="76" w:firstLineChars="200" w:firstLine="640"/>
        <w:jc w:val="left"/>
        <w:rPr>
          <w:sz w:val="32"/>
          <w:szCs w:val="32"/>
        </w:rPr>
      </w:pPr>
      <w:r w:rsidRPr="00F01B26">
        <w:rPr>
          <w:sz w:val="32"/>
          <w:szCs w:val="32"/>
        </w:rPr>
        <w:object w:dxaOrig="7681" w:dyaOrig="4651">
          <v:shape id="_x0000_i1028" type="#_x0000_t75" style="width:384.75pt;height:232.5pt" o:ole="">
            <v:imagedata r:id="rId17" o:title=""/>
          </v:shape>
          <o:OLEObject Type="Embed" ProgID="MSGraph.Chart.8" ShapeID="_x0000_i1028" DrawAspect="Content" ObjectID="_1806737286" r:id="rId18">
            <o:FieldCodes>\s</o:FieldCodes>
          </o:OLEObject>
        </w:object>
      </w:r>
    </w:p>
    <w:p w:rsidR="00C27119" w:rsidRDefault="00C27119">
      <w:pPr>
        <w:ind w:leftChars="36" w:left="76" w:firstLineChars="200" w:firstLine="420"/>
        <w:jc w:val="left"/>
        <w:rPr>
          <w:rFonts w:ascii="楷体_GB2312" w:eastAsia="楷体_GB2312"/>
          <w:szCs w:val="28"/>
        </w:rPr>
      </w:pPr>
      <w:r>
        <w:rPr>
          <w:rFonts w:hint="eastAsia"/>
          <w:szCs w:val="28"/>
        </w:rPr>
        <w:t xml:space="preserve">  </w:t>
      </w:r>
      <w:r>
        <w:rPr>
          <w:rFonts w:hint="eastAsia"/>
          <w:sz w:val="32"/>
          <w:szCs w:val="32"/>
        </w:rPr>
        <w:t>注：</w:t>
      </w:r>
      <w:r>
        <w:rPr>
          <w:rFonts w:ascii="宋体" w:hAnsi="宋体"/>
          <w:sz w:val="32"/>
          <w:szCs w:val="32"/>
        </w:rPr>
        <w:t>城镇职工医</w:t>
      </w:r>
      <w:r>
        <w:rPr>
          <w:rFonts w:ascii="宋体" w:hAnsi="宋体" w:hint="eastAsia"/>
          <w:sz w:val="32"/>
          <w:szCs w:val="32"/>
        </w:rPr>
        <w:t>保</w:t>
      </w:r>
      <w:r>
        <w:rPr>
          <w:rFonts w:hint="eastAsia"/>
          <w:sz w:val="32"/>
          <w:szCs w:val="32"/>
        </w:rPr>
        <w:t>和生育保险在</w:t>
      </w:r>
      <w:r>
        <w:rPr>
          <w:rFonts w:hint="eastAsia"/>
          <w:sz w:val="32"/>
          <w:szCs w:val="32"/>
        </w:rPr>
        <w:t>2019</w:t>
      </w:r>
      <w:r>
        <w:rPr>
          <w:rFonts w:hint="eastAsia"/>
          <w:sz w:val="32"/>
          <w:szCs w:val="32"/>
        </w:rPr>
        <w:t>年正式合并为职工医疗（生育）基金。</w:t>
      </w:r>
      <w:r>
        <w:rPr>
          <w:rFonts w:ascii="楷体_GB2312" w:eastAsia="楷体_GB2312" w:hint="eastAsia"/>
          <w:szCs w:val="28"/>
        </w:rPr>
        <w:t xml:space="preserve">  </w:t>
      </w:r>
    </w:p>
    <w:p w:rsidR="00C27119" w:rsidRDefault="00F845D6">
      <w:pPr>
        <w:jc w:val="center"/>
        <w:rPr>
          <w:szCs w:val="21"/>
        </w:rPr>
      </w:pPr>
      <w:r w:rsidRPr="00980A91">
        <w:rPr>
          <w:rFonts w:hint="eastAsia"/>
          <w:b/>
          <w:sz w:val="32"/>
          <w:szCs w:val="32"/>
        </w:rPr>
        <w:t>2022</w:t>
      </w:r>
      <w:r w:rsidR="00C27119" w:rsidRPr="00980A91">
        <w:rPr>
          <w:rFonts w:hint="eastAsia"/>
          <w:b/>
          <w:sz w:val="32"/>
          <w:szCs w:val="32"/>
        </w:rPr>
        <w:t>年全市医疗生</w:t>
      </w:r>
      <w:r w:rsidR="00C27119" w:rsidRPr="0062365F">
        <w:rPr>
          <w:rFonts w:hint="eastAsia"/>
          <w:b/>
          <w:sz w:val="32"/>
          <w:szCs w:val="32"/>
        </w:rPr>
        <w:t>育保险</w:t>
      </w:r>
      <w:r w:rsidR="00C27119">
        <w:rPr>
          <w:rFonts w:hint="eastAsia"/>
          <w:b/>
          <w:sz w:val="32"/>
          <w:szCs w:val="32"/>
        </w:rPr>
        <w:t>基金支出同比增长图</w:t>
      </w:r>
      <w:r w:rsidR="00C27119">
        <w:rPr>
          <w:rFonts w:hint="eastAsia"/>
          <w:szCs w:val="21"/>
        </w:rPr>
        <w:t>（单位</w:t>
      </w:r>
      <w:r w:rsidR="00C27119">
        <w:rPr>
          <w:rFonts w:hint="eastAsia"/>
          <w:szCs w:val="21"/>
        </w:rPr>
        <w:t>:</w:t>
      </w:r>
      <w:r w:rsidR="00C27119">
        <w:rPr>
          <w:rFonts w:hint="eastAsia"/>
          <w:szCs w:val="21"/>
        </w:rPr>
        <w:t>亿元）</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7"/>
      </w:tblGrid>
      <w:tr w:rsidR="00C27119">
        <w:trPr>
          <w:trHeight w:val="3959"/>
        </w:trPr>
        <w:tc>
          <w:tcPr>
            <w:tcW w:w="9003" w:type="dxa"/>
          </w:tcPr>
          <w:p w:rsidR="00C27119" w:rsidRDefault="00FB142F">
            <w:pPr>
              <w:jc w:val="left"/>
              <w:rPr>
                <w:sz w:val="32"/>
                <w:szCs w:val="32"/>
              </w:rPr>
            </w:pPr>
            <w:r w:rsidRPr="00F01B26">
              <w:rPr>
                <w:sz w:val="32"/>
                <w:szCs w:val="32"/>
              </w:rPr>
              <w:object w:dxaOrig="7841" w:dyaOrig="3856">
                <v:shape id="_x0000_i1029" type="#_x0000_t75" style="width:391.5pt;height:192.75pt" o:ole="">
                  <v:imagedata r:id="rId19" o:title=""/>
                </v:shape>
                <o:OLEObject Type="Embed" ProgID="MSGraph.Chart.8" ShapeID="_x0000_i1029" DrawAspect="Content" ObjectID="_1806737287" r:id="rId20">
                  <o:FieldCodes>\s</o:FieldCodes>
                </o:OLEObject>
              </w:object>
            </w:r>
          </w:p>
        </w:tc>
      </w:tr>
    </w:tbl>
    <w:p w:rsidR="00C27119" w:rsidRDefault="00C27119">
      <w:pPr>
        <w:ind w:firstLineChars="200" w:firstLine="643"/>
        <w:jc w:val="left"/>
        <w:rPr>
          <w:rFonts w:ascii="宋体" w:hAnsi="宋体"/>
          <w:b/>
          <w:sz w:val="32"/>
          <w:szCs w:val="32"/>
        </w:rPr>
      </w:pPr>
      <w:r>
        <w:rPr>
          <w:rFonts w:ascii="宋体" w:hAnsi="宋体" w:hint="eastAsia"/>
          <w:b/>
          <w:sz w:val="32"/>
          <w:szCs w:val="32"/>
        </w:rPr>
        <w:t>2.支出增长因素分析</w:t>
      </w:r>
    </w:p>
    <w:p w:rsidR="00C27119" w:rsidRPr="0062365F" w:rsidRDefault="00F845D6">
      <w:pPr>
        <w:ind w:leftChars="36" w:left="76" w:firstLineChars="200" w:firstLine="640"/>
        <w:jc w:val="left"/>
        <w:rPr>
          <w:rFonts w:eastAsia="仿宋_GB2312"/>
          <w:bCs/>
          <w:sz w:val="32"/>
          <w:szCs w:val="32"/>
        </w:rPr>
      </w:pPr>
      <w:r w:rsidRPr="00FB142F">
        <w:rPr>
          <w:rFonts w:eastAsia="仿宋_GB2312" w:hint="eastAsia"/>
          <w:bCs/>
          <w:sz w:val="32"/>
          <w:szCs w:val="32"/>
        </w:rPr>
        <w:t>2022</w:t>
      </w:r>
      <w:r w:rsidR="00C27119" w:rsidRPr="00FB142F">
        <w:rPr>
          <w:rFonts w:eastAsia="仿宋_GB2312" w:hint="eastAsia"/>
          <w:bCs/>
          <w:sz w:val="32"/>
          <w:szCs w:val="32"/>
        </w:rPr>
        <w:t>年</w:t>
      </w:r>
      <w:r w:rsidR="00C27119">
        <w:rPr>
          <w:rFonts w:eastAsia="仿宋_GB2312" w:hint="eastAsia"/>
          <w:bCs/>
          <w:sz w:val="32"/>
          <w:szCs w:val="32"/>
        </w:rPr>
        <w:t>度全市</w:t>
      </w:r>
      <w:r w:rsidR="00C27119">
        <w:rPr>
          <w:rFonts w:eastAsia="仿宋_GB2312"/>
          <w:bCs/>
          <w:sz w:val="32"/>
          <w:szCs w:val="32"/>
        </w:rPr>
        <w:t>城镇职工医</w:t>
      </w:r>
      <w:r w:rsidR="00C27119">
        <w:rPr>
          <w:rFonts w:eastAsia="仿宋_GB2312" w:hint="eastAsia"/>
          <w:bCs/>
          <w:sz w:val="32"/>
          <w:szCs w:val="32"/>
        </w:rPr>
        <w:t>保（生育）、城乡居民基金支出同比增长速度分别为</w:t>
      </w:r>
      <w:r w:rsidRPr="00FB142F">
        <w:rPr>
          <w:rFonts w:eastAsia="仿宋_GB2312" w:hint="eastAsia"/>
          <w:bCs/>
          <w:sz w:val="32"/>
          <w:szCs w:val="32"/>
        </w:rPr>
        <w:t>7.16%</w:t>
      </w:r>
      <w:r w:rsidRPr="00FB142F">
        <w:rPr>
          <w:rFonts w:eastAsia="仿宋_GB2312" w:hint="eastAsia"/>
          <w:bCs/>
          <w:sz w:val="32"/>
          <w:szCs w:val="32"/>
        </w:rPr>
        <w:t>、</w:t>
      </w:r>
      <w:r w:rsidRPr="00FB142F">
        <w:rPr>
          <w:rFonts w:eastAsia="仿宋_GB2312" w:hint="eastAsia"/>
          <w:bCs/>
          <w:sz w:val="32"/>
          <w:szCs w:val="32"/>
        </w:rPr>
        <w:t>6.51%</w:t>
      </w:r>
      <w:r w:rsidRPr="00FB142F">
        <w:rPr>
          <w:rFonts w:eastAsia="仿宋_GB2312" w:hint="eastAsia"/>
          <w:bCs/>
          <w:sz w:val="32"/>
          <w:szCs w:val="32"/>
        </w:rPr>
        <w:t>。</w:t>
      </w:r>
      <w:r w:rsidR="00C27119" w:rsidRPr="0062365F">
        <w:rPr>
          <w:rFonts w:eastAsia="仿宋_GB2312" w:hint="eastAsia"/>
          <w:bCs/>
          <w:sz w:val="32"/>
          <w:szCs w:val="32"/>
        </w:rPr>
        <w:t>影响基金支出增减的因素</w:t>
      </w:r>
      <w:r w:rsidR="00C27119" w:rsidRPr="0062365F">
        <w:rPr>
          <w:rFonts w:eastAsia="仿宋_GB2312" w:hint="eastAsia"/>
          <w:bCs/>
          <w:sz w:val="32"/>
          <w:szCs w:val="32"/>
        </w:rPr>
        <w:lastRenderedPageBreak/>
        <w:t>有以下二点：</w:t>
      </w:r>
    </w:p>
    <w:p w:rsidR="00C27119" w:rsidRPr="0062365F" w:rsidRDefault="00C27119">
      <w:pPr>
        <w:adjustRightInd w:val="0"/>
        <w:spacing w:line="600" w:lineRule="exact"/>
        <w:ind w:firstLine="670"/>
        <w:rPr>
          <w:rFonts w:ascii="仿宋_GB2312" w:eastAsia="仿宋_GB2312" w:hAnsi="宋体"/>
          <w:spacing w:val="4"/>
          <w:kern w:val="0"/>
          <w:sz w:val="32"/>
          <w:szCs w:val="32"/>
        </w:rPr>
      </w:pPr>
      <w:r w:rsidRPr="0062365F">
        <w:rPr>
          <w:rFonts w:eastAsia="仿宋_GB2312" w:hint="eastAsia"/>
          <w:b/>
          <w:bCs/>
          <w:sz w:val="32"/>
          <w:szCs w:val="32"/>
        </w:rPr>
        <w:t>（</w:t>
      </w:r>
      <w:r w:rsidRPr="0062365F">
        <w:rPr>
          <w:rFonts w:eastAsia="仿宋_GB2312" w:hint="eastAsia"/>
          <w:b/>
          <w:bCs/>
          <w:sz w:val="32"/>
          <w:szCs w:val="32"/>
        </w:rPr>
        <w:t>1</w:t>
      </w:r>
      <w:r w:rsidRPr="0062365F">
        <w:rPr>
          <w:rFonts w:eastAsia="仿宋_GB2312" w:hint="eastAsia"/>
          <w:b/>
          <w:bCs/>
          <w:sz w:val="32"/>
          <w:szCs w:val="32"/>
        </w:rPr>
        <w:t>）医疗费增</w:t>
      </w:r>
      <w:r w:rsidR="00F62508">
        <w:rPr>
          <w:rFonts w:eastAsia="仿宋_GB2312" w:hint="eastAsia"/>
          <w:b/>
          <w:bCs/>
          <w:sz w:val="32"/>
          <w:szCs w:val="32"/>
        </w:rPr>
        <w:t>减情况</w:t>
      </w:r>
      <w:r w:rsidRPr="0062365F">
        <w:rPr>
          <w:rFonts w:eastAsia="仿宋_GB2312" w:hint="eastAsia"/>
          <w:b/>
          <w:bCs/>
          <w:sz w:val="32"/>
          <w:szCs w:val="32"/>
        </w:rPr>
        <w:t>。</w:t>
      </w:r>
      <w:r w:rsidR="00F845D6" w:rsidRPr="002C5790">
        <w:rPr>
          <w:rFonts w:eastAsia="仿宋_GB2312" w:hint="eastAsia"/>
          <w:bCs/>
          <w:sz w:val="32"/>
          <w:szCs w:val="32"/>
        </w:rPr>
        <w:t>2022</w:t>
      </w:r>
      <w:r w:rsidRPr="002C5790">
        <w:rPr>
          <w:rFonts w:eastAsia="仿宋_GB2312" w:hint="eastAsia"/>
          <w:bCs/>
          <w:sz w:val="32"/>
          <w:szCs w:val="32"/>
        </w:rPr>
        <w:t>年</w:t>
      </w:r>
      <w:r w:rsidRPr="0062365F">
        <w:rPr>
          <w:rFonts w:eastAsia="仿宋_GB2312" w:hint="eastAsia"/>
          <w:bCs/>
          <w:sz w:val="32"/>
          <w:szCs w:val="32"/>
        </w:rPr>
        <w:t>职工医保、居民医保住院医疗费以及生育费用分别</w:t>
      </w:r>
      <w:r w:rsidR="00980A91">
        <w:rPr>
          <w:rFonts w:eastAsia="仿宋_GB2312" w:hint="eastAsia"/>
          <w:bCs/>
          <w:sz w:val="32"/>
          <w:szCs w:val="32"/>
        </w:rPr>
        <w:t>13.5</w:t>
      </w:r>
      <w:r w:rsidR="004870ED">
        <w:rPr>
          <w:rFonts w:eastAsia="仿宋_GB2312" w:hint="eastAsia"/>
          <w:bCs/>
          <w:sz w:val="32"/>
          <w:szCs w:val="32"/>
        </w:rPr>
        <w:t>7</w:t>
      </w:r>
      <w:r w:rsidRPr="0062365F">
        <w:rPr>
          <w:rFonts w:eastAsia="仿宋_GB2312" w:hint="eastAsia"/>
          <w:bCs/>
          <w:sz w:val="32"/>
          <w:szCs w:val="32"/>
        </w:rPr>
        <w:t>亿元、</w:t>
      </w:r>
      <w:r w:rsidR="00980A91">
        <w:rPr>
          <w:rFonts w:eastAsia="仿宋_GB2312" w:hint="eastAsia"/>
          <w:bCs/>
          <w:sz w:val="32"/>
          <w:szCs w:val="32"/>
        </w:rPr>
        <w:t>20.95</w:t>
      </w:r>
      <w:r w:rsidRPr="0062365F">
        <w:rPr>
          <w:rFonts w:eastAsia="仿宋_GB2312" w:hint="eastAsia"/>
          <w:bCs/>
          <w:sz w:val="32"/>
          <w:szCs w:val="32"/>
        </w:rPr>
        <w:t>亿元、</w:t>
      </w:r>
      <w:r w:rsidR="00E71128">
        <w:rPr>
          <w:rFonts w:eastAsia="仿宋_GB2312" w:hint="eastAsia"/>
          <w:bCs/>
          <w:sz w:val="32"/>
          <w:szCs w:val="32"/>
        </w:rPr>
        <w:t>1.21</w:t>
      </w:r>
      <w:r w:rsidRPr="0062365F">
        <w:rPr>
          <w:rFonts w:eastAsia="仿宋_GB2312" w:hint="eastAsia"/>
          <w:bCs/>
          <w:sz w:val="32"/>
          <w:szCs w:val="32"/>
        </w:rPr>
        <w:t>亿元，职工医保、居民医保待遇支出比上年分别增加</w:t>
      </w:r>
      <w:r w:rsidR="004870ED">
        <w:rPr>
          <w:rFonts w:eastAsia="仿宋_GB2312" w:hint="eastAsia"/>
          <w:bCs/>
          <w:sz w:val="32"/>
          <w:szCs w:val="32"/>
        </w:rPr>
        <w:t>1</w:t>
      </w:r>
      <w:r w:rsidR="00980A91">
        <w:rPr>
          <w:rFonts w:eastAsia="仿宋_GB2312" w:hint="eastAsia"/>
          <w:bCs/>
          <w:sz w:val="32"/>
          <w:szCs w:val="32"/>
        </w:rPr>
        <w:t>.09</w:t>
      </w:r>
      <w:r w:rsidRPr="00980A91">
        <w:rPr>
          <w:rFonts w:eastAsia="仿宋_GB2312" w:hint="eastAsia"/>
          <w:bCs/>
          <w:sz w:val="32"/>
          <w:szCs w:val="32"/>
        </w:rPr>
        <w:t>亿元、</w:t>
      </w:r>
      <w:r w:rsidR="00980A91">
        <w:rPr>
          <w:rFonts w:eastAsia="仿宋_GB2312" w:hint="eastAsia"/>
          <w:bCs/>
          <w:sz w:val="32"/>
          <w:szCs w:val="32"/>
        </w:rPr>
        <w:t>2.97</w:t>
      </w:r>
      <w:r w:rsidRPr="00980A91">
        <w:rPr>
          <w:rFonts w:eastAsia="仿宋_GB2312" w:hint="eastAsia"/>
          <w:bCs/>
          <w:sz w:val="32"/>
          <w:szCs w:val="32"/>
        </w:rPr>
        <w:t>亿元；生育医疗费比上年减少</w:t>
      </w:r>
      <w:r w:rsidR="007A60F0" w:rsidRPr="00980A91">
        <w:rPr>
          <w:rFonts w:eastAsia="仿宋_GB2312" w:hint="eastAsia"/>
          <w:bCs/>
          <w:sz w:val="32"/>
          <w:szCs w:val="32"/>
        </w:rPr>
        <w:t>0.1</w:t>
      </w:r>
      <w:r w:rsidR="0054580C" w:rsidRPr="00980A91">
        <w:rPr>
          <w:rFonts w:eastAsia="仿宋_GB2312" w:hint="eastAsia"/>
          <w:bCs/>
          <w:sz w:val="32"/>
          <w:szCs w:val="32"/>
        </w:rPr>
        <w:t>6</w:t>
      </w:r>
      <w:r w:rsidRPr="00980A91">
        <w:rPr>
          <w:rFonts w:eastAsia="仿宋_GB2312" w:hint="eastAsia"/>
          <w:bCs/>
          <w:sz w:val="32"/>
          <w:szCs w:val="32"/>
        </w:rPr>
        <w:t>亿元，同比增加幅度分别为</w:t>
      </w:r>
      <w:r w:rsidR="00980A91">
        <w:rPr>
          <w:rFonts w:eastAsia="仿宋_GB2312" w:hint="eastAsia"/>
          <w:bCs/>
          <w:sz w:val="32"/>
          <w:szCs w:val="32"/>
        </w:rPr>
        <w:t>8.73</w:t>
      </w:r>
      <w:r w:rsidRPr="00980A91">
        <w:rPr>
          <w:rFonts w:eastAsia="仿宋_GB2312" w:hint="eastAsia"/>
          <w:bCs/>
          <w:sz w:val="32"/>
          <w:szCs w:val="32"/>
        </w:rPr>
        <w:t>%</w:t>
      </w:r>
      <w:r w:rsidRPr="00980A91">
        <w:rPr>
          <w:rFonts w:eastAsia="仿宋_GB2312" w:hint="eastAsia"/>
          <w:bCs/>
          <w:sz w:val="32"/>
          <w:szCs w:val="32"/>
        </w:rPr>
        <w:t>、</w:t>
      </w:r>
      <w:r w:rsidR="00980A91">
        <w:rPr>
          <w:rFonts w:eastAsia="仿宋_GB2312" w:hint="eastAsia"/>
          <w:bCs/>
          <w:sz w:val="32"/>
          <w:szCs w:val="32"/>
        </w:rPr>
        <w:t>16.52</w:t>
      </w:r>
      <w:r w:rsidRPr="00980A91">
        <w:rPr>
          <w:rFonts w:eastAsia="仿宋_GB2312" w:hint="eastAsia"/>
          <w:bCs/>
          <w:sz w:val="32"/>
          <w:szCs w:val="32"/>
        </w:rPr>
        <w:t>%</w:t>
      </w:r>
      <w:r w:rsidRPr="00980A91">
        <w:rPr>
          <w:rFonts w:eastAsia="仿宋_GB2312" w:hint="eastAsia"/>
          <w:bCs/>
          <w:sz w:val="32"/>
          <w:szCs w:val="32"/>
        </w:rPr>
        <w:t>、</w:t>
      </w:r>
      <w:r w:rsidR="00BE1BBB" w:rsidRPr="00980A91">
        <w:rPr>
          <w:rFonts w:eastAsia="仿宋_GB2312" w:hint="eastAsia"/>
          <w:bCs/>
          <w:sz w:val="32"/>
          <w:szCs w:val="32"/>
        </w:rPr>
        <w:t>-11.</w:t>
      </w:r>
      <w:r w:rsidR="0054580C" w:rsidRPr="00980A91">
        <w:rPr>
          <w:rFonts w:eastAsia="仿宋_GB2312" w:hint="eastAsia"/>
          <w:bCs/>
          <w:sz w:val="32"/>
          <w:szCs w:val="32"/>
        </w:rPr>
        <w:t>67</w:t>
      </w:r>
      <w:r w:rsidRPr="00980A91">
        <w:rPr>
          <w:rFonts w:eastAsia="仿宋_GB2312" w:hint="eastAsia"/>
          <w:bCs/>
          <w:sz w:val="32"/>
          <w:szCs w:val="32"/>
        </w:rPr>
        <w:t>%</w:t>
      </w:r>
      <w:r w:rsidRPr="00980A91">
        <w:rPr>
          <w:rFonts w:eastAsia="仿宋_GB2312" w:hint="eastAsia"/>
          <w:bCs/>
          <w:sz w:val="32"/>
          <w:szCs w:val="32"/>
        </w:rPr>
        <w:t>。</w:t>
      </w:r>
      <w:r w:rsidR="003C3733" w:rsidRPr="00980A91">
        <w:rPr>
          <w:rFonts w:eastAsia="仿宋_GB2312" w:hint="eastAsia"/>
          <w:bCs/>
          <w:sz w:val="32"/>
          <w:szCs w:val="32"/>
        </w:rPr>
        <w:t>基本医疗</w:t>
      </w:r>
      <w:r w:rsidRPr="00980A91">
        <w:rPr>
          <w:rFonts w:eastAsia="仿宋_GB2312" w:hint="eastAsia"/>
          <w:bCs/>
          <w:sz w:val="32"/>
          <w:szCs w:val="32"/>
        </w:rPr>
        <w:t>住院费用及生育医疗费</w:t>
      </w:r>
      <w:r w:rsidRPr="0062365F">
        <w:rPr>
          <w:rFonts w:eastAsia="仿宋_GB2312" w:hint="eastAsia"/>
          <w:bCs/>
          <w:sz w:val="32"/>
          <w:szCs w:val="32"/>
        </w:rPr>
        <w:t>用减少的主要原因：</w:t>
      </w:r>
      <w:r w:rsidRPr="0062365F">
        <w:rPr>
          <w:rFonts w:ascii="仿宋_GB2312" w:eastAsia="仿宋_GB2312" w:hAnsi="宋体" w:hint="eastAsia"/>
          <w:spacing w:val="4"/>
          <w:kern w:val="0"/>
          <w:sz w:val="32"/>
          <w:szCs w:val="32"/>
        </w:rPr>
        <w:t>国家医保信息平台</w:t>
      </w:r>
      <w:r w:rsidR="003C3733">
        <w:rPr>
          <w:rFonts w:ascii="仿宋_GB2312" w:eastAsia="仿宋_GB2312" w:hAnsi="宋体" w:hint="eastAsia"/>
          <w:spacing w:val="4"/>
          <w:kern w:val="0"/>
          <w:sz w:val="32"/>
          <w:szCs w:val="32"/>
        </w:rPr>
        <w:t>2021年</w:t>
      </w:r>
      <w:r w:rsidRPr="0062365F">
        <w:rPr>
          <w:rFonts w:ascii="仿宋_GB2312" w:eastAsia="仿宋_GB2312" w:hAnsi="宋体" w:hint="eastAsia"/>
          <w:spacing w:val="4"/>
          <w:kern w:val="0"/>
          <w:sz w:val="32"/>
          <w:szCs w:val="32"/>
        </w:rPr>
        <w:t>9月正式上线。系统上线需要大量前期准备工作，由于全省统一上线，数据量较大，造成部分功能在2021年不能正常使用，部分医疗费用在2022年予以结算。</w:t>
      </w:r>
      <w:r w:rsidR="003C3733">
        <w:rPr>
          <w:rFonts w:ascii="仿宋_GB2312" w:eastAsia="仿宋_GB2312" w:hAnsi="宋体" w:hint="eastAsia"/>
          <w:spacing w:val="4"/>
          <w:kern w:val="0"/>
          <w:sz w:val="32"/>
          <w:szCs w:val="32"/>
        </w:rPr>
        <w:t>生育费用减少是因为生育人数逐步减少，高龄产妇人数减少，</w:t>
      </w:r>
      <w:r w:rsidR="004870ED" w:rsidRPr="004870ED">
        <w:rPr>
          <w:rFonts w:ascii="仿宋_GB2312" w:eastAsia="仿宋_GB2312" w:hAnsi="宋体" w:hint="eastAsia"/>
          <w:spacing w:val="4"/>
          <w:kern w:val="0"/>
          <w:sz w:val="32"/>
          <w:szCs w:val="32"/>
        </w:rPr>
        <w:t>妊娠并发症相应减少</w:t>
      </w:r>
      <w:r w:rsidR="004870ED">
        <w:rPr>
          <w:rFonts w:ascii="仿宋_GB2312" w:eastAsia="仿宋_GB2312" w:hAnsi="宋体" w:hint="eastAsia"/>
          <w:spacing w:val="4"/>
          <w:kern w:val="0"/>
          <w:sz w:val="32"/>
          <w:szCs w:val="32"/>
        </w:rPr>
        <w:t>，因此生育费用一定幅度减少。</w:t>
      </w:r>
    </w:p>
    <w:p w:rsidR="00C27119" w:rsidRPr="0062365F" w:rsidRDefault="00F62508" w:rsidP="00F31A6E">
      <w:pPr>
        <w:adjustRightInd w:val="0"/>
        <w:spacing w:line="600" w:lineRule="exact"/>
        <w:ind w:firstLineChars="150" w:firstLine="482"/>
        <w:rPr>
          <w:rFonts w:ascii="仿宋_GB2312" w:eastAsia="仿宋_GB2312" w:hAnsi="宋体"/>
          <w:spacing w:val="4"/>
          <w:kern w:val="0"/>
          <w:sz w:val="32"/>
          <w:szCs w:val="32"/>
        </w:rPr>
      </w:pPr>
      <w:r w:rsidRPr="003F23DA">
        <w:rPr>
          <w:rFonts w:eastAsia="仿宋_GB2312" w:hint="eastAsia"/>
          <w:b/>
          <w:bCs/>
          <w:sz w:val="32"/>
          <w:szCs w:val="32"/>
        </w:rPr>
        <w:t>（</w:t>
      </w:r>
      <w:r w:rsidRPr="003F23DA">
        <w:rPr>
          <w:rFonts w:eastAsia="仿宋_GB2312" w:hint="eastAsia"/>
          <w:b/>
          <w:bCs/>
          <w:sz w:val="32"/>
          <w:szCs w:val="32"/>
        </w:rPr>
        <w:t>2</w:t>
      </w:r>
      <w:r w:rsidRPr="003F23DA">
        <w:rPr>
          <w:rFonts w:eastAsia="仿宋_GB2312" w:hint="eastAsia"/>
          <w:b/>
          <w:bCs/>
          <w:sz w:val="32"/>
          <w:szCs w:val="32"/>
        </w:rPr>
        <w:t>）</w:t>
      </w:r>
      <w:r w:rsidRPr="0062365F">
        <w:rPr>
          <w:rFonts w:eastAsia="仿宋_GB2312" w:hint="eastAsia"/>
          <w:b/>
          <w:bCs/>
          <w:sz w:val="32"/>
          <w:szCs w:val="32"/>
        </w:rPr>
        <w:t>个人账户支出</w:t>
      </w:r>
      <w:r>
        <w:rPr>
          <w:rFonts w:eastAsia="仿宋_GB2312" w:hint="eastAsia"/>
          <w:b/>
          <w:bCs/>
          <w:sz w:val="32"/>
          <w:szCs w:val="32"/>
        </w:rPr>
        <w:t>增减情况。</w:t>
      </w:r>
      <w:r w:rsidR="00C27119" w:rsidRPr="0062365F">
        <w:rPr>
          <w:rFonts w:eastAsia="仿宋_GB2312" w:hint="eastAsia"/>
          <w:bCs/>
          <w:sz w:val="32"/>
          <w:szCs w:val="32"/>
        </w:rPr>
        <w:t>个人账户支出</w:t>
      </w:r>
      <w:r w:rsidR="004870ED">
        <w:rPr>
          <w:rFonts w:eastAsia="仿宋_GB2312" w:hint="eastAsia"/>
          <w:bCs/>
          <w:sz w:val="32"/>
          <w:szCs w:val="32"/>
        </w:rPr>
        <w:t>11.11</w:t>
      </w:r>
      <w:r w:rsidR="00C27119" w:rsidRPr="0062365F">
        <w:rPr>
          <w:rFonts w:eastAsia="仿宋_GB2312" w:hint="eastAsia"/>
          <w:bCs/>
          <w:sz w:val="32"/>
          <w:szCs w:val="32"/>
        </w:rPr>
        <w:t>亿元，较去年</w:t>
      </w:r>
      <w:r w:rsidR="000F2AB8">
        <w:rPr>
          <w:rFonts w:eastAsia="仿宋_GB2312" w:hint="eastAsia"/>
          <w:bCs/>
          <w:sz w:val="32"/>
          <w:szCs w:val="32"/>
        </w:rPr>
        <w:t>增加</w:t>
      </w:r>
      <w:r w:rsidR="00C27119" w:rsidRPr="004870ED">
        <w:rPr>
          <w:rFonts w:eastAsia="仿宋_GB2312" w:hint="eastAsia"/>
          <w:bCs/>
          <w:sz w:val="32"/>
          <w:szCs w:val="32"/>
        </w:rPr>
        <w:t>0.</w:t>
      </w:r>
      <w:r w:rsidR="000F2AB8" w:rsidRPr="004870ED">
        <w:rPr>
          <w:rFonts w:eastAsia="仿宋_GB2312" w:hint="eastAsia"/>
          <w:bCs/>
          <w:sz w:val="32"/>
          <w:szCs w:val="32"/>
        </w:rPr>
        <w:t>4</w:t>
      </w:r>
      <w:r w:rsidR="004870ED">
        <w:rPr>
          <w:rFonts w:eastAsia="仿宋_GB2312" w:hint="eastAsia"/>
          <w:bCs/>
          <w:sz w:val="32"/>
          <w:szCs w:val="32"/>
        </w:rPr>
        <w:t>5</w:t>
      </w:r>
      <w:r w:rsidR="00C27119" w:rsidRPr="0062365F">
        <w:rPr>
          <w:rFonts w:eastAsia="仿宋_GB2312" w:hint="eastAsia"/>
          <w:bCs/>
          <w:sz w:val="32"/>
          <w:szCs w:val="32"/>
        </w:rPr>
        <w:t>亿元，</w:t>
      </w:r>
      <w:r w:rsidR="00C27119" w:rsidRPr="0062365F">
        <w:rPr>
          <w:rFonts w:ascii="仿宋_GB2312" w:eastAsia="仿宋_GB2312" w:hAnsi="宋体" w:hint="eastAsia"/>
          <w:spacing w:val="4"/>
          <w:kern w:val="0"/>
          <w:sz w:val="32"/>
          <w:szCs w:val="32"/>
        </w:rPr>
        <w:t>国家医保信息平台</w:t>
      </w:r>
      <w:r w:rsidR="004870ED">
        <w:rPr>
          <w:rFonts w:ascii="仿宋_GB2312" w:eastAsia="仿宋_GB2312" w:hAnsi="宋体" w:hint="eastAsia"/>
          <w:spacing w:val="4"/>
          <w:kern w:val="0"/>
          <w:sz w:val="32"/>
          <w:szCs w:val="32"/>
        </w:rPr>
        <w:t>2021年</w:t>
      </w:r>
      <w:r w:rsidR="00C27119" w:rsidRPr="0062365F">
        <w:rPr>
          <w:rFonts w:ascii="仿宋_GB2312" w:eastAsia="仿宋_GB2312" w:hAnsi="宋体" w:hint="eastAsia"/>
          <w:spacing w:val="4"/>
          <w:kern w:val="0"/>
          <w:sz w:val="32"/>
          <w:szCs w:val="32"/>
        </w:rPr>
        <w:t>9月正式上线。系统上线需要大量前期准备工作，由于全省统一上线，数据量较大，造成部分功能在2021年不能正常使用，部分医疗费用在2022年予以结算。</w:t>
      </w:r>
    </w:p>
    <w:p w:rsidR="00C27119" w:rsidRPr="0062365F" w:rsidRDefault="00C27119" w:rsidP="00F31A6E">
      <w:pPr>
        <w:ind w:leftChars="36" w:left="76" w:firstLineChars="200" w:firstLine="643"/>
        <w:jc w:val="left"/>
        <w:rPr>
          <w:rFonts w:eastAsia="仿宋_GB2312"/>
          <w:b/>
          <w:bCs/>
          <w:sz w:val="32"/>
          <w:szCs w:val="32"/>
        </w:rPr>
      </w:pPr>
      <w:r w:rsidRPr="0062365F">
        <w:rPr>
          <w:rFonts w:eastAsia="仿宋_GB2312" w:hint="eastAsia"/>
          <w:b/>
          <w:bCs/>
          <w:sz w:val="32"/>
          <w:szCs w:val="32"/>
        </w:rPr>
        <w:t>3.</w:t>
      </w:r>
      <w:r w:rsidRPr="0062365F">
        <w:rPr>
          <w:rFonts w:eastAsia="仿宋_GB2312" w:hint="eastAsia"/>
          <w:b/>
          <w:bCs/>
          <w:sz w:val="32"/>
          <w:szCs w:val="32"/>
        </w:rPr>
        <w:t>支出预算执行情况分析</w:t>
      </w:r>
    </w:p>
    <w:p w:rsidR="00C27119" w:rsidRPr="00FD3262" w:rsidRDefault="000F2AB8">
      <w:pPr>
        <w:adjustRightInd w:val="0"/>
        <w:spacing w:line="600" w:lineRule="exact"/>
        <w:ind w:firstLine="670"/>
        <w:rPr>
          <w:rFonts w:ascii="仿宋_GB2312" w:eastAsia="仿宋_GB2312" w:hAnsi="宋体"/>
          <w:spacing w:val="4"/>
          <w:kern w:val="0"/>
          <w:sz w:val="32"/>
          <w:szCs w:val="32"/>
        </w:rPr>
      </w:pPr>
      <w:r w:rsidRPr="00FD3262">
        <w:rPr>
          <w:rFonts w:eastAsia="仿宋_GB2312" w:hint="eastAsia"/>
          <w:bCs/>
          <w:sz w:val="32"/>
          <w:szCs w:val="32"/>
        </w:rPr>
        <w:t>2022</w:t>
      </w:r>
      <w:r w:rsidR="00C27119" w:rsidRPr="00FD3262">
        <w:rPr>
          <w:rFonts w:eastAsia="仿宋_GB2312" w:hint="eastAsia"/>
          <w:bCs/>
          <w:sz w:val="32"/>
          <w:szCs w:val="32"/>
        </w:rPr>
        <w:t>年全市</w:t>
      </w:r>
      <w:r w:rsidR="00C27119" w:rsidRPr="00FD3262">
        <w:rPr>
          <w:rFonts w:eastAsia="仿宋_GB2312"/>
          <w:bCs/>
          <w:sz w:val="32"/>
          <w:szCs w:val="32"/>
        </w:rPr>
        <w:t>城镇职工医</w:t>
      </w:r>
      <w:r w:rsidR="00C27119" w:rsidRPr="00FD3262">
        <w:rPr>
          <w:rFonts w:eastAsia="仿宋_GB2312" w:hint="eastAsia"/>
          <w:bCs/>
          <w:sz w:val="32"/>
          <w:szCs w:val="32"/>
        </w:rPr>
        <w:t>保</w:t>
      </w:r>
      <w:r w:rsidR="00C27119" w:rsidRPr="00FD3262">
        <w:rPr>
          <w:rFonts w:eastAsia="仿宋_GB2312"/>
          <w:bCs/>
          <w:sz w:val="32"/>
          <w:szCs w:val="32"/>
        </w:rPr>
        <w:t>、</w:t>
      </w:r>
      <w:r w:rsidR="00C27119" w:rsidRPr="00FD3262">
        <w:rPr>
          <w:rFonts w:eastAsia="仿宋_GB2312" w:hint="eastAsia"/>
          <w:bCs/>
          <w:sz w:val="32"/>
          <w:szCs w:val="32"/>
        </w:rPr>
        <w:t>居民医保基金预算支出执行率分别为</w:t>
      </w:r>
      <w:r w:rsidR="00515989" w:rsidRPr="00FD3262">
        <w:rPr>
          <w:rFonts w:eastAsia="仿宋_GB2312" w:hint="eastAsia"/>
          <w:bCs/>
          <w:sz w:val="32"/>
          <w:szCs w:val="32"/>
        </w:rPr>
        <w:t>103.72</w:t>
      </w:r>
      <w:r w:rsidR="00C27119" w:rsidRPr="00FD3262">
        <w:rPr>
          <w:rFonts w:eastAsia="仿宋_GB2312" w:hint="eastAsia"/>
          <w:bCs/>
          <w:sz w:val="32"/>
          <w:szCs w:val="32"/>
        </w:rPr>
        <w:t>%</w:t>
      </w:r>
      <w:r w:rsidR="00C27119" w:rsidRPr="00FD3262">
        <w:rPr>
          <w:rFonts w:eastAsia="仿宋_GB2312" w:hint="eastAsia"/>
          <w:bCs/>
          <w:sz w:val="32"/>
          <w:szCs w:val="32"/>
        </w:rPr>
        <w:t>、</w:t>
      </w:r>
      <w:r w:rsidR="00515989" w:rsidRPr="00FD3262">
        <w:rPr>
          <w:rFonts w:eastAsia="仿宋_GB2312" w:hint="eastAsia"/>
          <w:bCs/>
          <w:sz w:val="32"/>
          <w:szCs w:val="32"/>
        </w:rPr>
        <w:t>120.63</w:t>
      </w:r>
      <w:r w:rsidR="00C27119" w:rsidRPr="00FD3262">
        <w:rPr>
          <w:rFonts w:eastAsia="仿宋_GB2312" w:hint="eastAsia"/>
          <w:bCs/>
          <w:sz w:val="32"/>
          <w:szCs w:val="32"/>
        </w:rPr>
        <w:t>%</w:t>
      </w:r>
      <w:r w:rsidR="00C27119" w:rsidRPr="00FD3262">
        <w:rPr>
          <w:rFonts w:eastAsia="仿宋_GB2312" w:hint="eastAsia"/>
          <w:bCs/>
          <w:sz w:val="32"/>
          <w:szCs w:val="32"/>
        </w:rPr>
        <w:t>，保险待遇预算支出执行率分别为</w:t>
      </w:r>
      <w:r w:rsidR="0015522D" w:rsidRPr="00FD3262">
        <w:rPr>
          <w:rFonts w:eastAsia="仿宋_GB2312" w:hint="eastAsia"/>
          <w:bCs/>
          <w:sz w:val="32"/>
          <w:szCs w:val="32"/>
        </w:rPr>
        <w:t>97.99</w:t>
      </w:r>
      <w:r w:rsidR="00C27119" w:rsidRPr="00FD3262">
        <w:rPr>
          <w:rFonts w:eastAsia="仿宋_GB2312" w:hint="eastAsia"/>
          <w:bCs/>
          <w:sz w:val="32"/>
          <w:szCs w:val="32"/>
        </w:rPr>
        <w:t>%</w:t>
      </w:r>
      <w:r w:rsidR="00C27119" w:rsidRPr="00FD3262">
        <w:rPr>
          <w:rFonts w:eastAsia="仿宋_GB2312" w:hint="eastAsia"/>
          <w:bCs/>
          <w:sz w:val="32"/>
          <w:szCs w:val="32"/>
        </w:rPr>
        <w:t>、</w:t>
      </w:r>
      <w:r w:rsidR="0015522D" w:rsidRPr="00FD3262">
        <w:rPr>
          <w:rFonts w:eastAsia="仿宋_GB2312" w:hint="eastAsia"/>
          <w:bCs/>
          <w:sz w:val="32"/>
          <w:szCs w:val="32"/>
        </w:rPr>
        <w:t>107.31</w:t>
      </w:r>
      <w:r w:rsidR="00C27119" w:rsidRPr="00FD3262">
        <w:rPr>
          <w:rFonts w:eastAsia="仿宋_GB2312" w:hint="eastAsia"/>
          <w:bCs/>
          <w:sz w:val="32"/>
          <w:szCs w:val="32"/>
        </w:rPr>
        <w:t>%</w:t>
      </w:r>
      <w:r w:rsidR="00C27119" w:rsidRPr="00FD3262">
        <w:rPr>
          <w:rFonts w:eastAsia="仿宋_GB2312" w:hint="eastAsia"/>
          <w:bCs/>
          <w:sz w:val="32"/>
          <w:szCs w:val="32"/>
        </w:rPr>
        <w:t>。主要原因：</w:t>
      </w:r>
      <w:r w:rsidR="00515989" w:rsidRPr="00FD3262">
        <w:rPr>
          <w:rFonts w:eastAsia="仿宋_GB2312" w:hint="eastAsia"/>
          <w:bCs/>
          <w:sz w:val="32"/>
          <w:szCs w:val="32"/>
        </w:rPr>
        <w:t>一是</w:t>
      </w:r>
      <w:r w:rsidR="00C27119" w:rsidRPr="00FD3262">
        <w:rPr>
          <w:rFonts w:ascii="仿宋_GB2312" w:eastAsia="仿宋_GB2312" w:hAnsi="宋体" w:hint="eastAsia"/>
          <w:spacing w:val="4"/>
          <w:kern w:val="0"/>
          <w:sz w:val="32"/>
          <w:szCs w:val="32"/>
        </w:rPr>
        <w:t>国家医保信息平台9月正式上线。系统上线需要大量前期准备工作，由于全省统一上线，数据量较大，造成部分功能在2021年不能正常使用，部分医</w:t>
      </w:r>
      <w:r w:rsidR="00C27119" w:rsidRPr="00FD3262">
        <w:rPr>
          <w:rFonts w:ascii="仿宋_GB2312" w:eastAsia="仿宋_GB2312" w:hAnsi="宋体" w:hint="eastAsia"/>
          <w:spacing w:val="4"/>
          <w:kern w:val="0"/>
          <w:sz w:val="32"/>
          <w:szCs w:val="32"/>
        </w:rPr>
        <w:lastRenderedPageBreak/>
        <w:t>疗费用在2022年予以结算。</w:t>
      </w:r>
      <w:r w:rsidR="00515989" w:rsidRPr="00FD3262">
        <w:rPr>
          <w:rFonts w:ascii="仿宋_GB2312" w:eastAsia="仿宋_GB2312" w:hAnsi="宋体" w:hint="eastAsia"/>
          <w:spacing w:val="4"/>
          <w:kern w:val="0"/>
          <w:sz w:val="32"/>
          <w:szCs w:val="32"/>
        </w:rPr>
        <w:t>二是12月全市新冠疫情爆发，2022年部分医疗机构及药店未办理结算，费用在2023年年初进行</w:t>
      </w:r>
      <w:r w:rsidR="00E25811" w:rsidRPr="00FD3262">
        <w:rPr>
          <w:rFonts w:ascii="仿宋_GB2312" w:eastAsia="仿宋_GB2312" w:hAnsi="宋体" w:hint="eastAsia"/>
          <w:spacing w:val="4"/>
          <w:kern w:val="0"/>
          <w:sz w:val="32"/>
          <w:szCs w:val="32"/>
        </w:rPr>
        <w:t>清算拨付</w:t>
      </w:r>
      <w:r w:rsidR="00515989" w:rsidRPr="00FD3262">
        <w:rPr>
          <w:rFonts w:ascii="仿宋_GB2312" w:eastAsia="仿宋_GB2312" w:hAnsi="宋体" w:hint="eastAsia"/>
          <w:spacing w:val="4"/>
          <w:kern w:val="0"/>
          <w:sz w:val="32"/>
          <w:szCs w:val="32"/>
        </w:rPr>
        <w:t>。</w:t>
      </w:r>
    </w:p>
    <w:p w:rsidR="00C27119" w:rsidRPr="00FD3262" w:rsidRDefault="00C27119">
      <w:pPr>
        <w:ind w:leftChars="36" w:left="76" w:firstLineChars="200" w:firstLine="643"/>
        <w:jc w:val="left"/>
        <w:rPr>
          <w:sz w:val="32"/>
          <w:szCs w:val="32"/>
        </w:rPr>
      </w:pPr>
      <w:r w:rsidRPr="00FD3262">
        <w:rPr>
          <w:rFonts w:hint="eastAsia"/>
          <w:b/>
          <w:sz w:val="32"/>
          <w:szCs w:val="32"/>
        </w:rPr>
        <w:t>202</w:t>
      </w:r>
      <w:r w:rsidR="005221BC">
        <w:rPr>
          <w:rFonts w:hint="eastAsia"/>
          <w:b/>
          <w:sz w:val="32"/>
          <w:szCs w:val="32"/>
        </w:rPr>
        <w:t>2</w:t>
      </w:r>
      <w:r w:rsidRPr="00FD3262">
        <w:rPr>
          <w:rFonts w:hint="eastAsia"/>
          <w:b/>
          <w:sz w:val="32"/>
          <w:szCs w:val="32"/>
        </w:rPr>
        <w:t>年全市医疗生育保险基金预算支出执行情况表</w:t>
      </w:r>
      <w:r w:rsidRPr="00FD3262">
        <w:rPr>
          <w:rFonts w:hint="eastAsia"/>
          <w:szCs w:val="21"/>
        </w:rPr>
        <w:t>（单位</w:t>
      </w:r>
      <w:r w:rsidRPr="00FD3262">
        <w:rPr>
          <w:rFonts w:hint="eastAsia"/>
          <w:szCs w:val="21"/>
        </w:rPr>
        <w:t>:</w:t>
      </w:r>
      <w:r w:rsidRPr="00FD3262">
        <w:rPr>
          <w:rFonts w:hint="eastAsia"/>
          <w:szCs w:val="21"/>
        </w:rPr>
        <w:t>亿元）</w:t>
      </w:r>
    </w:p>
    <w:tbl>
      <w:tblPr>
        <w:tblW w:w="5000" w:type="pct"/>
        <w:tblLook w:val="0000" w:firstRow="0" w:lastRow="0" w:firstColumn="0" w:lastColumn="0" w:noHBand="0" w:noVBand="0"/>
      </w:tblPr>
      <w:tblGrid>
        <w:gridCol w:w="1317"/>
        <w:gridCol w:w="1324"/>
        <w:gridCol w:w="1323"/>
        <w:gridCol w:w="1196"/>
        <w:gridCol w:w="1323"/>
        <w:gridCol w:w="1323"/>
        <w:gridCol w:w="1197"/>
      </w:tblGrid>
      <w:tr w:rsidR="00C27119" w:rsidRPr="00FD3262">
        <w:trPr>
          <w:trHeight w:val="525"/>
        </w:trPr>
        <w:tc>
          <w:tcPr>
            <w:tcW w:w="731" w:type="pct"/>
            <w:vMerge w:val="restart"/>
            <w:tcBorders>
              <w:top w:val="single" w:sz="4" w:space="0" w:color="auto"/>
              <w:left w:val="single" w:sz="4" w:space="0" w:color="auto"/>
              <w:bottom w:val="single" w:sz="4" w:space="0" w:color="auto"/>
              <w:right w:val="single" w:sz="4" w:space="0" w:color="auto"/>
            </w:tcBorders>
            <w:vAlign w:val="center"/>
          </w:tcPr>
          <w:p w:rsidR="00C27119" w:rsidRPr="00FD3262" w:rsidRDefault="00C27119">
            <w:pPr>
              <w:widowControl/>
              <w:jc w:val="center"/>
              <w:rPr>
                <w:rFonts w:ascii="宋体" w:hAnsi="宋体" w:cs="宋体"/>
                <w:color w:val="000000"/>
                <w:kern w:val="0"/>
                <w:sz w:val="24"/>
              </w:rPr>
            </w:pPr>
            <w:r w:rsidRPr="00FD3262">
              <w:rPr>
                <w:rFonts w:ascii="宋体" w:hAnsi="宋体" w:cs="宋体" w:hint="eastAsia"/>
                <w:color w:val="000000"/>
                <w:kern w:val="0"/>
                <w:sz w:val="24"/>
              </w:rPr>
              <w:t>险 种</w:t>
            </w:r>
          </w:p>
        </w:tc>
        <w:tc>
          <w:tcPr>
            <w:tcW w:w="2134" w:type="pct"/>
            <w:gridSpan w:val="3"/>
            <w:tcBorders>
              <w:top w:val="single" w:sz="4" w:space="0" w:color="auto"/>
              <w:left w:val="nil"/>
              <w:bottom w:val="single" w:sz="4" w:space="0" w:color="auto"/>
              <w:right w:val="single" w:sz="4" w:space="0" w:color="auto"/>
            </w:tcBorders>
            <w:vAlign w:val="center"/>
          </w:tcPr>
          <w:p w:rsidR="00C27119" w:rsidRPr="00FD3262" w:rsidRDefault="00C27119">
            <w:pPr>
              <w:widowControl/>
              <w:jc w:val="center"/>
              <w:rPr>
                <w:rFonts w:ascii="宋体" w:hAnsi="宋体" w:cs="宋体"/>
                <w:color w:val="000000"/>
                <w:kern w:val="0"/>
                <w:sz w:val="24"/>
              </w:rPr>
            </w:pPr>
            <w:r w:rsidRPr="00FD3262">
              <w:rPr>
                <w:rFonts w:ascii="宋体" w:hAnsi="宋体" w:cs="宋体" w:hint="eastAsia"/>
                <w:color w:val="000000"/>
                <w:kern w:val="0"/>
                <w:sz w:val="24"/>
              </w:rPr>
              <w:t>本年支出</w:t>
            </w:r>
          </w:p>
        </w:tc>
        <w:tc>
          <w:tcPr>
            <w:tcW w:w="2134" w:type="pct"/>
            <w:gridSpan w:val="3"/>
            <w:tcBorders>
              <w:top w:val="single" w:sz="4" w:space="0" w:color="auto"/>
              <w:left w:val="nil"/>
              <w:bottom w:val="single" w:sz="4" w:space="0" w:color="auto"/>
              <w:right w:val="single" w:sz="4" w:space="0" w:color="auto"/>
            </w:tcBorders>
            <w:vAlign w:val="center"/>
          </w:tcPr>
          <w:p w:rsidR="00C27119" w:rsidRPr="00FD3262" w:rsidRDefault="00C27119">
            <w:pPr>
              <w:widowControl/>
              <w:jc w:val="center"/>
              <w:rPr>
                <w:rFonts w:ascii="宋体" w:hAnsi="宋体" w:cs="宋体"/>
                <w:color w:val="000000"/>
                <w:kern w:val="0"/>
                <w:sz w:val="24"/>
              </w:rPr>
            </w:pPr>
            <w:r w:rsidRPr="00FD3262">
              <w:rPr>
                <w:rFonts w:ascii="宋体" w:hAnsi="宋体" w:cs="宋体" w:hint="eastAsia"/>
                <w:color w:val="000000"/>
                <w:kern w:val="0"/>
                <w:sz w:val="24"/>
              </w:rPr>
              <w:t>其中：保险待遇支出</w:t>
            </w:r>
          </w:p>
        </w:tc>
      </w:tr>
      <w:tr w:rsidR="00C27119" w:rsidRPr="00FD3262">
        <w:trPr>
          <w:trHeight w:val="525"/>
        </w:trPr>
        <w:tc>
          <w:tcPr>
            <w:tcW w:w="731" w:type="pct"/>
            <w:vMerge/>
            <w:tcBorders>
              <w:top w:val="single" w:sz="4" w:space="0" w:color="auto"/>
              <w:left w:val="single" w:sz="4" w:space="0" w:color="auto"/>
              <w:bottom w:val="single" w:sz="4" w:space="0" w:color="auto"/>
              <w:right w:val="single" w:sz="4" w:space="0" w:color="auto"/>
            </w:tcBorders>
            <w:vAlign w:val="center"/>
          </w:tcPr>
          <w:p w:rsidR="00C27119" w:rsidRPr="00FD3262" w:rsidRDefault="00C27119">
            <w:pPr>
              <w:widowControl/>
              <w:jc w:val="left"/>
              <w:rPr>
                <w:rFonts w:ascii="宋体" w:hAnsi="宋体" w:cs="宋体"/>
                <w:color w:val="000000"/>
                <w:kern w:val="0"/>
                <w:sz w:val="24"/>
              </w:rPr>
            </w:pPr>
          </w:p>
        </w:tc>
        <w:tc>
          <w:tcPr>
            <w:tcW w:w="735" w:type="pct"/>
            <w:tcBorders>
              <w:top w:val="nil"/>
              <w:left w:val="nil"/>
              <w:bottom w:val="single" w:sz="4" w:space="0" w:color="auto"/>
              <w:right w:val="single" w:sz="4" w:space="0" w:color="auto"/>
            </w:tcBorders>
            <w:vAlign w:val="center"/>
          </w:tcPr>
          <w:p w:rsidR="00C27119" w:rsidRPr="00FD3262" w:rsidRDefault="00C27119">
            <w:pPr>
              <w:widowControl/>
              <w:jc w:val="center"/>
              <w:rPr>
                <w:rFonts w:ascii="宋体" w:hAnsi="宋体" w:cs="宋体"/>
                <w:color w:val="000000"/>
                <w:kern w:val="0"/>
                <w:sz w:val="24"/>
              </w:rPr>
            </w:pPr>
            <w:r w:rsidRPr="00FD3262">
              <w:rPr>
                <w:rFonts w:ascii="宋体" w:hAnsi="宋体" w:cs="宋体" w:hint="eastAsia"/>
                <w:color w:val="000000"/>
                <w:kern w:val="0"/>
                <w:sz w:val="24"/>
              </w:rPr>
              <w:t>预算数</w:t>
            </w:r>
          </w:p>
        </w:tc>
        <w:tc>
          <w:tcPr>
            <w:tcW w:w="735" w:type="pct"/>
            <w:tcBorders>
              <w:top w:val="nil"/>
              <w:left w:val="nil"/>
              <w:bottom w:val="single" w:sz="4" w:space="0" w:color="auto"/>
              <w:right w:val="single" w:sz="4" w:space="0" w:color="auto"/>
            </w:tcBorders>
            <w:vAlign w:val="center"/>
          </w:tcPr>
          <w:p w:rsidR="00C27119" w:rsidRPr="00FD3262" w:rsidRDefault="00C27119">
            <w:pPr>
              <w:widowControl/>
              <w:jc w:val="center"/>
              <w:rPr>
                <w:rFonts w:ascii="宋体" w:hAnsi="宋体" w:cs="宋体"/>
                <w:color w:val="000000"/>
                <w:kern w:val="0"/>
                <w:sz w:val="24"/>
              </w:rPr>
            </w:pPr>
            <w:r w:rsidRPr="00FD3262">
              <w:rPr>
                <w:rFonts w:ascii="宋体" w:hAnsi="宋体" w:cs="宋体" w:hint="eastAsia"/>
                <w:color w:val="000000"/>
                <w:kern w:val="0"/>
                <w:sz w:val="24"/>
              </w:rPr>
              <w:t>执行数</w:t>
            </w:r>
          </w:p>
        </w:tc>
        <w:tc>
          <w:tcPr>
            <w:tcW w:w="664" w:type="pct"/>
            <w:tcBorders>
              <w:top w:val="nil"/>
              <w:left w:val="nil"/>
              <w:bottom w:val="single" w:sz="4" w:space="0" w:color="auto"/>
              <w:right w:val="single" w:sz="4" w:space="0" w:color="auto"/>
            </w:tcBorders>
            <w:vAlign w:val="center"/>
          </w:tcPr>
          <w:p w:rsidR="00C27119" w:rsidRPr="00FD3262" w:rsidRDefault="00C27119">
            <w:pPr>
              <w:widowControl/>
              <w:jc w:val="center"/>
              <w:rPr>
                <w:rFonts w:ascii="宋体" w:hAnsi="宋体" w:cs="宋体"/>
                <w:color w:val="000000"/>
                <w:kern w:val="0"/>
                <w:sz w:val="24"/>
              </w:rPr>
            </w:pPr>
            <w:r w:rsidRPr="00FD3262">
              <w:rPr>
                <w:rFonts w:ascii="宋体" w:hAnsi="宋体" w:cs="宋体" w:hint="eastAsia"/>
                <w:color w:val="000000"/>
                <w:kern w:val="0"/>
                <w:sz w:val="24"/>
              </w:rPr>
              <w:t>执行率</w:t>
            </w:r>
          </w:p>
        </w:tc>
        <w:tc>
          <w:tcPr>
            <w:tcW w:w="735" w:type="pct"/>
            <w:tcBorders>
              <w:top w:val="nil"/>
              <w:left w:val="nil"/>
              <w:bottom w:val="single" w:sz="4" w:space="0" w:color="auto"/>
              <w:right w:val="single" w:sz="4" w:space="0" w:color="auto"/>
            </w:tcBorders>
            <w:vAlign w:val="center"/>
          </w:tcPr>
          <w:p w:rsidR="00C27119" w:rsidRPr="00FD3262" w:rsidRDefault="00C27119">
            <w:pPr>
              <w:widowControl/>
              <w:jc w:val="center"/>
              <w:rPr>
                <w:rFonts w:ascii="宋体" w:hAnsi="宋体" w:cs="宋体"/>
                <w:color w:val="000000"/>
                <w:kern w:val="0"/>
                <w:sz w:val="24"/>
              </w:rPr>
            </w:pPr>
            <w:r w:rsidRPr="00FD3262">
              <w:rPr>
                <w:rFonts w:ascii="宋体" w:hAnsi="宋体" w:cs="宋体" w:hint="eastAsia"/>
                <w:color w:val="000000"/>
                <w:kern w:val="0"/>
                <w:sz w:val="24"/>
              </w:rPr>
              <w:t>预算数</w:t>
            </w:r>
          </w:p>
        </w:tc>
        <w:tc>
          <w:tcPr>
            <w:tcW w:w="735" w:type="pct"/>
            <w:tcBorders>
              <w:top w:val="nil"/>
              <w:left w:val="nil"/>
              <w:bottom w:val="single" w:sz="4" w:space="0" w:color="auto"/>
              <w:right w:val="single" w:sz="4" w:space="0" w:color="auto"/>
            </w:tcBorders>
            <w:vAlign w:val="center"/>
          </w:tcPr>
          <w:p w:rsidR="00C27119" w:rsidRPr="00FD3262" w:rsidRDefault="00C27119">
            <w:pPr>
              <w:widowControl/>
              <w:jc w:val="center"/>
              <w:rPr>
                <w:rFonts w:ascii="宋体" w:hAnsi="宋体" w:cs="宋体"/>
                <w:color w:val="000000"/>
                <w:kern w:val="0"/>
                <w:sz w:val="24"/>
              </w:rPr>
            </w:pPr>
            <w:r w:rsidRPr="00FD3262">
              <w:rPr>
                <w:rFonts w:ascii="宋体" w:hAnsi="宋体" w:cs="宋体" w:hint="eastAsia"/>
                <w:color w:val="000000"/>
                <w:kern w:val="0"/>
                <w:sz w:val="24"/>
              </w:rPr>
              <w:t>执行数</w:t>
            </w:r>
          </w:p>
        </w:tc>
        <w:tc>
          <w:tcPr>
            <w:tcW w:w="665" w:type="pct"/>
            <w:tcBorders>
              <w:top w:val="nil"/>
              <w:left w:val="nil"/>
              <w:bottom w:val="single" w:sz="4" w:space="0" w:color="auto"/>
              <w:right w:val="single" w:sz="4" w:space="0" w:color="auto"/>
            </w:tcBorders>
            <w:vAlign w:val="center"/>
          </w:tcPr>
          <w:p w:rsidR="00C27119" w:rsidRPr="00FD3262" w:rsidRDefault="00C27119">
            <w:pPr>
              <w:widowControl/>
              <w:jc w:val="center"/>
              <w:rPr>
                <w:rFonts w:ascii="宋体" w:hAnsi="宋体" w:cs="宋体"/>
                <w:color w:val="000000"/>
                <w:kern w:val="0"/>
                <w:sz w:val="24"/>
              </w:rPr>
            </w:pPr>
            <w:r w:rsidRPr="00FD3262">
              <w:rPr>
                <w:rFonts w:ascii="宋体" w:hAnsi="宋体" w:cs="宋体" w:hint="eastAsia"/>
                <w:color w:val="000000"/>
                <w:kern w:val="0"/>
                <w:sz w:val="24"/>
              </w:rPr>
              <w:t>执行率</w:t>
            </w:r>
          </w:p>
        </w:tc>
      </w:tr>
      <w:tr w:rsidR="00C27119" w:rsidRPr="00FD3262">
        <w:trPr>
          <w:trHeight w:val="525"/>
        </w:trPr>
        <w:tc>
          <w:tcPr>
            <w:tcW w:w="731" w:type="pct"/>
            <w:tcBorders>
              <w:top w:val="nil"/>
              <w:left w:val="single" w:sz="4" w:space="0" w:color="auto"/>
              <w:bottom w:val="single" w:sz="4" w:space="0" w:color="auto"/>
              <w:right w:val="single" w:sz="4" w:space="0" w:color="auto"/>
            </w:tcBorders>
            <w:noWrap/>
            <w:vAlign w:val="center"/>
          </w:tcPr>
          <w:p w:rsidR="00C27119" w:rsidRPr="00FD3262" w:rsidRDefault="00C27119">
            <w:pPr>
              <w:widowControl/>
              <w:jc w:val="center"/>
              <w:rPr>
                <w:rFonts w:ascii="宋体" w:hAnsi="宋体" w:cs="宋体"/>
                <w:kern w:val="0"/>
                <w:sz w:val="24"/>
              </w:rPr>
            </w:pPr>
            <w:r w:rsidRPr="00FD3262">
              <w:rPr>
                <w:rFonts w:ascii="宋体" w:hAnsi="宋体" w:cs="宋体" w:hint="eastAsia"/>
                <w:kern w:val="0"/>
                <w:sz w:val="24"/>
              </w:rPr>
              <w:t>职工医保</w:t>
            </w:r>
          </w:p>
        </w:tc>
        <w:tc>
          <w:tcPr>
            <w:tcW w:w="735" w:type="pct"/>
            <w:tcBorders>
              <w:top w:val="nil"/>
              <w:left w:val="nil"/>
              <w:bottom w:val="single" w:sz="4" w:space="0" w:color="auto"/>
              <w:right w:val="single" w:sz="4" w:space="0" w:color="auto"/>
            </w:tcBorders>
            <w:noWrap/>
            <w:vAlign w:val="center"/>
          </w:tcPr>
          <w:p w:rsidR="00C27119" w:rsidRPr="00FD3262" w:rsidRDefault="000F2AB8">
            <w:pPr>
              <w:jc w:val="center"/>
              <w:rPr>
                <w:rFonts w:ascii="仿宋" w:eastAsia="仿宋" w:hAnsi="仿宋"/>
                <w:sz w:val="24"/>
              </w:rPr>
            </w:pPr>
            <w:r w:rsidRPr="00FD3262">
              <w:rPr>
                <w:rFonts w:ascii="仿宋" w:eastAsia="仿宋" w:hAnsi="仿宋" w:hint="eastAsia"/>
                <w:sz w:val="24"/>
              </w:rPr>
              <w:t>27.43</w:t>
            </w:r>
          </w:p>
        </w:tc>
        <w:tc>
          <w:tcPr>
            <w:tcW w:w="735" w:type="pct"/>
            <w:tcBorders>
              <w:top w:val="nil"/>
              <w:left w:val="nil"/>
              <w:bottom w:val="single" w:sz="4" w:space="0" w:color="auto"/>
              <w:right w:val="single" w:sz="4" w:space="0" w:color="auto"/>
            </w:tcBorders>
            <w:noWrap/>
            <w:vAlign w:val="center"/>
          </w:tcPr>
          <w:p w:rsidR="00C27119" w:rsidRPr="00FD3262" w:rsidRDefault="00C06951" w:rsidP="000F2AB8">
            <w:pPr>
              <w:jc w:val="center"/>
              <w:rPr>
                <w:rFonts w:ascii="仿宋" w:eastAsia="仿宋" w:hAnsi="仿宋"/>
                <w:sz w:val="24"/>
              </w:rPr>
            </w:pPr>
            <w:r w:rsidRPr="00FD3262">
              <w:rPr>
                <w:rFonts w:ascii="仿宋" w:eastAsia="仿宋" w:hAnsi="仿宋" w:hint="eastAsia"/>
                <w:sz w:val="24"/>
              </w:rPr>
              <w:t>28.45</w:t>
            </w:r>
          </w:p>
        </w:tc>
        <w:tc>
          <w:tcPr>
            <w:tcW w:w="664" w:type="pct"/>
            <w:tcBorders>
              <w:top w:val="nil"/>
              <w:left w:val="nil"/>
              <w:bottom w:val="single" w:sz="4" w:space="0" w:color="auto"/>
              <w:right w:val="single" w:sz="4" w:space="0" w:color="auto"/>
            </w:tcBorders>
            <w:noWrap/>
            <w:vAlign w:val="center"/>
          </w:tcPr>
          <w:p w:rsidR="00C27119" w:rsidRPr="00FD3262" w:rsidRDefault="00C06951">
            <w:pPr>
              <w:jc w:val="center"/>
              <w:rPr>
                <w:rFonts w:ascii="仿宋" w:eastAsia="仿宋" w:hAnsi="仿宋"/>
                <w:sz w:val="24"/>
              </w:rPr>
            </w:pPr>
            <w:r w:rsidRPr="00FD3262">
              <w:rPr>
                <w:rFonts w:ascii="仿宋" w:eastAsia="仿宋" w:hAnsi="仿宋" w:hint="eastAsia"/>
                <w:sz w:val="24"/>
              </w:rPr>
              <w:t>103.72</w:t>
            </w:r>
            <w:r w:rsidR="00C27119" w:rsidRPr="00FD3262">
              <w:rPr>
                <w:rFonts w:ascii="仿宋" w:eastAsia="仿宋" w:hAnsi="仿宋" w:hint="eastAsia"/>
                <w:sz w:val="24"/>
              </w:rPr>
              <w:t>%</w:t>
            </w:r>
          </w:p>
        </w:tc>
        <w:tc>
          <w:tcPr>
            <w:tcW w:w="735" w:type="pct"/>
            <w:tcBorders>
              <w:top w:val="nil"/>
              <w:left w:val="nil"/>
              <w:bottom w:val="single" w:sz="4" w:space="0" w:color="auto"/>
              <w:right w:val="single" w:sz="4" w:space="0" w:color="auto"/>
            </w:tcBorders>
            <w:noWrap/>
            <w:vAlign w:val="center"/>
          </w:tcPr>
          <w:p w:rsidR="00C27119" w:rsidRPr="00FD3262" w:rsidRDefault="00C27119">
            <w:pPr>
              <w:jc w:val="center"/>
              <w:rPr>
                <w:rFonts w:ascii="仿宋" w:eastAsia="仿宋" w:hAnsi="仿宋"/>
                <w:sz w:val="24"/>
              </w:rPr>
            </w:pPr>
            <w:r w:rsidRPr="00FD3262">
              <w:rPr>
                <w:rFonts w:ascii="仿宋" w:eastAsia="仿宋" w:hAnsi="仿宋" w:hint="eastAsia"/>
                <w:sz w:val="24"/>
              </w:rPr>
              <w:t>26.</w:t>
            </w:r>
            <w:r w:rsidR="000F2AB8" w:rsidRPr="00FD3262">
              <w:rPr>
                <w:rFonts w:ascii="仿宋" w:eastAsia="仿宋" w:hAnsi="仿宋" w:hint="eastAsia"/>
                <w:sz w:val="24"/>
              </w:rPr>
              <w:t>82</w:t>
            </w:r>
          </w:p>
        </w:tc>
        <w:tc>
          <w:tcPr>
            <w:tcW w:w="735" w:type="pct"/>
            <w:tcBorders>
              <w:top w:val="nil"/>
              <w:left w:val="nil"/>
              <w:bottom w:val="single" w:sz="4" w:space="0" w:color="auto"/>
              <w:right w:val="single" w:sz="4" w:space="0" w:color="auto"/>
            </w:tcBorders>
            <w:noWrap/>
            <w:vAlign w:val="center"/>
          </w:tcPr>
          <w:p w:rsidR="00C27119" w:rsidRPr="00FD3262" w:rsidRDefault="000F2AB8">
            <w:pPr>
              <w:jc w:val="center"/>
              <w:rPr>
                <w:rFonts w:ascii="仿宋" w:eastAsia="仿宋" w:hAnsi="仿宋"/>
                <w:sz w:val="24"/>
              </w:rPr>
            </w:pPr>
            <w:r w:rsidRPr="00FD3262">
              <w:rPr>
                <w:rFonts w:ascii="仿宋" w:eastAsia="仿宋" w:hAnsi="仿宋" w:hint="eastAsia"/>
                <w:sz w:val="24"/>
              </w:rPr>
              <w:t>26.28</w:t>
            </w:r>
          </w:p>
        </w:tc>
        <w:tc>
          <w:tcPr>
            <w:tcW w:w="665" w:type="pct"/>
            <w:tcBorders>
              <w:top w:val="nil"/>
              <w:left w:val="nil"/>
              <w:bottom w:val="single" w:sz="4" w:space="0" w:color="auto"/>
              <w:right w:val="single" w:sz="4" w:space="0" w:color="auto"/>
            </w:tcBorders>
            <w:noWrap/>
            <w:vAlign w:val="center"/>
          </w:tcPr>
          <w:p w:rsidR="00C27119" w:rsidRPr="00FD3262" w:rsidRDefault="000F2AB8">
            <w:pPr>
              <w:jc w:val="center"/>
              <w:rPr>
                <w:rFonts w:ascii="仿宋" w:eastAsia="仿宋" w:hAnsi="仿宋"/>
                <w:sz w:val="24"/>
              </w:rPr>
            </w:pPr>
            <w:r w:rsidRPr="00FD3262">
              <w:rPr>
                <w:rFonts w:ascii="仿宋" w:eastAsia="仿宋" w:hAnsi="仿宋" w:hint="eastAsia"/>
                <w:sz w:val="24"/>
              </w:rPr>
              <w:t>97.99</w:t>
            </w:r>
            <w:r w:rsidR="00C27119" w:rsidRPr="00FD3262">
              <w:rPr>
                <w:rFonts w:ascii="仿宋" w:eastAsia="仿宋" w:hAnsi="仿宋" w:hint="eastAsia"/>
                <w:sz w:val="24"/>
              </w:rPr>
              <w:t>%</w:t>
            </w:r>
          </w:p>
        </w:tc>
      </w:tr>
      <w:tr w:rsidR="00C27119" w:rsidRPr="0062365F">
        <w:trPr>
          <w:trHeight w:val="565"/>
        </w:trPr>
        <w:tc>
          <w:tcPr>
            <w:tcW w:w="731" w:type="pct"/>
            <w:tcBorders>
              <w:top w:val="single" w:sz="4" w:space="0" w:color="auto"/>
              <w:left w:val="single" w:sz="4" w:space="0" w:color="auto"/>
              <w:bottom w:val="single" w:sz="4" w:space="0" w:color="auto"/>
              <w:right w:val="single" w:sz="4" w:space="0" w:color="auto"/>
            </w:tcBorders>
            <w:noWrap/>
            <w:vAlign w:val="center"/>
          </w:tcPr>
          <w:p w:rsidR="00C27119" w:rsidRPr="00FD3262" w:rsidRDefault="00C27119">
            <w:pPr>
              <w:widowControl/>
              <w:ind w:firstLineChars="50" w:firstLine="120"/>
              <w:rPr>
                <w:rFonts w:ascii="宋体" w:hAnsi="宋体" w:cs="宋体"/>
                <w:kern w:val="0"/>
                <w:sz w:val="24"/>
              </w:rPr>
            </w:pPr>
            <w:r w:rsidRPr="00FD3262">
              <w:rPr>
                <w:rFonts w:ascii="宋体" w:hAnsi="宋体" w:cs="宋体" w:hint="eastAsia"/>
                <w:kern w:val="0"/>
                <w:sz w:val="24"/>
              </w:rPr>
              <w:t>居民医保</w:t>
            </w:r>
          </w:p>
        </w:tc>
        <w:tc>
          <w:tcPr>
            <w:tcW w:w="735" w:type="pct"/>
            <w:tcBorders>
              <w:top w:val="single" w:sz="4" w:space="0" w:color="auto"/>
              <w:left w:val="nil"/>
              <w:bottom w:val="single" w:sz="4" w:space="0" w:color="auto"/>
              <w:right w:val="single" w:sz="4" w:space="0" w:color="auto"/>
            </w:tcBorders>
            <w:noWrap/>
            <w:vAlign w:val="center"/>
          </w:tcPr>
          <w:p w:rsidR="00C27119" w:rsidRPr="00FD3262" w:rsidRDefault="000F2AB8">
            <w:pPr>
              <w:jc w:val="center"/>
              <w:rPr>
                <w:rFonts w:ascii="仿宋" w:eastAsia="仿宋" w:hAnsi="仿宋"/>
                <w:sz w:val="24"/>
              </w:rPr>
            </w:pPr>
            <w:r w:rsidRPr="00FD3262">
              <w:rPr>
                <w:rFonts w:ascii="仿宋" w:eastAsia="仿宋" w:hAnsi="仿宋" w:hint="eastAsia"/>
                <w:sz w:val="24"/>
              </w:rPr>
              <w:t>25.59</w:t>
            </w:r>
          </w:p>
        </w:tc>
        <w:tc>
          <w:tcPr>
            <w:tcW w:w="735" w:type="pct"/>
            <w:tcBorders>
              <w:top w:val="single" w:sz="4" w:space="0" w:color="auto"/>
              <w:left w:val="nil"/>
              <w:bottom w:val="single" w:sz="4" w:space="0" w:color="auto"/>
              <w:right w:val="single" w:sz="4" w:space="0" w:color="auto"/>
            </w:tcBorders>
            <w:noWrap/>
            <w:vAlign w:val="center"/>
          </w:tcPr>
          <w:p w:rsidR="00C27119" w:rsidRPr="00FD3262" w:rsidRDefault="00980A91">
            <w:pPr>
              <w:jc w:val="center"/>
              <w:rPr>
                <w:rFonts w:ascii="仿宋" w:eastAsia="仿宋" w:hAnsi="仿宋"/>
                <w:sz w:val="24"/>
              </w:rPr>
            </w:pPr>
            <w:r>
              <w:rPr>
                <w:rFonts w:ascii="仿宋" w:eastAsia="仿宋" w:hAnsi="仿宋" w:hint="eastAsia"/>
                <w:sz w:val="24"/>
              </w:rPr>
              <w:t>28.80</w:t>
            </w:r>
          </w:p>
        </w:tc>
        <w:tc>
          <w:tcPr>
            <w:tcW w:w="664" w:type="pct"/>
            <w:tcBorders>
              <w:top w:val="single" w:sz="4" w:space="0" w:color="auto"/>
              <w:left w:val="nil"/>
              <w:bottom w:val="single" w:sz="4" w:space="0" w:color="auto"/>
              <w:right w:val="single" w:sz="4" w:space="0" w:color="auto"/>
            </w:tcBorders>
            <w:noWrap/>
            <w:vAlign w:val="center"/>
          </w:tcPr>
          <w:p w:rsidR="00C27119" w:rsidRPr="00FD3262" w:rsidRDefault="00980A91">
            <w:pPr>
              <w:jc w:val="center"/>
              <w:rPr>
                <w:rFonts w:ascii="仿宋" w:eastAsia="仿宋" w:hAnsi="仿宋"/>
                <w:sz w:val="24"/>
              </w:rPr>
            </w:pPr>
            <w:r>
              <w:rPr>
                <w:rFonts w:ascii="仿宋" w:eastAsia="仿宋" w:hAnsi="仿宋" w:hint="eastAsia"/>
                <w:sz w:val="24"/>
              </w:rPr>
              <w:t>112.54</w:t>
            </w:r>
            <w:r w:rsidR="000F2AB8" w:rsidRPr="00FD3262">
              <w:rPr>
                <w:rFonts w:ascii="仿宋" w:eastAsia="仿宋" w:hAnsi="仿宋" w:hint="eastAsia"/>
                <w:sz w:val="24"/>
              </w:rPr>
              <w:t>%</w:t>
            </w:r>
          </w:p>
        </w:tc>
        <w:tc>
          <w:tcPr>
            <w:tcW w:w="735" w:type="pct"/>
            <w:tcBorders>
              <w:top w:val="single" w:sz="4" w:space="0" w:color="auto"/>
              <w:left w:val="nil"/>
              <w:bottom w:val="single" w:sz="4" w:space="0" w:color="auto"/>
              <w:right w:val="single" w:sz="4" w:space="0" w:color="auto"/>
            </w:tcBorders>
            <w:noWrap/>
            <w:vAlign w:val="center"/>
          </w:tcPr>
          <w:p w:rsidR="00C27119" w:rsidRPr="00FD3262" w:rsidRDefault="00C27119">
            <w:pPr>
              <w:jc w:val="center"/>
              <w:rPr>
                <w:rFonts w:ascii="仿宋" w:eastAsia="仿宋" w:hAnsi="仿宋"/>
                <w:sz w:val="24"/>
              </w:rPr>
            </w:pPr>
            <w:r w:rsidRPr="00FD3262">
              <w:rPr>
                <w:rFonts w:ascii="仿宋" w:eastAsia="仿宋" w:hAnsi="仿宋" w:hint="eastAsia"/>
                <w:sz w:val="24"/>
              </w:rPr>
              <w:t>21.</w:t>
            </w:r>
            <w:r w:rsidR="000F2AB8" w:rsidRPr="00FD3262">
              <w:rPr>
                <w:rFonts w:ascii="仿宋" w:eastAsia="仿宋" w:hAnsi="仿宋" w:hint="eastAsia"/>
                <w:sz w:val="24"/>
              </w:rPr>
              <w:t>74</w:t>
            </w:r>
          </w:p>
        </w:tc>
        <w:tc>
          <w:tcPr>
            <w:tcW w:w="735" w:type="pct"/>
            <w:tcBorders>
              <w:top w:val="single" w:sz="4" w:space="0" w:color="auto"/>
              <w:left w:val="nil"/>
              <w:bottom w:val="single" w:sz="4" w:space="0" w:color="auto"/>
              <w:right w:val="single" w:sz="4" w:space="0" w:color="auto"/>
            </w:tcBorders>
            <w:noWrap/>
            <w:vAlign w:val="center"/>
          </w:tcPr>
          <w:p w:rsidR="00C27119" w:rsidRPr="00FD3262" w:rsidRDefault="000F2AB8">
            <w:pPr>
              <w:jc w:val="center"/>
              <w:rPr>
                <w:rFonts w:ascii="仿宋" w:eastAsia="仿宋" w:hAnsi="仿宋"/>
                <w:sz w:val="24"/>
              </w:rPr>
            </w:pPr>
            <w:r w:rsidRPr="00FD3262">
              <w:rPr>
                <w:rFonts w:ascii="仿宋" w:eastAsia="仿宋" w:hAnsi="仿宋" w:hint="eastAsia"/>
                <w:sz w:val="24"/>
              </w:rPr>
              <w:t>23.33</w:t>
            </w:r>
          </w:p>
        </w:tc>
        <w:tc>
          <w:tcPr>
            <w:tcW w:w="665" w:type="pct"/>
            <w:tcBorders>
              <w:top w:val="single" w:sz="4" w:space="0" w:color="auto"/>
              <w:left w:val="nil"/>
              <w:bottom w:val="single" w:sz="4" w:space="0" w:color="auto"/>
              <w:right w:val="single" w:sz="4" w:space="0" w:color="auto"/>
            </w:tcBorders>
            <w:noWrap/>
            <w:vAlign w:val="center"/>
          </w:tcPr>
          <w:p w:rsidR="00C27119" w:rsidRPr="00FD3262" w:rsidRDefault="000F2AB8">
            <w:pPr>
              <w:jc w:val="center"/>
              <w:rPr>
                <w:rFonts w:ascii="仿宋" w:eastAsia="仿宋" w:hAnsi="仿宋"/>
                <w:sz w:val="24"/>
              </w:rPr>
            </w:pPr>
            <w:r w:rsidRPr="00FD3262">
              <w:rPr>
                <w:rFonts w:ascii="仿宋" w:eastAsia="仿宋" w:hAnsi="仿宋" w:hint="eastAsia"/>
                <w:sz w:val="24"/>
              </w:rPr>
              <w:t>107.31%</w:t>
            </w:r>
          </w:p>
        </w:tc>
      </w:tr>
    </w:tbl>
    <w:p w:rsidR="00C27119" w:rsidRPr="0062365F" w:rsidRDefault="00C27119" w:rsidP="00F31A6E">
      <w:pPr>
        <w:ind w:firstLineChars="147" w:firstLine="472"/>
        <w:jc w:val="left"/>
        <w:rPr>
          <w:rFonts w:ascii="楷体_GB2312" w:eastAsia="楷体_GB2312" w:hAnsi="宋体"/>
          <w:b/>
          <w:sz w:val="32"/>
          <w:szCs w:val="32"/>
        </w:rPr>
      </w:pPr>
      <w:r w:rsidRPr="0062365F">
        <w:rPr>
          <w:rFonts w:ascii="楷体_GB2312" w:eastAsia="楷体_GB2312" w:hAnsi="宋体" w:hint="eastAsia"/>
          <w:b/>
          <w:sz w:val="32"/>
          <w:szCs w:val="32"/>
        </w:rPr>
        <w:t>（三）基金结余情况</w:t>
      </w:r>
    </w:p>
    <w:p w:rsidR="00C27119" w:rsidRPr="0062365F" w:rsidRDefault="00D841A8">
      <w:pPr>
        <w:ind w:firstLineChars="200" w:firstLine="640"/>
        <w:rPr>
          <w:rFonts w:eastAsia="仿宋_GB2312"/>
          <w:bCs/>
          <w:sz w:val="32"/>
          <w:szCs w:val="32"/>
        </w:rPr>
      </w:pPr>
      <w:r w:rsidRPr="00980A91">
        <w:rPr>
          <w:rFonts w:eastAsia="仿宋_GB2312" w:hint="eastAsia"/>
          <w:bCs/>
          <w:sz w:val="32"/>
          <w:szCs w:val="32"/>
        </w:rPr>
        <w:t>2022</w:t>
      </w:r>
      <w:r w:rsidR="00C27119" w:rsidRPr="00980A91">
        <w:rPr>
          <w:rFonts w:eastAsia="仿宋_GB2312" w:hint="eastAsia"/>
          <w:bCs/>
          <w:sz w:val="32"/>
          <w:szCs w:val="32"/>
        </w:rPr>
        <w:t>年全市城镇职工医保、居民医保当年</w:t>
      </w:r>
      <w:r w:rsidR="00E94F2A">
        <w:rPr>
          <w:rFonts w:eastAsia="仿宋_GB2312" w:hint="eastAsia"/>
          <w:bCs/>
          <w:sz w:val="32"/>
          <w:szCs w:val="32"/>
        </w:rPr>
        <w:t>基金</w:t>
      </w:r>
      <w:r w:rsidR="00C27119" w:rsidRPr="00980A91">
        <w:rPr>
          <w:rFonts w:eastAsia="仿宋_GB2312" w:hint="eastAsia"/>
          <w:bCs/>
          <w:sz w:val="32"/>
          <w:szCs w:val="32"/>
        </w:rPr>
        <w:t>结余合计</w:t>
      </w:r>
      <w:r w:rsidR="004930E3" w:rsidRPr="00980A91">
        <w:rPr>
          <w:rFonts w:eastAsia="仿宋_GB2312" w:hint="eastAsia"/>
          <w:bCs/>
          <w:sz w:val="32"/>
          <w:szCs w:val="32"/>
        </w:rPr>
        <w:t>9.5</w:t>
      </w:r>
      <w:r w:rsidR="00C27119" w:rsidRPr="00980A91">
        <w:rPr>
          <w:rFonts w:eastAsia="仿宋_GB2312" w:hint="eastAsia"/>
          <w:bCs/>
          <w:sz w:val="32"/>
          <w:szCs w:val="32"/>
        </w:rPr>
        <w:t>亿元，其中职工医保</w:t>
      </w:r>
      <w:r w:rsidR="004930E3" w:rsidRPr="00980A91">
        <w:rPr>
          <w:rFonts w:eastAsia="仿宋_GB2312" w:hint="eastAsia"/>
          <w:bCs/>
          <w:sz w:val="32"/>
          <w:szCs w:val="32"/>
        </w:rPr>
        <w:t>7.42</w:t>
      </w:r>
      <w:r w:rsidR="00C27119" w:rsidRPr="00980A91">
        <w:rPr>
          <w:rFonts w:eastAsia="仿宋_GB2312" w:hint="eastAsia"/>
          <w:bCs/>
          <w:sz w:val="32"/>
          <w:szCs w:val="32"/>
        </w:rPr>
        <w:t>亿元（统筹基金</w:t>
      </w:r>
      <w:r w:rsidR="004930E3" w:rsidRPr="00980A91">
        <w:rPr>
          <w:rFonts w:eastAsia="仿宋_GB2312" w:hint="eastAsia"/>
          <w:bCs/>
          <w:sz w:val="32"/>
          <w:szCs w:val="32"/>
        </w:rPr>
        <w:t>4.14</w:t>
      </w:r>
      <w:r w:rsidR="00C27119" w:rsidRPr="00980A91">
        <w:rPr>
          <w:rFonts w:eastAsia="仿宋_GB2312" w:hint="eastAsia"/>
          <w:bCs/>
          <w:sz w:val="32"/>
          <w:szCs w:val="32"/>
        </w:rPr>
        <w:t>亿元、个人账户</w:t>
      </w:r>
      <w:r w:rsidR="004930E3" w:rsidRPr="00980A91">
        <w:rPr>
          <w:rFonts w:eastAsia="仿宋_GB2312" w:hint="eastAsia"/>
          <w:bCs/>
          <w:sz w:val="32"/>
          <w:szCs w:val="32"/>
        </w:rPr>
        <w:t>3.28</w:t>
      </w:r>
      <w:r w:rsidR="00C27119" w:rsidRPr="00980A91">
        <w:rPr>
          <w:rFonts w:eastAsia="仿宋_GB2312" w:hint="eastAsia"/>
          <w:bCs/>
          <w:sz w:val="32"/>
          <w:szCs w:val="32"/>
        </w:rPr>
        <w:t>亿元）、居民医保</w:t>
      </w:r>
      <w:r w:rsidR="004930E3" w:rsidRPr="00980A91">
        <w:rPr>
          <w:rFonts w:eastAsia="仿宋_GB2312" w:hint="eastAsia"/>
          <w:bCs/>
          <w:sz w:val="32"/>
          <w:szCs w:val="32"/>
        </w:rPr>
        <w:t>2.07</w:t>
      </w:r>
      <w:r w:rsidR="00C27119" w:rsidRPr="00980A91">
        <w:rPr>
          <w:rFonts w:eastAsia="仿宋_GB2312" w:hint="eastAsia"/>
          <w:bCs/>
          <w:sz w:val="32"/>
          <w:szCs w:val="32"/>
        </w:rPr>
        <w:t>亿元。</w:t>
      </w:r>
    </w:p>
    <w:p w:rsidR="00C27119" w:rsidRPr="0062365F" w:rsidRDefault="004930E3">
      <w:pPr>
        <w:ind w:firstLineChars="200" w:firstLine="640"/>
        <w:rPr>
          <w:rFonts w:eastAsia="仿宋_GB2312"/>
          <w:bCs/>
          <w:sz w:val="32"/>
          <w:szCs w:val="32"/>
        </w:rPr>
      </w:pPr>
      <w:r w:rsidRPr="00980A91">
        <w:rPr>
          <w:rFonts w:eastAsia="仿宋_GB2312" w:hint="eastAsia"/>
          <w:bCs/>
          <w:sz w:val="32"/>
          <w:szCs w:val="32"/>
        </w:rPr>
        <w:t>2022</w:t>
      </w:r>
      <w:r w:rsidR="00C27119" w:rsidRPr="00980A91">
        <w:rPr>
          <w:rFonts w:eastAsia="仿宋_GB2312" w:hint="eastAsia"/>
          <w:bCs/>
          <w:sz w:val="32"/>
          <w:szCs w:val="32"/>
        </w:rPr>
        <w:t>年全市</w:t>
      </w:r>
      <w:r w:rsidR="00C27119" w:rsidRPr="00980A91">
        <w:rPr>
          <w:rFonts w:eastAsia="仿宋_GB2312"/>
          <w:bCs/>
          <w:sz w:val="32"/>
          <w:szCs w:val="32"/>
        </w:rPr>
        <w:t>城镇职工医</w:t>
      </w:r>
      <w:r w:rsidR="00C27119" w:rsidRPr="00980A91">
        <w:rPr>
          <w:rFonts w:eastAsia="仿宋_GB2312" w:hint="eastAsia"/>
          <w:bCs/>
          <w:sz w:val="32"/>
          <w:szCs w:val="32"/>
        </w:rPr>
        <w:t>保</w:t>
      </w:r>
      <w:r w:rsidR="00C27119" w:rsidRPr="00980A91">
        <w:rPr>
          <w:rFonts w:eastAsia="仿宋_GB2312"/>
          <w:bCs/>
          <w:sz w:val="32"/>
          <w:szCs w:val="32"/>
        </w:rPr>
        <w:t>、居民医保</w:t>
      </w:r>
      <w:r w:rsidR="00C27119" w:rsidRPr="00980A91">
        <w:rPr>
          <w:rFonts w:eastAsia="仿宋_GB2312" w:hint="eastAsia"/>
          <w:bCs/>
          <w:sz w:val="32"/>
          <w:szCs w:val="32"/>
        </w:rPr>
        <w:t>历年累计结余合计</w:t>
      </w:r>
      <w:r w:rsidRPr="00980A91">
        <w:rPr>
          <w:rFonts w:eastAsia="仿宋_GB2312" w:hint="eastAsia"/>
          <w:bCs/>
          <w:sz w:val="32"/>
          <w:szCs w:val="32"/>
        </w:rPr>
        <w:t>81.36</w:t>
      </w:r>
      <w:r w:rsidR="00C27119" w:rsidRPr="00980A91">
        <w:rPr>
          <w:rFonts w:eastAsia="仿宋_GB2312" w:hint="eastAsia"/>
          <w:bCs/>
          <w:sz w:val="32"/>
          <w:szCs w:val="32"/>
        </w:rPr>
        <w:t>亿元，其中职工医保</w:t>
      </w:r>
      <w:r w:rsidRPr="00980A91">
        <w:rPr>
          <w:rFonts w:eastAsia="仿宋_GB2312" w:hint="eastAsia"/>
          <w:bCs/>
          <w:sz w:val="32"/>
          <w:szCs w:val="32"/>
        </w:rPr>
        <w:t>56.56</w:t>
      </w:r>
      <w:r w:rsidR="00C27119" w:rsidRPr="00980A91">
        <w:rPr>
          <w:rFonts w:eastAsia="仿宋_GB2312" w:hint="eastAsia"/>
          <w:bCs/>
          <w:sz w:val="32"/>
          <w:szCs w:val="32"/>
        </w:rPr>
        <w:t>亿元（其中统筹基金</w:t>
      </w:r>
      <w:r w:rsidRPr="00980A91">
        <w:rPr>
          <w:rFonts w:eastAsia="仿宋_GB2312" w:hint="eastAsia"/>
          <w:bCs/>
          <w:sz w:val="32"/>
          <w:szCs w:val="32"/>
        </w:rPr>
        <w:t>28.03</w:t>
      </w:r>
      <w:r w:rsidR="00C27119" w:rsidRPr="00980A91">
        <w:rPr>
          <w:rFonts w:eastAsia="仿宋_GB2312" w:hint="eastAsia"/>
          <w:bCs/>
          <w:sz w:val="32"/>
          <w:szCs w:val="32"/>
        </w:rPr>
        <w:t>亿元，占总额的</w:t>
      </w:r>
      <w:r w:rsidRPr="00980A91">
        <w:rPr>
          <w:rFonts w:eastAsia="仿宋_GB2312" w:hint="eastAsia"/>
          <w:bCs/>
          <w:sz w:val="32"/>
          <w:szCs w:val="32"/>
        </w:rPr>
        <w:t>49.56</w:t>
      </w:r>
      <w:r w:rsidR="00C27119" w:rsidRPr="00980A91">
        <w:rPr>
          <w:rFonts w:eastAsia="仿宋_GB2312" w:hint="eastAsia"/>
          <w:bCs/>
          <w:sz w:val="32"/>
          <w:szCs w:val="32"/>
        </w:rPr>
        <w:t>%</w:t>
      </w:r>
      <w:r w:rsidR="00C27119" w:rsidRPr="00980A91">
        <w:rPr>
          <w:rFonts w:eastAsia="仿宋_GB2312" w:hint="eastAsia"/>
          <w:bCs/>
          <w:sz w:val="32"/>
          <w:szCs w:val="32"/>
        </w:rPr>
        <w:t>；个账基金</w:t>
      </w:r>
      <w:r w:rsidR="00D81AF8" w:rsidRPr="00980A91">
        <w:rPr>
          <w:rFonts w:eastAsia="仿宋_GB2312" w:hint="eastAsia"/>
          <w:bCs/>
          <w:sz w:val="32"/>
          <w:szCs w:val="32"/>
        </w:rPr>
        <w:t>28.53</w:t>
      </w:r>
      <w:r w:rsidR="00C27119" w:rsidRPr="00980A91">
        <w:rPr>
          <w:rFonts w:eastAsia="仿宋_GB2312" w:hint="eastAsia"/>
          <w:bCs/>
          <w:sz w:val="32"/>
          <w:szCs w:val="32"/>
        </w:rPr>
        <w:t>亿元，占总额</w:t>
      </w:r>
      <w:r w:rsidR="00D81AF8" w:rsidRPr="00980A91">
        <w:rPr>
          <w:rFonts w:eastAsia="仿宋_GB2312" w:hint="eastAsia"/>
          <w:bCs/>
          <w:sz w:val="32"/>
          <w:szCs w:val="32"/>
        </w:rPr>
        <w:t>50.44</w:t>
      </w:r>
      <w:r w:rsidR="00C27119" w:rsidRPr="00980A91">
        <w:rPr>
          <w:rFonts w:eastAsia="仿宋_GB2312" w:hint="eastAsia"/>
          <w:bCs/>
          <w:sz w:val="32"/>
          <w:szCs w:val="32"/>
        </w:rPr>
        <w:t>%</w:t>
      </w:r>
      <w:r w:rsidR="00D81AF8" w:rsidRPr="00980A91">
        <w:rPr>
          <w:rFonts w:eastAsia="仿宋_GB2312" w:hint="eastAsia"/>
          <w:bCs/>
          <w:sz w:val="32"/>
          <w:szCs w:val="32"/>
        </w:rPr>
        <w:t>）</w:t>
      </w:r>
      <w:r w:rsidR="00C27119" w:rsidRPr="00980A91">
        <w:rPr>
          <w:rFonts w:eastAsia="仿宋_GB2312" w:hint="eastAsia"/>
          <w:bCs/>
          <w:sz w:val="32"/>
          <w:szCs w:val="32"/>
        </w:rPr>
        <w:t>居民医保</w:t>
      </w:r>
      <w:r w:rsidR="00D81AF8" w:rsidRPr="00980A91">
        <w:rPr>
          <w:rFonts w:eastAsia="仿宋_GB2312" w:hint="eastAsia"/>
          <w:bCs/>
          <w:sz w:val="32"/>
          <w:szCs w:val="32"/>
        </w:rPr>
        <w:t>24.80</w:t>
      </w:r>
      <w:r w:rsidR="00C27119" w:rsidRPr="00980A91">
        <w:rPr>
          <w:rFonts w:eastAsia="仿宋_GB2312" w:hint="eastAsia"/>
          <w:bCs/>
          <w:sz w:val="32"/>
          <w:szCs w:val="32"/>
        </w:rPr>
        <w:t>亿元。</w:t>
      </w:r>
    </w:p>
    <w:p w:rsidR="00C27119" w:rsidRPr="00977E6B" w:rsidRDefault="00C27119">
      <w:pPr>
        <w:ind w:right="280"/>
        <w:jc w:val="right"/>
        <w:rPr>
          <w:szCs w:val="21"/>
        </w:rPr>
      </w:pPr>
      <w:r w:rsidRPr="00980A91">
        <w:rPr>
          <w:rFonts w:hint="eastAsia"/>
          <w:b/>
          <w:sz w:val="28"/>
          <w:szCs w:val="28"/>
        </w:rPr>
        <w:t>2018-202</w:t>
      </w:r>
      <w:r w:rsidR="00300C52" w:rsidRPr="00980A91">
        <w:rPr>
          <w:rFonts w:hint="eastAsia"/>
          <w:b/>
          <w:sz w:val="28"/>
          <w:szCs w:val="28"/>
        </w:rPr>
        <w:t>2</w:t>
      </w:r>
      <w:r w:rsidRPr="00980A91">
        <w:rPr>
          <w:rFonts w:hint="eastAsia"/>
          <w:b/>
          <w:sz w:val="28"/>
          <w:szCs w:val="28"/>
        </w:rPr>
        <w:t>年全市</w:t>
      </w:r>
      <w:r w:rsidRPr="00977E6B">
        <w:rPr>
          <w:b/>
          <w:sz w:val="28"/>
          <w:szCs w:val="28"/>
        </w:rPr>
        <w:t>城镇职工医</w:t>
      </w:r>
      <w:r w:rsidRPr="00977E6B">
        <w:rPr>
          <w:rFonts w:hint="eastAsia"/>
          <w:b/>
          <w:sz w:val="28"/>
          <w:szCs w:val="28"/>
        </w:rPr>
        <w:t>保统筹基金当期出现收不抵支情况</w:t>
      </w:r>
      <w:r w:rsidRPr="00977E6B">
        <w:rPr>
          <w:rFonts w:hint="eastAsia"/>
          <w:sz w:val="28"/>
          <w:szCs w:val="28"/>
        </w:rPr>
        <w:t xml:space="preserve">          </w:t>
      </w:r>
      <w:r w:rsidRPr="00977E6B">
        <w:rPr>
          <w:rFonts w:hint="eastAsia"/>
          <w:sz w:val="18"/>
          <w:szCs w:val="18"/>
        </w:rPr>
        <w:t>单位：万元</w:t>
      </w:r>
    </w:p>
    <w:tbl>
      <w:tblPr>
        <w:tblW w:w="8931" w:type="dxa"/>
        <w:tblInd w:w="108" w:type="dxa"/>
        <w:tblLook w:val="0000" w:firstRow="0" w:lastRow="0" w:firstColumn="0" w:lastColumn="0" w:noHBand="0" w:noVBand="0"/>
      </w:tblPr>
      <w:tblGrid>
        <w:gridCol w:w="983"/>
        <w:gridCol w:w="1064"/>
        <w:gridCol w:w="1274"/>
        <w:gridCol w:w="1022"/>
        <w:gridCol w:w="1068"/>
        <w:gridCol w:w="1290"/>
        <w:gridCol w:w="1035"/>
        <w:gridCol w:w="1195"/>
      </w:tblGrid>
      <w:tr w:rsidR="00C27119" w:rsidRPr="00977E6B">
        <w:trPr>
          <w:trHeight w:val="450"/>
        </w:trPr>
        <w:tc>
          <w:tcPr>
            <w:tcW w:w="983" w:type="dxa"/>
            <w:vMerge w:val="restart"/>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0"/>
                <w:szCs w:val="20"/>
              </w:rPr>
            </w:pPr>
            <w:r w:rsidRPr="00977E6B">
              <w:rPr>
                <w:rFonts w:ascii="宋体" w:hAnsi="宋体" w:cs="宋体" w:hint="eastAsia"/>
                <w:kern w:val="0"/>
                <w:sz w:val="20"/>
                <w:szCs w:val="20"/>
              </w:rPr>
              <w:t>年 度</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C27119" w:rsidRPr="00977E6B" w:rsidRDefault="00C27119">
            <w:pPr>
              <w:widowControl/>
              <w:jc w:val="center"/>
              <w:rPr>
                <w:rFonts w:ascii="宋体" w:hAnsi="宋体" w:cs="宋体"/>
                <w:kern w:val="0"/>
                <w:sz w:val="20"/>
                <w:szCs w:val="20"/>
              </w:rPr>
            </w:pPr>
            <w:r w:rsidRPr="00977E6B">
              <w:rPr>
                <w:rFonts w:ascii="宋体" w:hAnsi="宋体" w:cs="宋体" w:hint="eastAsia"/>
                <w:kern w:val="0"/>
                <w:sz w:val="20"/>
                <w:szCs w:val="20"/>
              </w:rPr>
              <w:t>统筹区</w:t>
            </w:r>
            <w:r w:rsidRPr="00977E6B">
              <w:rPr>
                <w:rFonts w:ascii="宋体" w:hAnsi="宋体" w:cs="宋体" w:hint="eastAsia"/>
                <w:kern w:val="0"/>
                <w:sz w:val="20"/>
                <w:szCs w:val="20"/>
              </w:rPr>
              <w:br/>
              <w:t>总数</w:t>
            </w:r>
          </w:p>
        </w:tc>
        <w:tc>
          <w:tcPr>
            <w:tcW w:w="3364" w:type="dxa"/>
            <w:gridSpan w:val="3"/>
            <w:tcBorders>
              <w:top w:val="single" w:sz="4" w:space="0" w:color="auto"/>
              <w:left w:val="nil"/>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0"/>
                <w:szCs w:val="20"/>
              </w:rPr>
            </w:pPr>
            <w:r w:rsidRPr="00977E6B">
              <w:rPr>
                <w:rFonts w:ascii="宋体" w:hAnsi="宋体" w:cs="宋体" w:hint="eastAsia"/>
                <w:kern w:val="0"/>
                <w:sz w:val="20"/>
                <w:szCs w:val="20"/>
              </w:rPr>
              <w:t>出现收不抵支情况</w:t>
            </w:r>
          </w:p>
        </w:tc>
        <w:tc>
          <w:tcPr>
            <w:tcW w:w="3520" w:type="dxa"/>
            <w:gridSpan w:val="3"/>
            <w:tcBorders>
              <w:top w:val="single" w:sz="4" w:space="0" w:color="auto"/>
              <w:left w:val="nil"/>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0"/>
                <w:szCs w:val="20"/>
              </w:rPr>
            </w:pPr>
            <w:r w:rsidRPr="00977E6B">
              <w:rPr>
                <w:rFonts w:ascii="宋体" w:hAnsi="宋体" w:cs="宋体" w:hint="eastAsia"/>
                <w:kern w:val="0"/>
                <w:sz w:val="20"/>
                <w:szCs w:val="20"/>
              </w:rPr>
              <w:t>未出现收不抵支情况</w:t>
            </w:r>
          </w:p>
        </w:tc>
      </w:tr>
      <w:tr w:rsidR="00C27119" w:rsidRPr="00977E6B">
        <w:trPr>
          <w:trHeight w:val="450"/>
        </w:trPr>
        <w:tc>
          <w:tcPr>
            <w:tcW w:w="983" w:type="dxa"/>
            <w:vMerge/>
            <w:tcBorders>
              <w:top w:val="single" w:sz="4" w:space="0" w:color="auto"/>
              <w:left w:val="single" w:sz="4" w:space="0" w:color="auto"/>
              <w:bottom w:val="single" w:sz="4" w:space="0" w:color="auto"/>
              <w:right w:val="single" w:sz="4" w:space="0" w:color="auto"/>
            </w:tcBorders>
            <w:vAlign w:val="center"/>
          </w:tcPr>
          <w:p w:rsidR="00C27119" w:rsidRPr="00977E6B" w:rsidRDefault="00C27119">
            <w:pPr>
              <w:widowControl/>
              <w:jc w:val="left"/>
              <w:rPr>
                <w:rFonts w:ascii="宋体" w:hAnsi="宋体" w:cs="宋体"/>
                <w:kern w:val="0"/>
                <w:sz w:val="20"/>
                <w:szCs w:val="20"/>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C27119" w:rsidRPr="00977E6B" w:rsidRDefault="00C27119">
            <w:pPr>
              <w:widowControl/>
              <w:jc w:val="left"/>
              <w:rPr>
                <w:rFonts w:ascii="宋体" w:hAnsi="宋体" w:cs="宋体"/>
                <w:kern w:val="0"/>
                <w:sz w:val="20"/>
                <w:szCs w:val="20"/>
              </w:rPr>
            </w:pPr>
          </w:p>
        </w:tc>
        <w:tc>
          <w:tcPr>
            <w:tcW w:w="1274" w:type="dxa"/>
            <w:tcBorders>
              <w:top w:val="single" w:sz="4" w:space="0" w:color="auto"/>
              <w:left w:val="nil"/>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0"/>
                <w:szCs w:val="20"/>
              </w:rPr>
            </w:pPr>
            <w:r w:rsidRPr="00977E6B">
              <w:rPr>
                <w:rFonts w:ascii="宋体" w:hAnsi="宋体" w:cs="宋体" w:hint="eastAsia"/>
                <w:kern w:val="0"/>
                <w:sz w:val="20"/>
                <w:szCs w:val="20"/>
              </w:rPr>
              <w:t>统筹区个数</w:t>
            </w:r>
          </w:p>
        </w:tc>
        <w:tc>
          <w:tcPr>
            <w:tcW w:w="1022" w:type="dxa"/>
            <w:tcBorders>
              <w:top w:val="single" w:sz="4" w:space="0" w:color="auto"/>
              <w:left w:val="nil"/>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18"/>
                <w:szCs w:val="18"/>
              </w:rPr>
            </w:pPr>
            <w:r w:rsidRPr="00977E6B">
              <w:rPr>
                <w:rFonts w:ascii="宋体" w:hAnsi="宋体" w:cs="宋体" w:hint="eastAsia"/>
                <w:kern w:val="0"/>
                <w:sz w:val="18"/>
                <w:szCs w:val="18"/>
              </w:rPr>
              <w:t>所占比例</w:t>
            </w:r>
          </w:p>
        </w:tc>
        <w:tc>
          <w:tcPr>
            <w:tcW w:w="1068" w:type="dxa"/>
            <w:tcBorders>
              <w:top w:val="single" w:sz="4" w:space="0" w:color="auto"/>
              <w:left w:val="nil"/>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0"/>
                <w:szCs w:val="20"/>
              </w:rPr>
            </w:pPr>
            <w:r w:rsidRPr="00977E6B">
              <w:rPr>
                <w:rFonts w:ascii="宋体" w:hAnsi="宋体" w:cs="宋体" w:hint="eastAsia"/>
                <w:kern w:val="0"/>
                <w:sz w:val="20"/>
                <w:szCs w:val="20"/>
              </w:rPr>
              <w:t>超支金额</w:t>
            </w:r>
          </w:p>
        </w:tc>
        <w:tc>
          <w:tcPr>
            <w:tcW w:w="1290" w:type="dxa"/>
            <w:tcBorders>
              <w:top w:val="single" w:sz="4" w:space="0" w:color="auto"/>
              <w:left w:val="nil"/>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0"/>
                <w:szCs w:val="20"/>
              </w:rPr>
            </w:pPr>
            <w:r w:rsidRPr="00977E6B">
              <w:rPr>
                <w:rFonts w:ascii="宋体" w:hAnsi="宋体" w:cs="宋体" w:hint="eastAsia"/>
                <w:kern w:val="0"/>
                <w:sz w:val="20"/>
                <w:szCs w:val="20"/>
              </w:rPr>
              <w:t>统筹区个数</w:t>
            </w:r>
          </w:p>
        </w:tc>
        <w:tc>
          <w:tcPr>
            <w:tcW w:w="1035" w:type="dxa"/>
            <w:tcBorders>
              <w:top w:val="single" w:sz="4" w:space="0" w:color="auto"/>
              <w:left w:val="nil"/>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0"/>
                <w:szCs w:val="20"/>
              </w:rPr>
            </w:pPr>
            <w:r w:rsidRPr="00977E6B">
              <w:rPr>
                <w:rFonts w:ascii="宋体" w:hAnsi="宋体" w:cs="宋体" w:hint="eastAsia"/>
                <w:kern w:val="0"/>
                <w:sz w:val="20"/>
                <w:szCs w:val="20"/>
              </w:rPr>
              <w:t>所占比例</w:t>
            </w:r>
          </w:p>
        </w:tc>
        <w:tc>
          <w:tcPr>
            <w:tcW w:w="1195" w:type="dxa"/>
            <w:tcBorders>
              <w:top w:val="single" w:sz="4" w:space="0" w:color="auto"/>
              <w:left w:val="nil"/>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0"/>
                <w:szCs w:val="20"/>
              </w:rPr>
            </w:pPr>
            <w:r w:rsidRPr="00977E6B">
              <w:rPr>
                <w:rFonts w:ascii="宋体" w:hAnsi="宋体" w:cs="宋体" w:hint="eastAsia"/>
                <w:kern w:val="0"/>
                <w:sz w:val="20"/>
                <w:szCs w:val="20"/>
              </w:rPr>
              <w:t>结余金额</w:t>
            </w:r>
          </w:p>
        </w:tc>
      </w:tr>
      <w:tr w:rsidR="00C27119" w:rsidRPr="00977E6B">
        <w:trPr>
          <w:trHeight w:val="450"/>
        </w:trPr>
        <w:tc>
          <w:tcPr>
            <w:tcW w:w="983"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2018年</w:t>
            </w:r>
          </w:p>
        </w:tc>
        <w:tc>
          <w:tcPr>
            <w:tcW w:w="1064"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6</w:t>
            </w:r>
          </w:p>
        </w:tc>
        <w:tc>
          <w:tcPr>
            <w:tcW w:w="1274"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0</w:t>
            </w:r>
          </w:p>
        </w:tc>
        <w:tc>
          <w:tcPr>
            <w:tcW w:w="1022"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0%</w:t>
            </w:r>
          </w:p>
        </w:tc>
        <w:tc>
          <w:tcPr>
            <w:tcW w:w="1068"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0</w:t>
            </w:r>
          </w:p>
        </w:tc>
        <w:tc>
          <w:tcPr>
            <w:tcW w:w="1290"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6</w:t>
            </w:r>
          </w:p>
        </w:tc>
        <w:tc>
          <w:tcPr>
            <w:tcW w:w="1035"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100%</w:t>
            </w:r>
          </w:p>
        </w:tc>
        <w:tc>
          <w:tcPr>
            <w:tcW w:w="1195"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35457</w:t>
            </w:r>
          </w:p>
        </w:tc>
      </w:tr>
      <w:tr w:rsidR="00C27119" w:rsidRPr="00977E6B">
        <w:trPr>
          <w:trHeight w:val="450"/>
        </w:trPr>
        <w:tc>
          <w:tcPr>
            <w:tcW w:w="983"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2019年</w:t>
            </w:r>
          </w:p>
        </w:tc>
        <w:tc>
          <w:tcPr>
            <w:tcW w:w="1064"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6</w:t>
            </w:r>
          </w:p>
        </w:tc>
        <w:tc>
          <w:tcPr>
            <w:tcW w:w="1274"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1</w:t>
            </w:r>
          </w:p>
        </w:tc>
        <w:tc>
          <w:tcPr>
            <w:tcW w:w="1022"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17%</w:t>
            </w:r>
          </w:p>
        </w:tc>
        <w:tc>
          <w:tcPr>
            <w:tcW w:w="1068"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1711</w:t>
            </w:r>
          </w:p>
        </w:tc>
        <w:tc>
          <w:tcPr>
            <w:tcW w:w="1290"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5</w:t>
            </w:r>
          </w:p>
        </w:tc>
        <w:tc>
          <w:tcPr>
            <w:tcW w:w="1035"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83%</w:t>
            </w:r>
          </w:p>
        </w:tc>
        <w:tc>
          <w:tcPr>
            <w:tcW w:w="1195"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67082</w:t>
            </w:r>
          </w:p>
        </w:tc>
      </w:tr>
      <w:tr w:rsidR="00C27119" w:rsidRPr="00977E6B">
        <w:trPr>
          <w:trHeight w:val="450"/>
        </w:trPr>
        <w:tc>
          <w:tcPr>
            <w:tcW w:w="983"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pStyle w:val="af"/>
              <w:jc w:val="center"/>
              <w:rPr>
                <w:rFonts w:ascii="宋体" w:hAnsi="宋体" w:cs="宋体"/>
                <w:sz w:val="24"/>
                <w:szCs w:val="24"/>
              </w:rPr>
            </w:pPr>
            <w:r w:rsidRPr="00977E6B">
              <w:rPr>
                <w:rFonts w:ascii="宋体" w:hAnsi="宋体" w:cs="宋体" w:hint="eastAsia"/>
                <w:sz w:val="24"/>
                <w:szCs w:val="24"/>
              </w:rPr>
              <w:t>2020年</w:t>
            </w:r>
          </w:p>
        </w:tc>
        <w:tc>
          <w:tcPr>
            <w:tcW w:w="1064"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6</w:t>
            </w:r>
          </w:p>
        </w:tc>
        <w:tc>
          <w:tcPr>
            <w:tcW w:w="1274"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1</w:t>
            </w:r>
          </w:p>
        </w:tc>
        <w:tc>
          <w:tcPr>
            <w:tcW w:w="1022"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17%</w:t>
            </w:r>
          </w:p>
        </w:tc>
        <w:tc>
          <w:tcPr>
            <w:tcW w:w="1068"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1326</w:t>
            </w:r>
          </w:p>
        </w:tc>
        <w:tc>
          <w:tcPr>
            <w:tcW w:w="1290"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5</w:t>
            </w:r>
          </w:p>
        </w:tc>
        <w:tc>
          <w:tcPr>
            <w:tcW w:w="1035"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83%</w:t>
            </w:r>
          </w:p>
        </w:tc>
        <w:tc>
          <w:tcPr>
            <w:tcW w:w="1195" w:type="dxa"/>
            <w:tcBorders>
              <w:top w:val="single" w:sz="4" w:space="0" w:color="auto"/>
              <w:left w:val="single" w:sz="4" w:space="0" w:color="auto"/>
              <w:bottom w:val="single" w:sz="4" w:space="0" w:color="auto"/>
              <w:right w:val="single" w:sz="4" w:space="0" w:color="auto"/>
            </w:tcBorders>
            <w:noWrap/>
            <w:vAlign w:val="center"/>
          </w:tcPr>
          <w:p w:rsidR="00C27119" w:rsidRPr="00977E6B" w:rsidRDefault="00C27119">
            <w:pPr>
              <w:widowControl/>
              <w:jc w:val="center"/>
              <w:rPr>
                <w:rFonts w:ascii="宋体" w:hAnsi="宋体" w:cs="宋体"/>
                <w:kern w:val="0"/>
                <w:sz w:val="24"/>
              </w:rPr>
            </w:pPr>
            <w:r w:rsidRPr="00977E6B">
              <w:rPr>
                <w:rFonts w:ascii="宋体" w:hAnsi="宋体" w:cs="宋体" w:hint="eastAsia"/>
                <w:kern w:val="0"/>
                <w:sz w:val="24"/>
              </w:rPr>
              <w:t>35098</w:t>
            </w:r>
          </w:p>
        </w:tc>
      </w:tr>
      <w:tr w:rsidR="00C27119" w:rsidRPr="00980A91">
        <w:trPr>
          <w:trHeight w:val="450"/>
        </w:trPr>
        <w:tc>
          <w:tcPr>
            <w:tcW w:w="983" w:type="dxa"/>
            <w:tcBorders>
              <w:top w:val="single" w:sz="4" w:space="0" w:color="auto"/>
              <w:left w:val="single" w:sz="4" w:space="0" w:color="auto"/>
              <w:bottom w:val="single" w:sz="4" w:space="0" w:color="auto"/>
              <w:right w:val="single" w:sz="4" w:space="0" w:color="auto"/>
            </w:tcBorders>
            <w:noWrap/>
            <w:vAlign w:val="center"/>
          </w:tcPr>
          <w:p w:rsidR="00C27119" w:rsidRPr="00980A91" w:rsidRDefault="00C27119">
            <w:pPr>
              <w:pStyle w:val="af"/>
              <w:jc w:val="center"/>
              <w:rPr>
                <w:rFonts w:ascii="宋体" w:hAnsi="宋体" w:cs="宋体"/>
                <w:sz w:val="24"/>
                <w:szCs w:val="24"/>
              </w:rPr>
            </w:pPr>
            <w:r w:rsidRPr="00980A91">
              <w:rPr>
                <w:rFonts w:ascii="宋体" w:hAnsi="宋体" w:cs="宋体" w:hint="eastAsia"/>
                <w:sz w:val="24"/>
                <w:szCs w:val="24"/>
              </w:rPr>
              <w:t>2021年</w:t>
            </w:r>
          </w:p>
        </w:tc>
        <w:tc>
          <w:tcPr>
            <w:tcW w:w="1064" w:type="dxa"/>
            <w:tcBorders>
              <w:top w:val="single" w:sz="4" w:space="0" w:color="auto"/>
              <w:left w:val="single" w:sz="4" w:space="0" w:color="auto"/>
              <w:bottom w:val="single" w:sz="4" w:space="0" w:color="auto"/>
              <w:right w:val="single" w:sz="4" w:space="0" w:color="auto"/>
            </w:tcBorders>
            <w:noWrap/>
            <w:vAlign w:val="center"/>
          </w:tcPr>
          <w:p w:rsidR="00C27119" w:rsidRPr="00980A91" w:rsidRDefault="00C27119">
            <w:pPr>
              <w:widowControl/>
              <w:jc w:val="center"/>
              <w:rPr>
                <w:rFonts w:ascii="宋体" w:hAnsi="宋体" w:cs="宋体"/>
                <w:kern w:val="0"/>
                <w:sz w:val="24"/>
              </w:rPr>
            </w:pPr>
            <w:r w:rsidRPr="00980A91">
              <w:rPr>
                <w:rFonts w:ascii="宋体" w:hAnsi="宋体" w:cs="宋体" w:hint="eastAsia"/>
                <w:kern w:val="0"/>
                <w:sz w:val="24"/>
              </w:rPr>
              <w:t>6</w:t>
            </w:r>
          </w:p>
        </w:tc>
        <w:tc>
          <w:tcPr>
            <w:tcW w:w="1274" w:type="dxa"/>
            <w:tcBorders>
              <w:top w:val="single" w:sz="4" w:space="0" w:color="auto"/>
              <w:left w:val="single" w:sz="4" w:space="0" w:color="auto"/>
              <w:bottom w:val="single" w:sz="4" w:space="0" w:color="auto"/>
              <w:right w:val="single" w:sz="4" w:space="0" w:color="auto"/>
            </w:tcBorders>
            <w:noWrap/>
            <w:vAlign w:val="center"/>
          </w:tcPr>
          <w:p w:rsidR="00C27119" w:rsidRPr="00980A91" w:rsidRDefault="00C27119">
            <w:pPr>
              <w:widowControl/>
              <w:jc w:val="center"/>
              <w:rPr>
                <w:rFonts w:ascii="宋体" w:hAnsi="宋体" w:cs="宋体"/>
                <w:kern w:val="0"/>
                <w:sz w:val="24"/>
              </w:rPr>
            </w:pPr>
            <w:r w:rsidRPr="00980A91">
              <w:rPr>
                <w:rFonts w:ascii="宋体" w:hAnsi="宋体" w:cs="宋体" w:hint="eastAsia"/>
                <w:kern w:val="0"/>
                <w:sz w:val="24"/>
              </w:rPr>
              <w:t>0</w:t>
            </w:r>
          </w:p>
        </w:tc>
        <w:tc>
          <w:tcPr>
            <w:tcW w:w="1022" w:type="dxa"/>
            <w:tcBorders>
              <w:top w:val="single" w:sz="4" w:space="0" w:color="auto"/>
              <w:left w:val="single" w:sz="4" w:space="0" w:color="auto"/>
              <w:bottom w:val="single" w:sz="4" w:space="0" w:color="auto"/>
              <w:right w:val="single" w:sz="4" w:space="0" w:color="auto"/>
            </w:tcBorders>
            <w:noWrap/>
            <w:vAlign w:val="center"/>
          </w:tcPr>
          <w:p w:rsidR="00C27119" w:rsidRPr="00980A91" w:rsidRDefault="00C27119">
            <w:pPr>
              <w:widowControl/>
              <w:jc w:val="center"/>
              <w:rPr>
                <w:rFonts w:ascii="宋体" w:hAnsi="宋体" w:cs="宋体"/>
                <w:kern w:val="0"/>
                <w:sz w:val="24"/>
              </w:rPr>
            </w:pPr>
            <w:r w:rsidRPr="00980A91">
              <w:rPr>
                <w:rFonts w:ascii="宋体" w:hAnsi="宋体" w:cs="宋体" w:hint="eastAsia"/>
                <w:kern w:val="0"/>
                <w:sz w:val="24"/>
              </w:rPr>
              <w:t>0%</w:t>
            </w:r>
          </w:p>
        </w:tc>
        <w:tc>
          <w:tcPr>
            <w:tcW w:w="1068" w:type="dxa"/>
            <w:tcBorders>
              <w:top w:val="single" w:sz="4" w:space="0" w:color="auto"/>
              <w:left w:val="single" w:sz="4" w:space="0" w:color="auto"/>
              <w:bottom w:val="single" w:sz="4" w:space="0" w:color="auto"/>
              <w:right w:val="single" w:sz="4" w:space="0" w:color="auto"/>
            </w:tcBorders>
            <w:noWrap/>
            <w:vAlign w:val="center"/>
          </w:tcPr>
          <w:p w:rsidR="00C27119" w:rsidRPr="00980A91" w:rsidRDefault="00C27119">
            <w:pPr>
              <w:widowControl/>
              <w:jc w:val="center"/>
              <w:rPr>
                <w:rFonts w:ascii="宋体" w:hAnsi="宋体" w:cs="宋体"/>
                <w:kern w:val="0"/>
                <w:sz w:val="24"/>
              </w:rPr>
            </w:pPr>
            <w:r w:rsidRPr="00980A91">
              <w:rPr>
                <w:rFonts w:ascii="宋体" w:hAnsi="宋体" w:cs="宋体" w:hint="eastAsia"/>
                <w:kern w:val="0"/>
                <w:sz w:val="24"/>
              </w:rPr>
              <w:t>0</w:t>
            </w:r>
          </w:p>
        </w:tc>
        <w:tc>
          <w:tcPr>
            <w:tcW w:w="1290" w:type="dxa"/>
            <w:tcBorders>
              <w:top w:val="single" w:sz="4" w:space="0" w:color="auto"/>
              <w:left w:val="single" w:sz="4" w:space="0" w:color="auto"/>
              <w:bottom w:val="single" w:sz="4" w:space="0" w:color="auto"/>
              <w:right w:val="single" w:sz="4" w:space="0" w:color="auto"/>
            </w:tcBorders>
            <w:noWrap/>
            <w:vAlign w:val="center"/>
          </w:tcPr>
          <w:p w:rsidR="00C27119" w:rsidRPr="00980A91" w:rsidRDefault="00C27119">
            <w:pPr>
              <w:widowControl/>
              <w:jc w:val="center"/>
              <w:rPr>
                <w:rFonts w:ascii="宋体" w:hAnsi="宋体" w:cs="宋体"/>
                <w:kern w:val="0"/>
                <w:sz w:val="24"/>
              </w:rPr>
            </w:pPr>
            <w:r w:rsidRPr="00980A91">
              <w:rPr>
                <w:rFonts w:ascii="宋体" w:hAnsi="宋体" w:cs="宋体" w:hint="eastAsia"/>
                <w:kern w:val="0"/>
                <w:sz w:val="24"/>
              </w:rPr>
              <w:t>6</w:t>
            </w:r>
          </w:p>
        </w:tc>
        <w:tc>
          <w:tcPr>
            <w:tcW w:w="1035" w:type="dxa"/>
            <w:tcBorders>
              <w:top w:val="single" w:sz="4" w:space="0" w:color="auto"/>
              <w:left w:val="single" w:sz="4" w:space="0" w:color="auto"/>
              <w:bottom w:val="single" w:sz="4" w:space="0" w:color="auto"/>
              <w:right w:val="single" w:sz="4" w:space="0" w:color="auto"/>
            </w:tcBorders>
            <w:noWrap/>
            <w:vAlign w:val="center"/>
          </w:tcPr>
          <w:p w:rsidR="00C27119" w:rsidRPr="00980A91" w:rsidRDefault="00C27119">
            <w:pPr>
              <w:widowControl/>
              <w:jc w:val="center"/>
              <w:rPr>
                <w:rFonts w:ascii="宋体" w:hAnsi="宋体" w:cs="宋体"/>
                <w:kern w:val="0"/>
                <w:sz w:val="24"/>
              </w:rPr>
            </w:pPr>
            <w:r w:rsidRPr="00980A91">
              <w:rPr>
                <w:rFonts w:ascii="宋体" w:hAnsi="宋体" w:cs="宋体" w:hint="eastAsia"/>
                <w:kern w:val="0"/>
                <w:sz w:val="24"/>
              </w:rPr>
              <w:t>100%</w:t>
            </w:r>
          </w:p>
        </w:tc>
        <w:tc>
          <w:tcPr>
            <w:tcW w:w="1195" w:type="dxa"/>
            <w:tcBorders>
              <w:top w:val="single" w:sz="4" w:space="0" w:color="auto"/>
              <w:left w:val="single" w:sz="4" w:space="0" w:color="auto"/>
              <w:bottom w:val="single" w:sz="4" w:space="0" w:color="auto"/>
              <w:right w:val="single" w:sz="4" w:space="0" w:color="auto"/>
            </w:tcBorders>
            <w:noWrap/>
            <w:vAlign w:val="center"/>
          </w:tcPr>
          <w:p w:rsidR="00C27119" w:rsidRPr="00980A91" w:rsidRDefault="00C27119">
            <w:pPr>
              <w:widowControl/>
              <w:jc w:val="center"/>
              <w:rPr>
                <w:rFonts w:ascii="宋体" w:hAnsi="宋体" w:cs="宋体"/>
                <w:kern w:val="0"/>
                <w:sz w:val="24"/>
              </w:rPr>
            </w:pPr>
            <w:r w:rsidRPr="00980A91">
              <w:rPr>
                <w:rFonts w:ascii="宋体" w:hAnsi="宋体" w:cs="宋体" w:hint="eastAsia"/>
                <w:kern w:val="0"/>
                <w:sz w:val="24"/>
              </w:rPr>
              <w:t>26122</w:t>
            </w:r>
          </w:p>
        </w:tc>
      </w:tr>
      <w:tr w:rsidR="00300C52" w:rsidRPr="00980A91">
        <w:trPr>
          <w:trHeight w:val="450"/>
        </w:trPr>
        <w:tc>
          <w:tcPr>
            <w:tcW w:w="983" w:type="dxa"/>
            <w:tcBorders>
              <w:top w:val="single" w:sz="4" w:space="0" w:color="auto"/>
              <w:left w:val="single" w:sz="4" w:space="0" w:color="auto"/>
              <w:bottom w:val="single" w:sz="4" w:space="0" w:color="auto"/>
              <w:right w:val="single" w:sz="4" w:space="0" w:color="auto"/>
            </w:tcBorders>
            <w:noWrap/>
            <w:vAlign w:val="center"/>
          </w:tcPr>
          <w:p w:rsidR="00300C52" w:rsidRPr="00980A91" w:rsidRDefault="00300C52">
            <w:pPr>
              <w:pStyle w:val="af"/>
              <w:jc w:val="center"/>
              <w:rPr>
                <w:rFonts w:ascii="宋体" w:hAnsi="宋体" w:cs="宋体"/>
                <w:sz w:val="24"/>
                <w:szCs w:val="24"/>
              </w:rPr>
            </w:pPr>
            <w:r w:rsidRPr="00980A91">
              <w:rPr>
                <w:rFonts w:ascii="宋体" w:hAnsi="宋体" w:cs="宋体" w:hint="eastAsia"/>
                <w:sz w:val="24"/>
                <w:szCs w:val="24"/>
              </w:rPr>
              <w:lastRenderedPageBreak/>
              <w:t>2022年</w:t>
            </w:r>
          </w:p>
        </w:tc>
        <w:tc>
          <w:tcPr>
            <w:tcW w:w="1064" w:type="dxa"/>
            <w:tcBorders>
              <w:top w:val="single" w:sz="4" w:space="0" w:color="auto"/>
              <w:left w:val="single" w:sz="4" w:space="0" w:color="auto"/>
              <w:bottom w:val="single" w:sz="4" w:space="0" w:color="auto"/>
              <w:right w:val="single" w:sz="4" w:space="0" w:color="auto"/>
            </w:tcBorders>
            <w:noWrap/>
            <w:vAlign w:val="center"/>
          </w:tcPr>
          <w:p w:rsidR="00300C52" w:rsidRPr="00980A91" w:rsidRDefault="00FB1B2C">
            <w:pPr>
              <w:widowControl/>
              <w:jc w:val="center"/>
              <w:rPr>
                <w:rFonts w:ascii="宋体" w:hAnsi="宋体" w:cs="宋体"/>
                <w:kern w:val="0"/>
                <w:sz w:val="24"/>
              </w:rPr>
            </w:pPr>
            <w:r>
              <w:rPr>
                <w:rFonts w:ascii="宋体" w:hAnsi="宋体" w:cs="宋体" w:hint="eastAsia"/>
                <w:kern w:val="0"/>
                <w:sz w:val="24"/>
              </w:rPr>
              <w:t>6</w:t>
            </w:r>
          </w:p>
        </w:tc>
        <w:tc>
          <w:tcPr>
            <w:tcW w:w="1274" w:type="dxa"/>
            <w:tcBorders>
              <w:top w:val="single" w:sz="4" w:space="0" w:color="auto"/>
              <w:left w:val="single" w:sz="4" w:space="0" w:color="auto"/>
              <w:bottom w:val="single" w:sz="4" w:space="0" w:color="auto"/>
              <w:right w:val="single" w:sz="4" w:space="0" w:color="auto"/>
            </w:tcBorders>
            <w:noWrap/>
            <w:vAlign w:val="center"/>
          </w:tcPr>
          <w:p w:rsidR="00300C52" w:rsidRPr="00980A91" w:rsidRDefault="00FB1B2C">
            <w:pPr>
              <w:widowControl/>
              <w:jc w:val="center"/>
              <w:rPr>
                <w:rFonts w:ascii="宋体" w:hAnsi="宋体" w:cs="宋体"/>
                <w:kern w:val="0"/>
                <w:sz w:val="24"/>
              </w:rPr>
            </w:pPr>
            <w:r>
              <w:rPr>
                <w:rFonts w:ascii="宋体" w:hAnsi="宋体" w:cs="宋体" w:hint="eastAsia"/>
                <w:kern w:val="0"/>
                <w:sz w:val="24"/>
              </w:rPr>
              <w:t>0</w:t>
            </w:r>
          </w:p>
        </w:tc>
        <w:tc>
          <w:tcPr>
            <w:tcW w:w="1022" w:type="dxa"/>
            <w:tcBorders>
              <w:top w:val="single" w:sz="4" w:space="0" w:color="auto"/>
              <w:left w:val="single" w:sz="4" w:space="0" w:color="auto"/>
              <w:bottom w:val="single" w:sz="4" w:space="0" w:color="auto"/>
              <w:right w:val="single" w:sz="4" w:space="0" w:color="auto"/>
            </w:tcBorders>
            <w:noWrap/>
            <w:vAlign w:val="center"/>
          </w:tcPr>
          <w:p w:rsidR="00300C52" w:rsidRPr="00980A91" w:rsidRDefault="00FB1B2C">
            <w:pPr>
              <w:widowControl/>
              <w:jc w:val="center"/>
              <w:rPr>
                <w:rFonts w:ascii="宋体" w:hAnsi="宋体" w:cs="宋体"/>
                <w:kern w:val="0"/>
                <w:sz w:val="24"/>
              </w:rPr>
            </w:pPr>
            <w:r>
              <w:rPr>
                <w:rFonts w:ascii="宋体" w:hAnsi="宋体" w:cs="宋体" w:hint="eastAsia"/>
                <w:kern w:val="0"/>
                <w:sz w:val="24"/>
              </w:rPr>
              <w:t>0%</w:t>
            </w:r>
          </w:p>
        </w:tc>
        <w:tc>
          <w:tcPr>
            <w:tcW w:w="1068" w:type="dxa"/>
            <w:tcBorders>
              <w:top w:val="single" w:sz="4" w:space="0" w:color="auto"/>
              <w:left w:val="single" w:sz="4" w:space="0" w:color="auto"/>
              <w:bottom w:val="single" w:sz="4" w:space="0" w:color="auto"/>
              <w:right w:val="single" w:sz="4" w:space="0" w:color="auto"/>
            </w:tcBorders>
            <w:noWrap/>
            <w:vAlign w:val="center"/>
          </w:tcPr>
          <w:p w:rsidR="00300C52" w:rsidRPr="00980A91" w:rsidRDefault="00FB1B2C">
            <w:pPr>
              <w:widowControl/>
              <w:jc w:val="center"/>
              <w:rPr>
                <w:rFonts w:ascii="宋体" w:hAnsi="宋体" w:cs="宋体"/>
                <w:kern w:val="0"/>
                <w:sz w:val="24"/>
              </w:rPr>
            </w:pPr>
            <w:r>
              <w:rPr>
                <w:rFonts w:ascii="宋体" w:hAnsi="宋体" w:cs="宋体" w:hint="eastAsia"/>
                <w:kern w:val="0"/>
                <w:sz w:val="24"/>
              </w:rPr>
              <w:t>0</w:t>
            </w:r>
          </w:p>
        </w:tc>
        <w:tc>
          <w:tcPr>
            <w:tcW w:w="1290" w:type="dxa"/>
            <w:tcBorders>
              <w:top w:val="single" w:sz="4" w:space="0" w:color="auto"/>
              <w:left w:val="single" w:sz="4" w:space="0" w:color="auto"/>
              <w:bottom w:val="single" w:sz="4" w:space="0" w:color="auto"/>
              <w:right w:val="single" w:sz="4" w:space="0" w:color="auto"/>
            </w:tcBorders>
            <w:noWrap/>
            <w:vAlign w:val="center"/>
          </w:tcPr>
          <w:p w:rsidR="00300C52" w:rsidRPr="00980A91" w:rsidRDefault="00FB1B2C">
            <w:pPr>
              <w:widowControl/>
              <w:jc w:val="center"/>
              <w:rPr>
                <w:rFonts w:ascii="宋体" w:hAnsi="宋体" w:cs="宋体"/>
                <w:kern w:val="0"/>
                <w:sz w:val="24"/>
              </w:rPr>
            </w:pPr>
            <w:r>
              <w:rPr>
                <w:rFonts w:ascii="宋体" w:hAnsi="宋体" w:cs="宋体" w:hint="eastAsia"/>
                <w:kern w:val="0"/>
                <w:sz w:val="24"/>
              </w:rPr>
              <w:t>6</w:t>
            </w:r>
          </w:p>
        </w:tc>
        <w:tc>
          <w:tcPr>
            <w:tcW w:w="1035" w:type="dxa"/>
            <w:tcBorders>
              <w:top w:val="single" w:sz="4" w:space="0" w:color="auto"/>
              <w:left w:val="single" w:sz="4" w:space="0" w:color="auto"/>
              <w:bottom w:val="single" w:sz="4" w:space="0" w:color="auto"/>
              <w:right w:val="single" w:sz="4" w:space="0" w:color="auto"/>
            </w:tcBorders>
            <w:noWrap/>
            <w:vAlign w:val="center"/>
          </w:tcPr>
          <w:p w:rsidR="00300C52" w:rsidRPr="00980A91" w:rsidRDefault="00FB1B2C">
            <w:pPr>
              <w:widowControl/>
              <w:jc w:val="center"/>
              <w:rPr>
                <w:rFonts w:ascii="宋体" w:hAnsi="宋体" w:cs="宋体"/>
                <w:kern w:val="0"/>
                <w:sz w:val="24"/>
              </w:rPr>
            </w:pPr>
            <w:r>
              <w:rPr>
                <w:rFonts w:ascii="宋体" w:hAnsi="宋体" w:cs="宋体" w:hint="eastAsia"/>
                <w:kern w:val="0"/>
                <w:sz w:val="24"/>
              </w:rPr>
              <w:t>100%</w:t>
            </w:r>
          </w:p>
        </w:tc>
        <w:tc>
          <w:tcPr>
            <w:tcW w:w="1195" w:type="dxa"/>
            <w:tcBorders>
              <w:top w:val="single" w:sz="4" w:space="0" w:color="auto"/>
              <w:left w:val="single" w:sz="4" w:space="0" w:color="auto"/>
              <w:bottom w:val="single" w:sz="4" w:space="0" w:color="auto"/>
              <w:right w:val="single" w:sz="4" w:space="0" w:color="auto"/>
            </w:tcBorders>
            <w:noWrap/>
            <w:vAlign w:val="center"/>
          </w:tcPr>
          <w:p w:rsidR="00300C52" w:rsidRPr="00980A91" w:rsidRDefault="008844A4">
            <w:pPr>
              <w:widowControl/>
              <w:jc w:val="center"/>
              <w:rPr>
                <w:rFonts w:ascii="宋体" w:hAnsi="宋体" w:cs="宋体"/>
                <w:kern w:val="0"/>
                <w:sz w:val="24"/>
              </w:rPr>
            </w:pPr>
            <w:r w:rsidRPr="00980A91">
              <w:rPr>
                <w:rFonts w:ascii="宋体" w:hAnsi="宋体" w:cs="宋体" w:hint="eastAsia"/>
                <w:kern w:val="0"/>
                <w:sz w:val="24"/>
              </w:rPr>
              <w:t>41444</w:t>
            </w:r>
          </w:p>
        </w:tc>
      </w:tr>
      <w:tr w:rsidR="00C27119" w:rsidRPr="00980A91">
        <w:trPr>
          <w:trHeight w:val="60"/>
        </w:trPr>
        <w:tc>
          <w:tcPr>
            <w:tcW w:w="8931" w:type="dxa"/>
            <w:gridSpan w:val="8"/>
            <w:tcBorders>
              <w:top w:val="single" w:sz="4" w:space="0" w:color="auto"/>
              <w:left w:val="nil"/>
            </w:tcBorders>
            <w:noWrap/>
            <w:vAlign w:val="center"/>
          </w:tcPr>
          <w:p w:rsidR="00C27119" w:rsidRPr="00980A91" w:rsidRDefault="00C27119">
            <w:pPr>
              <w:pStyle w:val="af"/>
            </w:pPr>
          </w:p>
        </w:tc>
      </w:tr>
    </w:tbl>
    <w:p w:rsidR="00C27119" w:rsidRPr="00977E6B" w:rsidRDefault="008844A4">
      <w:pPr>
        <w:ind w:firstLineChars="150" w:firstLine="480"/>
        <w:rPr>
          <w:rFonts w:eastAsia="仿宋_GB2312"/>
          <w:bCs/>
          <w:sz w:val="32"/>
          <w:szCs w:val="32"/>
        </w:rPr>
      </w:pPr>
      <w:r w:rsidRPr="00980A91">
        <w:rPr>
          <w:rFonts w:eastAsia="仿宋_GB2312" w:hint="eastAsia"/>
          <w:bCs/>
          <w:sz w:val="32"/>
          <w:szCs w:val="32"/>
        </w:rPr>
        <w:t>2022</w:t>
      </w:r>
      <w:r w:rsidR="00C27119" w:rsidRPr="00980A91">
        <w:rPr>
          <w:rFonts w:eastAsia="仿宋_GB2312" w:hint="eastAsia"/>
          <w:bCs/>
          <w:sz w:val="32"/>
          <w:szCs w:val="32"/>
        </w:rPr>
        <w:t>年末全市</w:t>
      </w:r>
      <w:r w:rsidR="00C27119" w:rsidRPr="00980A91">
        <w:rPr>
          <w:rFonts w:eastAsia="仿宋_GB2312"/>
          <w:bCs/>
          <w:sz w:val="32"/>
          <w:szCs w:val="32"/>
        </w:rPr>
        <w:t>城镇职工医</w:t>
      </w:r>
      <w:r w:rsidR="00C27119" w:rsidRPr="00980A91">
        <w:rPr>
          <w:rFonts w:eastAsia="仿宋_GB2312" w:hint="eastAsia"/>
          <w:bCs/>
          <w:sz w:val="32"/>
          <w:szCs w:val="32"/>
        </w:rPr>
        <w:t>保统筹基金当期结余未出现收不</w:t>
      </w:r>
      <w:r w:rsidR="00C27119" w:rsidRPr="00977E6B">
        <w:rPr>
          <w:rFonts w:eastAsia="仿宋_GB2312" w:hint="eastAsia"/>
          <w:bCs/>
          <w:sz w:val="32"/>
          <w:szCs w:val="32"/>
        </w:rPr>
        <w:t>抵支的情况</w:t>
      </w:r>
    </w:p>
    <w:p w:rsidR="00C27119" w:rsidRPr="00977E6B" w:rsidRDefault="00C27119" w:rsidP="00F31A6E">
      <w:pPr>
        <w:ind w:firstLineChars="147" w:firstLine="472"/>
        <w:jc w:val="left"/>
        <w:rPr>
          <w:rFonts w:ascii="楷体_GB2312" w:eastAsia="楷体_GB2312" w:hAnsi="宋体"/>
          <w:b/>
          <w:sz w:val="32"/>
          <w:szCs w:val="32"/>
        </w:rPr>
      </w:pPr>
      <w:r w:rsidRPr="00977E6B">
        <w:rPr>
          <w:rFonts w:ascii="楷体_GB2312" w:eastAsia="楷体_GB2312" w:hAnsi="宋体" w:hint="eastAsia"/>
          <w:b/>
          <w:sz w:val="32"/>
          <w:szCs w:val="32"/>
        </w:rPr>
        <w:t>（四）基金支撑能力分析</w:t>
      </w:r>
    </w:p>
    <w:p w:rsidR="00C27119" w:rsidRPr="00980A91" w:rsidRDefault="00C27119" w:rsidP="00F31A6E">
      <w:pPr>
        <w:ind w:firstLineChars="200" w:firstLine="643"/>
        <w:rPr>
          <w:rFonts w:ascii="楷体_GB2312" w:eastAsia="楷体_GB2312"/>
          <w:b/>
          <w:sz w:val="32"/>
          <w:szCs w:val="32"/>
        </w:rPr>
      </w:pPr>
      <w:r w:rsidRPr="00980A91">
        <w:rPr>
          <w:rFonts w:ascii="楷体_GB2312" w:eastAsia="楷体_GB2312" w:hint="eastAsia"/>
          <w:b/>
          <w:sz w:val="32"/>
          <w:szCs w:val="32"/>
        </w:rPr>
        <w:t>1.城镇职工医保统筹基金</w:t>
      </w:r>
    </w:p>
    <w:p w:rsidR="00C27119" w:rsidRPr="005F2161" w:rsidRDefault="00C27119">
      <w:pPr>
        <w:ind w:firstLineChars="200" w:firstLine="640"/>
        <w:rPr>
          <w:rFonts w:eastAsia="仿宋_GB2312"/>
          <w:bCs/>
          <w:sz w:val="32"/>
          <w:szCs w:val="32"/>
        </w:rPr>
      </w:pPr>
      <w:r w:rsidRPr="00980A91">
        <w:rPr>
          <w:rFonts w:eastAsia="仿宋_GB2312" w:hint="eastAsia"/>
          <w:bCs/>
          <w:sz w:val="32"/>
          <w:szCs w:val="32"/>
        </w:rPr>
        <w:t>全市</w:t>
      </w:r>
      <w:r w:rsidRPr="00980A91">
        <w:rPr>
          <w:rFonts w:eastAsia="仿宋_GB2312"/>
          <w:bCs/>
          <w:sz w:val="32"/>
          <w:szCs w:val="32"/>
        </w:rPr>
        <w:t>城镇</w:t>
      </w:r>
      <w:r w:rsidRPr="00980A91">
        <w:rPr>
          <w:rFonts w:eastAsia="仿宋_GB2312" w:hint="eastAsia"/>
          <w:bCs/>
          <w:sz w:val="32"/>
          <w:szCs w:val="32"/>
        </w:rPr>
        <w:t>职工医保统筹基金累计结余</w:t>
      </w:r>
      <w:r w:rsidR="00926F54" w:rsidRPr="00980A91">
        <w:rPr>
          <w:rFonts w:eastAsia="仿宋_GB2312" w:hint="eastAsia"/>
          <w:bCs/>
          <w:sz w:val="32"/>
          <w:szCs w:val="32"/>
        </w:rPr>
        <w:t>28.03</w:t>
      </w:r>
      <w:r w:rsidRPr="00980A91">
        <w:rPr>
          <w:rFonts w:eastAsia="仿宋_GB2312" w:hint="eastAsia"/>
          <w:bCs/>
          <w:sz w:val="32"/>
          <w:szCs w:val="32"/>
        </w:rPr>
        <w:t>亿元，按</w:t>
      </w:r>
      <w:r w:rsidR="00926F54" w:rsidRPr="00980A91">
        <w:rPr>
          <w:rFonts w:eastAsia="仿宋_GB2312" w:hint="eastAsia"/>
          <w:bCs/>
          <w:sz w:val="32"/>
          <w:szCs w:val="32"/>
        </w:rPr>
        <w:t>2022</w:t>
      </w:r>
      <w:r w:rsidRPr="00980A91">
        <w:rPr>
          <w:rFonts w:eastAsia="仿宋_GB2312" w:hint="eastAsia"/>
          <w:bCs/>
          <w:sz w:val="32"/>
          <w:szCs w:val="32"/>
        </w:rPr>
        <w:t>年平均待遇支付水平（</w:t>
      </w:r>
      <w:r w:rsidR="00E94F2A">
        <w:rPr>
          <w:rFonts w:eastAsia="仿宋_GB2312" w:hint="eastAsia"/>
          <w:bCs/>
          <w:sz w:val="32"/>
          <w:szCs w:val="32"/>
        </w:rPr>
        <w:t>1.42</w:t>
      </w:r>
      <w:r w:rsidRPr="00980A91">
        <w:rPr>
          <w:rFonts w:eastAsia="仿宋_GB2312" w:hint="eastAsia"/>
          <w:bCs/>
          <w:sz w:val="32"/>
          <w:szCs w:val="32"/>
        </w:rPr>
        <w:t>亿元</w:t>
      </w:r>
      <w:r w:rsidRPr="00980A91">
        <w:rPr>
          <w:rFonts w:eastAsia="仿宋_GB2312" w:hint="eastAsia"/>
          <w:bCs/>
          <w:sz w:val="32"/>
          <w:szCs w:val="32"/>
        </w:rPr>
        <w:t>/</w:t>
      </w:r>
      <w:r w:rsidRPr="00980A91">
        <w:rPr>
          <w:rFonts w:eastAsia="仿宋_GB2312" w:hint="eastAsia"/>
          <w:bCs/>
          <w:sz w:val="32"/>
          <w:szCs w:val="32"/>
        </w:rPr>
        <w:t>月）计算，可支撑约</w:t>
      </w:r>
      <w:r w:rsidR="00E94F2A">
        <w:rPr>
          <w:rFonts w:eastAsia="仿宋_GB2312" w:hint="eastAsia"/>
          <w:bCs/>
          <w:sz w:val="32"/>
          <w:szCs w:val="32"/>
        </w:rPr>
        <w:t>19</w:t>
      </w:r>
      <w:r w:rsidRPr="00980A91">
        <w:rPr>
          <w:rFonts w:eastAsia="仿宋_GB2312" w:hint="eastAsia"/>
          <w:bCs/>
          <w:sz w:val="32"/>
          <w:szCs w:val="32"/>
        </w:rPr>
        <w:t>个月。若剔除</w:t>
      </w:r>
      <w:r w:rsidR="00156AB0" w:rsidRPr="00980A91">
        <w:rPr>
          <w:rFonts w:eastAsia="仿宋_GB2312" w:hint="eastAsia"/>
          <w:bCs/>
          <w:sz w:val="32"/>
          <w:szCs w:val="32"/>
        </w:rPr>
        <w:t>应付未付</w:t>
      </w:r>
      <w:r w:rsidRPr="00980A91">
        <w:rPr>
          <w:rFonts w:eastAsia="仿宋_GB2312" w:hint="eastAsia"/>
          <w:bCs/>
          <w:sz w:val="32"/>
          <w:szCs w:val="32"/>
        </w:rPr>
        <w:t>及未结算医疗费、医院超标缓付和基金预留等合计</w:t>
      </w:r>
      <w:r w:rsidR="00EE7E7F" w:rsidRPr="00980A91">
        <w:rPr>
          <w:rFonts w:eastAsia="仿宋_GB2312" w:hint="eastAsia"/>
          <w:bCs/>
          <w:sz w:val="32"/>
          <w:szCs w:val="32"/>
        </w:rPr>
        <w:t>0.75</w:t>
      </w:r>
      <w:r w:rsidRPr="00980A91">
        <w:rPr>
          <w:rFonts w:eastAsia="仿宋_GB2312" w:hint="eastAsia"/>
          <w:bCs/>
          <w:sz w:val="32"/>
          <w:szCs w:val="32"/>
        </w:rPr>
        <w:t>亿元，</w:t>
      </w:r>
      <w:r w:rsidR="00EE7E7F" w:rsidRPr="00980A91">
        <w:rPr>
          <w:rFonts w:eastAsia="仿宋_GB2312" w:hint="eastAsia"/>
          <w:bCs/>
          <w:sz w:val="32"/>
          <w:szCs w:val="32"/>
        </w:rPr>
        <w:t>2022</w:t>
      </w:r>
      <w:r w:rsidRPr="00980A91">
        <w:rPr>
          <w:rFonts w:eastAsia="仿宋_GB2312" w:hint="eastAsia"/>
          <w:bCs/>
          <w:sz w:val="32"/>
          <w:szCs w:val="32"/>
        </w:rPr>
        <w:t>年末全市统筹基金实际结余为</w:t>
      </w:r>
      <w:r w:rsidR="0059478E" w:rsidRPr="00980A91">
        <w:rPr>
          <w:rFonts w:eastAsia="仿宋_GB2312" w:hint="eastAsia"/>
          <w:bCs/>
          <w:sz w:val="32"/>
          <w:szCs w:val="32"/>
        </w:rPr>
        <w:t>27.28</w:t>
      </w:r>
      <w:r w:rsidRPr="00980A91">
        <w:rPr>
          <w:rFonts w:eastAsia="仿宋_GB2312" w:hint="eastAsia"/>
          <w:bCs/>
          <w:sz w:val="32"/>
          <w:szCs w:val="32"/>
        </w:rPr>
        <w:t>亿元，可支撑月数约</w:t>
      </w:r>
      <w:r w:rsidR="0054406D">
        <w:rPr>
          <w:rFonts w:eastAsia="仿宋_GB2312" w:hint="eastAsia"/>
          <w:bCs/>
          <w:sz w:val="32"/>
          <w:szCs w:val="32"/>
        </w:rPr>
        <w:t>19</w:t>
      </w:r>
      <w:r w:rsidRPr="00980A91">
        <w:rPr>
          <w:rFonts w:eastAsia="仿宋_GB2312" w:hint="eastAsia"/>
          <w:bCs/>
          <w:sz w:val="32"/>
          <w:szCs w:val="32"/>
        </w:rPr>
        <w:t>个月，达到正常范围标准。按账面结余分析，全市有</w:t>
      </w:r>
      <w:r w:rsidRPr="00980A91">
        <w:rPr>
          <w:rFonts w:eastAsia="仿宋_GB2312" w:hint="eastAsia"/>
          <w:bCs/>
          <w:sz w:val="32"/>
          <w:szCs w:val="32"/>
        </w:rPr>
        <w:t>6</w:t>
      </w:r>
      <w:r w:rsidRPr="00980A91">
        <w:rPr>
          <w:rFonts w:eastAsia="仿宋_GB2312" w:hint="eastAsia"/>
          <w:bCs/>
          <w:sz w:val="32"/>
          <w:szCs w:val="32"/>
        </w:rPr>
        <w:t>个统筹区。没有统筹基金可支撑月数低于</w:t>
      </w:r>
      <w:r w:rsidRPr="00980A91">
        <w:rPr>
          <w:rFonts w:eastAsia="仿宋_GB2312" w:hint="eastAsia"/>
          <w:bCs/>
          <w:sz w:val="32"/>
          <w:szCs w:val="32"/>
        </w:rPr>
        <w:t>3</w:t>
      </w:r>
      <w:r w:rsidR="0059478E" w:rsidRPr="00980A91">
        <w:rPr>
          <w:rFonts w:eastAsia="仿宋_GB2312" w:hint="eastAsia"/>
          <w:bCs/>
          <w:sz w:val="32"/>
          <w:szCs w:val="32"/>
        </w:rPr>
        <w:t>个月</w:t>
      </w:r>
      <w:r w:rsidRPr="00980A91">
        <w:rPr>
          <w:rFonts w:eastAsia="仿宋_GB2312" w:hint="eastAsia"/>
          <w:bCs/>
          <w:sz w:val="32"/>
          <w:szCs w:val="32"/>
        </w:rPr>
        <w:t>；统筹基金可支撑月数</w:t>
      </w:r>
      <w:r w:rsidRPr="00980A91">
        <w:rPr>
          <w:rFonts w:eastAsia="仿宋_GB2312" w:hint="eastAsia"/>
          <w:bCs/>
          <w:sz w:val="32"/>
          <w:szCs w:val="32"/>
        </w:rPr>
        <w:t>3-9</w:t>
      </w:r>
      <w:r w:rsidR="0059478E" w:rsidRPr="00980A91">
        <w:rPr>
          <w:rFonts w:eastAsia="仿宋_GB2312" w:hint="eastAsia"/>
          <w:bCs/>
          <w:sz w:val="32"/>
          <w:szCs w:val="32"/>
        </w:rPr>
        <w:t>个月有醴陵市、攸县、茶陵县</w:t>
      </w:r>
      <w:r w:rsidRPr="00980A91">
        <w:rPr>
          <w:rFonts w:eastAsia="仿宋_GB2312" w:hint="eastAsia"/>
          <w:bCs/>
          <w:sz w:val="32"/>
          <w:szCs w:val="32"/>
        </w:rPr>
        <w:t>；市本级、</w:t>
      </w:r>
      <w:r w:rsidRPr="005F2161">
        <w:rPr>
          <w:rFonts w:eastAsia="仿宋_GB2312" w:hint="eastAsia"/>
          <w:bCs/>
          <w:sz w:val="32"/>
          <w:szCs w:val="32"/>
        </w:rPr>
        <w:t>炎陵及株洲县统筹基金可支撑月数高于</w:t>
      </w:r>
      <w:r w:rsidRPr="005F2161">
        <w:rPr>
          <w:rFonts w:eastAsia="仿宋_GB2312" w:hint="eastAsia"/>
          <w:bCs/>
          <w:sz w:val="32"/>
          <w:szCs w:val="32"/>
        </w:rPr>
        <w:t>9</w:t>
      </w:r>
      <w:r w:rsidRPr="005F2161">
        <w:rPr>
          <w:rFonts w:eastAsia="仿宋_GB2312" w:hint="eastAsia"/>
          <w:bCs/>
          <w:sz w:val="32"/>
          <w:szCs w:val="32"/>
        </w:rPr>
        <w:t>个月；</w:t>
      </w:r>
      <w:r w:rsidR="0059478E" w:rsidRPr="005F2161">
        <w:rPr>
          <w:rFonts w:eastAsia="仿宋_GB2312" w:hint="eastAsia"/>
          <w:bCs/>
          <w:sz w:val="32"/>
          <w:szCs w:val="32"/>
        </w:rPr>
        <w:t xml:space="preserve"> 2022</w:t>
      </w:r>
      <w:r w:rsidRPr="005F2161">
        <w:rPr>
          <w:rFonts w:eastAsia="仿宋_GB2312" w:hint="eastAsia"/>
          <w:bCs/>
          <w:sz w:val="32"/>
          <w:szCs w:val="32"/>
        </w:rPr>
        <w:t>年全市个人账户基金累计结余已达</w:t>
      </w:r>
      <w:r w:rsidR="0007204F" w:rsidRPr="005F2161">
        <w:rPr>
          <w:rFonts w:eastAsia="仿宋_GB2312" w:hint="eastAsia"/>
          <w:bCs/>
          <w:sz w:val="32"/>
          <w:szCs w:val="32"/>
        </w:rPr>
        <w:t>28.53</w:t>
      </w:r>
      <w:r w:rsidRPr="005F2161">
        <w:rPr>
          <w:rFonts w:eastAsia="仿宋_GB2312" w:hint="eastAsia"/>
          <w:bCs/>
          <w:sz w:val="32"/>
          <w:szCs w:val="32"/>
        </w:rPr>
        <w:t>亿元，占总结余的</w:t>
      </w:r>
      <w:r w:rsidR="0007204F" w:rsidRPr="005F2161">
        <w:rPr>
          <w:rFonts w:eastAsia="仿宋_GB2312" w:hint="eastAsia"/>
          <w:bCs/>
          <w:sz w:val="32"/>
          <w:szCs w:val="32"/>
        </w:rPr>
        <w:t>50.44</w:t>
      </w:r>
      <w:r w:rsidRPr="005F2161">
        <w:rPr>
          <w:rFonts w:eastAsia="仿宋_GB2312" w:hint="eastAsia"/>
          <w:bCs/>
          <w:sz w:val="32"/>
          <w:szCs w:val="32"/>
        </w:rPr>
        <w:t>%</w:t>
      </w:r>
      <w:r w:rsidRPr="005F2161">
        <w:rPr>
          <w:rFonts w:eastAsia="仿宋_GB2312" w:hint="eastAsia"/>
          <w:bCs/>
          <w:sz w:val="32"/>
          <w:szCs w:val="32"/>
        </w:rPr>
        <w:t>，</w:t>
      </w:r>
    </w:p>
    <w:p w:rsidR="00C27119" w:rsidRPr="005F2161" w:rsidRDefault="00C27119" w:rsidP="00F31A6E">
      <w:pPr>
        <w:ind w:firstLineChars="200" w:firstLine="643"/>
        <w:rPr>
          <w:rFonts w:eastAsia="仿宋_GB2312"/>
          <w:b/>
          <w:bCs/>
          <w:sz w:val="32"/>
          <w:szCs w:val="32"/>
        </w:rPr>
      </w:pPr>
      <w:r w:rsidRPr="005F2161">
        <w:rPr>
          <w:rFonts w:eastAsia="仿宋_GB2312" w:hint="eastAsia"/>
          <w:b/>
          <w:bCs/>
          <w:sz w:val="32"/>
          <w:szCs w:val="32"/>
        </w:rPr>
        <w:t>2.</w:t>
      </w:r>
      <w:r w:rsidRPr="005F2161">
        <w:rPr>
          <w:rFonts w:eastAsia="仿宋_GB2312" w:hint="eastAsia"/>
          <w:b/>
          <w:bCs/>
          <w:sz w:val="32"/>
          <w:szCs w:val="32"/>
        </w:rPr>
        <w:t>城乡居民医保基金</w:t>
      </w:r>
    </w:p>
    <w:p w:rsidR="00C27119" w:rsidRPr="005F2161" w:rsidRDefault="00C27119">
      <w:pPr>
        <w:ind w:firstLineChars="200" w:firstLine="640"/>
        <w:jc w:val="left"/>
        <w:rPr>
          <w:rFonts w:eastAsia="仿宋_GB2312"/>
          <w:bCs/>
          <w:sz w:val="32"/>
          <w:szCs w:val="32"/>
        </w:rPr>
      </w:pPr>
      <w:r w:rsidRPr="005F2161">
        <w:rPr>
          <w:rFonts w:eastAsia="仿宋_GB2312" w:hint="eastAsia"/>
          <w:bCs/>
          <w:sz w:val="32"/>
          <w:szCs w:val="32"/>
        </w:rPr>
        <w:t>全市居民医保基金累计结余</w:t>
      </w:r>
      <w:r w:rsidR="00D12E46" w:rsidRPr="005F2161">
        <w:rPr>
          <w:rFonts w:eastAsia="仿宋_GB2312" w:hint="eastAsia"/>
          <w:bCs/>
          <w:sz w:val="32"/>
          <w:szCs w:val="32"/>
        </w:rPr>
        <w:t>24.80</w:t>
      </w:r>
      <w:r w:rsidRPr="005F2161">
        <w:rPr>
          <w:rFonts w:eastAsia="仿宋_GB2312" w:hint="eastAsia"/>
          <w:bCs/>
          <w:sz w:val="32"/>
          <w:szCs w:val="32"/>
        </w:rPr>
        <w:t>亿元，按</w:t>
      </w:r>
      <w:r w:rsidR="00D12E46" w:rsidRPr="005F2161">
        <w:rPr>
          <w:rFonts w:eastAsia="仿宋_GB2312" w:hint="eastAsia"/>
          <w:bCs/>
          <w:sz w:val="32"/>
          <w:szCs w:val="32"/>
        </w:rPr>
        <w:t>2022</w:t>
      </w:r>
      <w:r w:rsidRPr="005F2161">
        <w:rPr>
          <w:rFonts w:eastAsia="仿宋_GB2312" w:hint="eastAsia"/>
          <w:bCs/>
          <w:sz w:val="32"/>
          <w:szCs w:val="32"/>
        </w:rPr>
        <w:t>年平均待遇支付水平（</w:t>
      </w:r>
      <w:r w:rsidR="00D12E46" w:rsidRPr="005F2161">
        <w:rPr>
          <w:rFonts w:eastAsia="仿宋_GB2312" w:hint="eastAsia"/>
          <w:bCs/>
          <w:sz w:val="32"/>
          <w:szCs w:val="32"/>
        </w:rPr>
        <w:t>2.4</w:t>
      </w:r>
      <w:r w:rsidRPr="005F2161">
        <w:rPr>
          <w:rFonts w:eastAsia="仿宋_GB2312" w:hint="eastAsia"/>
          <w:bCs/>
          <w:sz w:val="32"/>
          <w:szCs w:val="32"/>
        </w:rPr>
        <w:t>亿元</w:t>
      </w:r>
      <w:r w:rsidRPr="005F2161">
        <w:rPr>
          <w:rFonts w:eastAsia="仿宋_GB2312" w:hint="eastAsia"/>
          <w:bCs/>
          <w:sz w:val="32"/>
          <w:szCs w:val="32"/>
        </w:rPr>
        <w:t>/</w:t>
      </w:r>
      <w:r w:rsidRPr="005F2161">
        <w:rPr>
          <w:rFonts w:eastAsia="仿宋_GB2312" w:hint="eastAsia"/>
          <w:bCs/>
          <w:sz w:val="32"/>
          <w:szCs w:val="32"/>
        </w:rPr>
        <w:t>月）计算，可支撑约</w:t>
      </w:r>
      <w:r w:rsidR="00D12E46" w:rsidRPr="005F2161">
        <w:rPr>
          <w:rFonts w:eastAsia="仿宋_GB2312" w:hint="eastAsia"/>
          <w:bCs/>
          <w:sz w:val="32"/>
          <w:szCs w:val="32"/>
        </w:rPr>
        <w:t>11</w:t>
      </w:r>
      <w:r w:rsidRPr="005F2161">
        <w:rPr>
          <w:rFonts w:eastAsia="仿宋_GB2312" w:hint="eastAsia"/>
          <w:bCs/>
          <w:sz w:val="32"/>
          <w:szCs w:val="32"/>
        </w:rPr>
        <w:t>个月。若剔除</w:t>
      </w:r>
      <w:r w:rsidR="004F6CDD" w:rsidRPr="005F2161">
        <w:rPr>
          <w:rFonts w:eastAsia="仿宋_GB2312" w:hint="eastAsia"/>
          <w:bCs/>
          <w:sz w:val="32"/>
          <w:szCs w:val="32"/>
        </w:rPr>
        <w:t>应付未付</w:t>
      </w:r>
      <w:r w:rsidRPr="005F2161">
        <w:rPr>
          <w:rFonts w:eastAsia="仿宋_GB2312" w:hint="eastAsia"/>
          <w:bCs/>
          <w:sz w:val="32"/>
          <w:szCs w:val="32"/>
        </w:rPr>
        <w:t>及未结算医疗费、医院超标缓付和基金预留等后付款</w:t>
      </w:r>
      <w:r w:rsidR="00843D28" w:rsidRPr="005F2161">
        <w:rPr>
          <w:rFonts w:eastAsia="仿宋_GB2312" w:hint="eastAsia"/>
          <w:bCs/>
          <w:sz w:val="32"/>
          <w:szCs w:val="32"/>
        </w:rPr>
        <w:t>合计</w:t>
      </w:r>
      <w:r w:rsidR="00D12E46" w:rsidRPr="005F2161">
        <w:rPr>
          <w:rFonts w:eastAsia="仿宋_GB2312" w:hint="eastAsia"/>
          <w:bCs/>
          <w:sz w:val="32"/>
          <w:szCs w:val="32"/>
        </w:rPr>
        <w:t>2.96</w:t>
      </w:r>
      <w:r w:rsidRPr="005F2161">
        <w:rPr>
          <w:rFonts w:eastAsia="仿宋_GB2312" w:hint="eastAsia"/>
          <w:bCs/>
          <w:sz w:val="32"/>
          <w:szCs w:val="32"/>
        </w:rPr>
        <w:t>亿元</w:t>
      </w:r>
      <w:r w:rsidR="004F6CDD" w:rsidRPr="005F2161">
        <w:rPr>
          <w:rFonts w:eastAsia="仿宋_GB2312" w:hint="eastAsia"/>
          <w:bCs/>
          <w:sz w:val="32"/>
          <w:szCs w:val="32"/>
        </w:rPr>
        <w:t>；</w:t>
      </w:r>
      <w:r w:rsidR="004F6CDD" w:rsidRPr="005F2161">
        <w:rPr>
          <w:rFonts w:eastAsia="仿宋_GB2312" w:hint="eastAsia"/>
          <w:bCs/>
          <w:sz w:val="32"/>
          <w:szCs w:val="32"/>
        </w:rPr>
        <w:t xml:space="preserve"> </w:t>
      </w:r>
      <w:r w:rsidR="00D12E46" w:rsidRPr="005F2161">
        <w:rPr>
          <w:rFonts w:eastAsia="仿宋_GB2312" w:hint="eastAsia"/>
          <w:bCs/>
          <w:sz w:val="32"/>
          <w:szCs w:val="32"/>
        </w:rPr>
        <w:t>2022</w:t>
      </w:r>
      <w:r w:rsidRPr="005F2161">
        <w:rPr>
          <w:rFonts w:eastAsia="仿宋_GB2312" w:hint="eastAsia"/>
          <w:bCs/>
          <w:sz w:val="32"/>
          <w:szCs w:val="32"/>
        </w:rPr>
        <w:t>年末全市统筹基金实际结余为</w:t>
      </w:r>
      <w:r w:rsidR="00843D28" w:rsidRPr="005F2161">
        <w:rPr>
          <w:rFonts w:eastAsia="仿宋_GB2312" w:hint="eastAsia"/>
          <w:bCs/>
          <w:sz w:val="32"/>
          <w:szCs w:val="32"/>
        </w:rPr>
        <w:t>27.28</w:t>
      </w:r>
      <w:r w:rsidRPr="005F2161">
        <w:rPr>
          <w:rFonts w:eastAsia="仿宋_GB2312" w:hint="eastAsia"/>
          <w:bCs/>
          <w:sz w:val="32"/>
          <w:szCs w:val="32"/>
        </w:rPr>
        <w:t>亿元，可支撑月数约</w:t>
      </w:r>
      <w:r w:rsidR="00843D28" w:rsidRPr="005F2161">
        <w:rPr>
          <w:rFonts w:eastAsia="仿宋_GB2312" w:hint="eastAsia"/>
          <w:bCs/>
          <w:sz w:val="32"/>
          <w:szCs w:val="32"/>
        </w:rPr>
        <w:t>22</w:t>
      </w:r>
      <w:r w:rsidRPr="005F2161">
        <w:rPr>
          <w:rFonts w:eastAsia="仿宋_GB2312" w:hint="eastAsia"/>
          <w:bCs/>
          <w:sz w:val="32"/>
          <w:szCs w:val="32"/>
        </w:rPr>
        <w:t>个月，达到正常范围标准。按账面结余分析，全市有</w:t>
      </w:r>
      <w:r w:rsidR="00843D28" w:rsidRPr="005F2161">
        <w:rPr>
          <w:rFonts w:eastAsia="仿宋_GB2312" w:hint="eastAsia"/>
          <w:bCs/>
          <w:sz w:val="32"/>
          <w:szCs w:val="32"/>
        </w:rPr>
        <w:t>10</w:t>
      </w:r>
      <w:r w:rsidRPr="005F2161">
        <w:rPr>
          <w:rFonts w:eastAsia="仿宋_GB2312" w:hint="eastAsia"/>
          <w:bCs/>
          <w:sz w:val="32"/>
          <w:szCs w:val="32"/>
        </w:rPr>
        <w:t>个统筹区。</w:t>
      </w:r>
      <w:r w:rsidR="00843D28" w:rsidRPr="005F2161">
        <w:rPr>
          <w:rFonts w:eastAsia="仿宋_GB2312" w:hint="eastAsia"/>
          <w:bCs/>
          <w:sz w:val="32"/>
          <w:szCs w:val="32"/>
        </w:rPr>
        <w:t>没有统筹基金可支撑月数低于</w:t>
      </w:r>
      <w:r w:rsidR="00843D28" w:rsidRPr="005F2161">
        <w:rPr>
          <w:rFonts w:eastAsia="仿宋_GB2312" w:hint="eastAsia"/>
          <w:bCs/>
          <w:sz w:val="32"/>
          <w:szCs w:val="32"/>
        </w:rPr>
        <w:t>3</w:t>
      </w:r>
      <w:r w:rsidR="00843D28" w:rsidRPr="005F2161">
        <w:rPr>
          <w:rFonts w:eastAsia="仿宋_GB2312" w:hint="eastAsia"/>
          <w:bCs/>
          <w:sz w:val="32"/>
          <w:szCs w:val="32"/>
        </w:rPr>
        <w:t>个月</w:t>
      </w:r>
      <w:r w:rsidRPr="005F2161">
        <w:rPr>
          <w:rFonts w:eastAsia="仿宋_GB2312" w:hint="eastAsia"/>
          <w:bCs/>
          <w:sz w:val="32"/>
          <w:szCs w:val="32"/>
        </w:rPr>
        <w:t>；基金结余可支撑月数</w:t>
      </w:r>
      <w:r w:rsidRPr="005F2161">
        <w:rPr>
          <w:rFonts w:eastAsia="仿宋_GB2312" w:hint="eastAsia"/>
          <w:bCs/>
          <w:sz w:val="32"/>
          <w:szCs w:val="32"/>
        </w:rPr>
        <w:t>3-9</w:t>
      </w:r>
      <w:r w:rsidRPr="005F2161">
        <w:rPr>
          <w:rFonts w:eastAsia="仿宋_GB2312" w:hint="eastAsia"/>
          <w:bCs/>
          <w:sz w:val="32"/>
          <w:szCs w:val="32"/>
        </w:rPr>
        <w:t>个月有：</w:t>
      </w:r>
      <w:r w:rsidR="00B34D32" w:rsidRPr="005F2161">
        <w:rPr>
          <w:rFonts w:eastAsia="仿宋_GB2312" w:hint="eastAsia"/>
          <w:bCs/>
          <w:sz w:val="32"/>
          <w:szCs w:val="32"/>
        </w:rPr>
        <w:t>茶陵、攸县、</w:t>
      </w:r>
      <w:r w:rsidRPr="005F2161">
        <w:rPr>
          <w:rFonts w:eastAsia="仿宋_GB2312" w:hint="eastAsia"/>
          <w:bCs/>
          <w:sz w:val="32"/>
          <w:szCs w:val="32"/>
        </w:rPr>
        <w:t>醴陵市、株洲县</w:t>
      </w:r>
      <w:r w:rsidR="00B34D32" w:rsidRPr="005F2161">
        <w:rPr>
          <w:rFonts w:eastAsia="仿宋_GB2312" w:hint="eastAsia"/>
          <w:bCs/>
          <w:sz w:val="32"/>
          <w:szCs w:val="32"/>
        </w:rPr>
        <w:t>、</w:t>
      </w:r>
      <w:r w:rsidR="00B34D32" w:rsidRPr="005F2161">
        <w:rPr>
          <w:rFonts w:eastAsia="仿宋_GB2312" w:hint="eastAsia"/>
          <w:bCs/>
          <w:sz w:val="32"/>
          <w:szCs w:val="32"/>
        </w:rPr>
        <w:lastRenderedPageBreak/>
        <w:t>芦淞区、石峰区、天元区</w:t>
      </w:r>
      <w:r w:rsidRPr="005F2161">
        <w:rPr>
          <w:rFonts w:eastAsia="仿宋_GB2312" w:hint="eastAsia"/>
          <w:bCs/>
          <w:sz w:val="32"/>
          <w:szCs w:val="32"/>
        </w:rPr>
        <w:t>；其他县市均在</w:t>
      </w:r>
      <w:r w:rsidRPr="005F2161">
        <w:rPr>
          <w:rFonts w:eastAsia="仿宋_GB2312" w:hint="eastAsia"/>
          <w:bCs/>
          <w:sz w:val="32"/>
          <w:szCs w:val="32"/>
        </w:rPr>
        <w:t>9</w:t>
      </w:r>
      <w:r w:rsidRPr="005F2161">
        <w:rPr>
          <w:rFonts w:eastAsia="仿宋_GB2312" w:hint="eastAsia"/>
          <w:bCs/>
          <w:sz w:val="32"/>
          <w:szCs w:val="32"/>
        </w:rPr>
        <w:t>个月以上。</w:t>
      </w:r>
    </w:p>
    <w:p w:rsidR="00C27119" w:rsidRPr="005F2161" w:rsidRDefault="0001630F" w:rsidP="005F2161">
      <w:pPr>
        <w:ind w:firstLineChars="200" w:firstLine="643"/>
        <w:rPr>
          <w:rFonts w:ascii="宋体" w:hAnsi="宋体"/>
          <w:b/>
          <w:sz w:val="32"/>
          <w:szCs w:val="32"/>
        </w:rPr>
      </w:pPr>
      <w:r>
        <w:rPr>
          <w:rFonts w:ascii="宋体" w:hAnsi="宋体" w:hint="eastAsia"/>
          <w:b/>
          <w:sz w:val="32"/>
          <w:szCs w:val="32"/>
        </w:rPr>
        <w:t>2022</w:t>
      </w:r>
      <w:r w:rsidR="00C27119" w:rsidRPr="005F2161">
        <w:rPr>
          <w:rFonts w:ascii="宋体" w:hAnsi="宋体" w:hint="eastAsia"/>
          <w:b/>
          <w:sz w:val="32"/>
          <w:szCs w:val="32"/>
        </w:rPr>
        <w:t>年市县区医疗生育保险基金累计结余分布情况表</w:t>
      </w:r>
    </w:p>
    <w:tbl>
      <w:tblPr>
        <w:tblW w:w="9923" w:type="dxa"/>
        <w:jc w:val="center"/>
        <w:tblLook w:val="0000" w:firstRow="0" w:lastRow="0" w:firstColumn="0" w:lastColumn="0" w:noHBand="0" w:noVBand="0"/>
      </w:tblPr>
      <w:tblGrid>
        <w:gridCol w:w="567"/>
        <w:gridCol w:w="1277"/>
        <w:gridCol w:w="1417"/>
        <w:gridCol w:w="1559"/>
        <w:gridCol w:w="993"/>
        <w:gridCol w:w="1463"/>
        <w:gridCol w:w="1514"/>
        <w:gridCol w:w="1133"/>
      </w:tblGrid>
      <w:tr w:rsidR="00C27119" w:rsidRPr="00EE7F28" w:rsidTr="002E5668">
        <w:trPr>
          <w:trHeight w:val="450"/>
          <w:jc w:val="center"/>
        </w:trPr>
        <w:tc>
          <w:tcPr>
            <w:tcW w:w="567" w:type="dxa"/>
            <w:vMerge w:val="restart"/>
            <w:tcBorders>
              <w:top w:val="single" w:sz="4" w:space="0" w:color="auto"/>
              <w:left w:val="single" w:sz="4" w:space="0" w:color="auto"/>
              <w:bottom w:val="single" w:sz="4" w:space="0" w:color="000000"/>
              <w:right w:val="single" w:sz="4" w:space="0" w:color="auto"/>
            </w:tcBorders>
            <w:vAlign w:val="center"/>
          </w:tcPr>
          <w:p w:rsidR="00C27119" w:rsidRPr="005F2161" w:rsidRDefault="00C27119">
            <w:pPr>
              <w:widowControl/>
              <w:jc w:val="center"/>
              <w:rPr>
                <w:rFonts w:ascii="宋体" w:hAnsi="宋体" w:cs="Tahoma"/>
                <w:color w:val="000000"/>
                <w:kern w:val="0"/>
                <w:sz w:val="18"/>
                <w:szCs w:val="18"/>
              </w:rPr>
            </w:pPr>
            <w:r w:rsidRPr="005F2161">
              <w:rPr>
                <w:rFonts w:ascii="宋体" w:hAnsi="宋体" w:cs="Tahoma" w:hint="eastAsia"/>
                <w:color w:val="000000"/>
                <w:kern w:val="0"/>
                <w:sz w:val="18"/>
                <w:szCs w:val="18"/>
              </w:rPr>
              <w:t>序号</w:t>
            </w:r>
          </w:p>
        </w:tc>
        <w:tc>
          <w:tcPr>
            <w:tcW w:w="1277" w:type="dxa"/>
            <w:vMerge w:val="restart"/>
            <w:tcBorders>
              <w:top w:val="single" w:sz="4" w:space="0" w:color="auto"/>
              <w:left w:val="single" w:sz="4" w:space="0" w:color="auto"/>
              <w:bottom w:val="single" w:sz="4" w:space="0" w:color="000000"/>
              <w:right w:val="single" w:sz="4" w:space="0" w:color="auto"/>
            </w:tcBorders>
            <w:vAlign w:val="center"/>
          </w:tcPr>
          <w:p w:rsidR="00C27119" w:rsidRPr="005F2161" w:rsidRDefault="00C27119">
            <w:pPr>
              <w:widowControl/>
              <w:jc w:val="center"/>
              <w:rPr>
                <w:rFonts w:ascii="宋体" w:hAnsi="宋体" w:cs="Tahoma"/>
                <w:color w:val="000000"/>
                <w:kern w:val="0"/>
                <w:sz w:val="18"/>
                <w:szCs w:val="18"/>
              </w:rPr>
            </w:pPr>
            <w:r w:rsidRPr="005F2161">
              <w:rPr>
                <w:rFonts w:ascii="宋体" w:hAnsi="宋体" w:cs="Tahoma" w:hint="eastAsia"/>
                <w:color w:val="000000"/>
                <w:kern w:val="0"/>
                <w:sz w:val="18"/>
                <w:szCs w:val="18"/>
              </w:rPr>
              <w:t>市县区</w:t>
            </w:r>
          </w:p>
        </w:tc>
        <w:tc>
          <w:tcPr>
            <w:tcW w:w="3969" w:type="dxa"/>
            <w:gridSpan w:val="3"/>
            <w:tcBorders>
              <w:top w:val="single" w:sz="4" w:space="0" w:color="auto"/>
              <w:left w:val="nil"/>
              <w:bottom w:val="single" w:sz="4" w:space="0" w:color="auto"/>
              <w:right w:val="single" w:sz="4" w:space="0" w:color="auto"/>
            </w:tcBorders>
            <w:vAlign w:val="center"/>
          </w:tcPr>
          <w:p w:rsidR="00C27119" w:rsidRPr="005F2161" w:rsidRDefault="00C27119">
            <w:pPr>
              <w:widowControl/>
              <w:jc w:val="center"/>
              <w:rPr>
                <w:rFonts w:ascii="宋体" w:hAnsi="宋体" w:cs="Tahoma"/>
                <w:color w:val="000000"/>
                <w:kern w:val="0"/>
                <w:sz w:val="18"/>
                <w:szCs w:val="18"/>
              </w:rPr>
            </w:pPr>
            <w:r w:rsidRPr="005F2161">
              <w:rPr>
                <w:rFonts w:ascii="宋体" w:hAnsi="宋体" w:cs="Tahoma" w:hint="eastAsia"/>
                <w:color w:val="000000"/>
                <w:kern w:val="0"/>
                <w:sz w:val="18"/>
                <w:szCs w:val="18"/>
              </w:rPr>
              <w:t>城乡居民医保基金</w:t>
            </w:r>
          </w:p>
        </w:tc>
        <w:tc>
          <w:tcPr>
            <w:tcW w:w="4110" w:type="dxa"/>
            <w:gridSpan w:val="3"/>
            <w:tcBorders>
              <w:top w:val="single" w:sz="4" w:space="0" w:color="auto"/>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5F2161">
              <w:rPr>
                <w:rFonts w:ascii="宋体" w:hAnsi="宋体" w:cs="Tahoma" w:hint="eastAsia"/>
                <w:color w:val="000000"/>
                <w:kern w:val="0"/>
                <w:sz w:val="18"/>
                <w:szCs w:val="18"/>
              </w:rPr>
              <w:t>职工医保统筹基金</w:t>
            </w:r>
          </w:p>
        </w:tc>
      </w:tr>
      <w:tr w:rsidR="002E5668" w:rsidRPr="00EE7F28" w:rsidTr="00B8649B">
        <w:trPr>
          <w:trHeight w:val="690"/>
          <w:jc w:val="center"/>
        </w:trPr>
        <w:tc>
          <w:tcPr>
            <w:tcW w:w="567" w:type="dxa"/>
            <w:vMerge/>
            <w:tcBorders>
              <w:top w:val="single" w:sz="4" w:space="0" w:color="auto"/>
              <w:left w:val="single" w:sz="4" w:space="0" w:color="auto"/>
              <w:bottom w:val="single" w:sz="4" w:space="0" w:color="000000"/>
              <w:right w:val="single" w:sz="4" w:space="0" w:color="auto"/>
            </w:tcBorders>
            <w:vAlign w:val="center"/>
          </w:tcPr>
          <w:p w:rsidR="00C27119" w:rsidRPr="00EE7F28" w:rsidRDefault="00C27119">
            <w:pPr>
              <w:widowControl/>
              <w:jc w:val="left"/>
              <w:rPr>
                <w:rFonts w:ascii="宋体" w:hAnsi="宋体" w:cs="Tahoma"/>
                <w:color w:val="000000"/>
                <w:kern w:val="0"/>
                <w:sz w:val="18"/>
                <w:szCs w:val="18"/>
              </w:rPr>
            </w:pPr>
          </w:p>
        </w:tc>
        <w:tc>
          <w:tcPr>
            <w:tcW w:w="1277" w:type="dxa"/>
            <w:vMerge/>
            <w:tcBorders>
              <w:top w:val="single" w:sz="4" w:space="0" w:color="auto"/>
              <w:left w:val="single" w:sz="4" w:space="0" w:color="auto"/>
              <w:bottom w:val="single" w:sz="4" w:space="0" w:color="000000"/>
              <w:right w:val="single" w:sz="4" w:space="0" w:color="auto"/>
            </w:tcBorders>
            <w:vAlign w:val="center"/>
          </w:tcPr>
          <w:p w:rsidR="00C27119" w:rsidRPr="00EE7F28" w:rsidRDefault="00C27119">
            <w:pPr>
              <w:widowControl/>
              <w:jc w:val="left"/>
              <w:rPr>
                <w:rFonts w:ascii="宋体" w:hAnsi="宋体" w:cs="Tahoma"/>
                <w:color w:val="000000"/>
                <w:kern w:val="0"/>
                <w:sz w:val="18"/>
                <w:szCs w:val="18"/>
              </w:rPr>
            </w:pPr>
          </w:p>
        </w:tc>
        <w:tc>
          <w:tcPr>
            <w:tcW w:w="1417"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期末累计结余</w:t>
            </w:r>
          </w:p>
        </w:tc>
        <w:tc>
          <w:tcPr>
            <w:tcW w:w="1559"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剔除应付未付及预留金实际结余</w:t>
            </w:r>
          </w:p>
        </w:tc>
        <w:tc>
          <w:tcPr>
            <w:tcW w:w="993"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实际可支付月数</w:t>
            </w:r>
          </w:p>
        </w:tc>
        <w:tc>
          <w:tcPr>
            <w:tcW w:w="1463"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期末累计结余</w:t>
            </w:r>
          </w:p>
        </w:tc>
        <w:tc>
          <w:tcPr>
            <w:tcW w:w="1514"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剔除应付未付及预留金实际结余</w:t>
            </w:r>
          </w:p>
        </w:tc>
        <w:tc>
          <w:tcPr>
            <w:tcW w:w="1133"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实际可支付月数</w:t>
            </w:r>
          </w:p>
        </w:tc>
      </w:tr>
      <w:tr w:rsidR="002E5668" w:rsidRPr="00EE7F28" w:rsidTr="00B8649B">
        <w:trPr>
          <w:trHeight w:val="450"/>
          <w:jc w:val="center"/>
        </w:trPr>
        <w:tc>
          <w:tcPr>
            <w:tcW w:w="567" w:type="dxa"/>
            <w:vMerge/>
            <w:tcBorders>
              <w:top w:val="single" w:sz="4" w:space="0" w:color="auto"/>
              <w:left w:val="single" w:sz="4" w:space="0" w:color="auto"/>
              <w:bottom w:val="single" w:sz="4" w:space="0" w:color="000000"/>
              <w:right w:val="single" w:sz="4" w:space="0" w:color="auto"/>
            </w:tcBorders>
            <w:vAlign w:val="center"/>
          </w:tcPr>
          <w:p w:rsidR="00C27119" w:rsidRPr="00EE7F28" w:rsidRDefault="00C27119">
            <w:pPr>
              <w:widowControl/>
              <w:jc w:val="left"/>
              <w:rPr>
                <w:rFonts w:ascii="宋体" w:hAnsi="宋体" w:cs="Tahoma"/>
                <w:color w:val="000000"/>
                <w:kern w:val="0"/>
                <w:sz w:val="18"/>
                <w:szCs w:val="18"/>
              </w:rPr>
            </w:pPr>
          </w:p>
        </w:tc>
        <w:tc>
          <w:tcPr>
            <w:tcW w:w="1277" w:type="dxa"/>
            <w:vMerge/>
            <w:tcBorders>
              <w:top w:val="single" w:sz="4" w:space="0" w:color="auto"/>
              <w:left w:val="single" w:sz="4" w:space="0" w:color="auto"/>
              <w:bottom w:val="single" w:sz="4" w:space="0" w:color="000000"/>
              <w:right w:val="single" w:sz="4" w:space="0" w:color="auto"/>
            </w:tcBorders>
            <w:vAlign w:val="center"/>
          </w:tcPr>
          <w:p w:rsidR="00C27119" w:rsidRPr="00EE7F28" w:rsidRDefault="00C27119">
            <w:pPr>
              <w:widowControl/>
              <w:jc w:val="left"/>
              <w:rPr>
                <w:rFonts w:ascii="宋体" w:hAnsi="宋体" w:cs="Tahoma"/>
                <w:color w:val="000000"/>
                <w:kern w:val="0"/>
                <w:sz w:val="18"/>
                <w:szCs w:val="18"/>
              </w:rPr>
            </w:pPr>
          </w:p>
        </w:tc>
        <w:tc>
          <w:tcPr>
            <w:tcW w:w="1417"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万元</w:t>
            </w:r>
          </w:p>
        </w:tc>
        <w:tc>
          <w:tcPr>
            <w:tcW w:w="1559"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万元</w:t>
            </w:r>
          </w:p>
        </w:tc>
        <w:tc>
          <w:tcPr>
            <w:tcW w:w="993"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个</w:t>
            </w:r>
          </w:p>
        </w:tc>
        <w:tc>
          <w:tcPr>
            <w:tcW w:w="1463"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万元</w:t>
            </w:r>
          </w:p>
        </w:tc>
        <w:tc>
          <w:tcPr>
            <w:tcW w:w="1514"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万元</w:t>
            </w:r>
          </w:p>
        </w:tc>
        <w:tc>
          <w:tcPr>
            <w:tcW w:w="1133" w:type="dxa"/>
            <w:tcBorders>
              <w:top w:val="nil"/>
              <w:left w:val="nil"/>
              <w:bottom w:val="single" w:sz="4" w:space="0" w:color="auto"/>
              <w:right w:val="single" w:sz="4" w:space="0" w:color="auto"/>
            </w:tcBorders>
            <w:vAlign w:val="center"/>
          </w:tcPr>
          <w:p w:rsidR="00C27119" w:rsidRPr="00EE7F28" w:rsidRDefault="00C27119">
            <w:pPr>
              <w:widowControl/>
              <w:jc w:val="center"/>
              <w:rPr>
                <w:rFonts w:ascii="宋体" w:hAnsi="宋体" w:cs="Tahoma"/>
                <w:color w:val="000000"/>
                <w:kern w:val="0"/>
                <w:sz w:val="18"/>
                <w:szCs w:val="18"/>
              </w:rPr>
            </w:pPr>
            <w:r w:rsidRPr="00EE7F28">
              <w:rPr>
                <w:rFonts w:ascii="宋体" w:hAnsi="宋体" w:cs="Tahoma" w:hint="eastAsia"/>
                <w:color w:val="000000"/>
                <w:kern w:val="0"/>
                <w:sz w:val="18"/>
                <w:szCs w:val="18"/>
              </w:rPr>
              <w:t>个</w:t>
            </w:r>
          </w:p>
        </w:tc>
      </w:tr>
      <w:tr w:rsidR="00B8649B" w:rsidRPr="00EE7F28" w:rsidTr="00B8649B">
        <w:trPr>
          <w:trHeight w:val="330"/>
          <w:jc w:val="center"/>
        </w:trPr>
        <w:tc>
          <w:tcPr>
            <w:tcW w:w="567" w:type="dxa"/>
            <w:tcBorders>
              <w:top w:val="nil"/>
              <w:left w:val="single" w:sz="4" w:space="0" w:color="auto"/>
              <w:bottom w:val="single" w:sz="4" w:space="0" w:color="auto"/>
              <w:right w:val="single" w:sz="4" w:space="0" w:color="auto"/>
            </w:tcBorders>
            <w:vAlign w:val="bottom"/>
          </w:tcPr>
          <w:p w:rsidR="00B8649B" w:rsidRPr="00EE7F28" w:rsidRDefault="00B8649B">
            <w:pPr>
              <w:widowControl/>
              <w:jc w:val="center"/>
              <w:rPr>
                <w:rFonts w:ascii="宋体" w:hAnsi="宋体" w:cs="Tahoma"/>
                <w:color w:val="000000"/>
                <w:kern w:val="0"/>
                <w:sz w:val="24"/>
              </w:rPr>
            </w:pPr>
            <w:r w:rsidRPr="00EE7F28">
              <w:rPr>
                <w:rFonts w:ascii="宋体" w:hAnsi="宋体" w:cs="Tahoma" w:hint="eastAsia"/>
                <w:color w:val="000000"/>
                <w:kern w:val="0"/>
                <w:sz w:val="24"/>
              </w:rPr>
              <w:t>1</w:t>
            </w:r>
          </w:p>
        </w:tc>
        <w:tc>
          <w:tcPr>
            <w:tcW w:w="1277" w:type="dxa"/>
            <w:tcBorders>
              <w:top w:val="nil"/>
              <w:left w:val="nil"/>
              <w:bottom w:val="single" w:sz="4" w:space="0" w:color="auto"/>
              <w:right w:val="single" w:sz="4" w:space="0" w:color="auto"/>
            </w:tcBorders>
            <w:vAlign w:val="center"/>
          </w:tcPr>
          <w:p w:rsidR="00B8649B" w:rsidRPr="00EE7F28" w:rsidRDefault="00B8649B" w:rsidP="00FB142F">
            <w:pPr>
              <w:jc w:val="center"/>
              <w:rPr>
                <w:b/>
                <w:bCs/>
              </w:rPr>
            </w:pPr>
            <w:r w:rsidRPr="00EE7F28">
              <w:rPr>
                <w:rFonts w:hint="eastAsia"/>
                <w:b/>
                <w:bCs/>
              </w:rPr>
              <w:t>茶陵</w:t>
            </w:r>
          </w:p>
        </w:tc>
        <w:tc>
          <w:tcPr>
            <w:tcW w:w="1417" w:type="dxa"/>
            <w:tcBorders>
              <w:top w:val="nil"/>
              <w:left w:val="nil"/>
              <w:bottom w:val="single" w:sz="4" w:space="0" w:color="auto"/>
              <w:right w:val="single" w:sz="4" w:space="0" w:color="auto"/>
            </w:tcBorders>
            <w:vAlign w:val="center"/>
          </w:tcPr>
          <w:p w:rsidR="00B8649B" w:rsidRPr="00B8649B" w:rsidRDefault="00B8649B" w:rsidP="00687788">
            <w:pPr>
              <w:jc w:val="center"/>
              <w:rPr>
                <w:rFonts w:ascii="宋体" w:hAnsi="宋体" w:cs="宋体"/>
                <w:sz w:val="22"/>
                <w:szCs w:val="22"/>
              </w:rPr>
            </w:pPr>
            <w:r w:rsidRPr="00B8649B">
              <w:rPr>
                <w:rFonts w:ascii="宋体" w:hAnsi="宋体" w:cs="宋体"/>
                <w:sz w:val="22"/>
                <w:szCs w:val="22"/>
              </w:rPr>
              <w:t>32438.99</w:t>
            </w:r>
          </w:p>
        </w:tc>
        <w:tc>
          <w:tcPr>
            <w:tcW w:w="1559" w:type="dxa"/>
            <w:tcBorders>
              <w:top w:val="nil"/>
              <w:left w:val="nil"/>
              <w:bottom w:val="single" w:sz="4" w:space="0" w:color="auto"/>
              <w:right w:val="single" w:sz="4" w:space="0" w:color="auto"/>
            </w:tcBorders>
            <w:vAlign w:val="center"/>
          </w:tcPr>
          <w:p w:rsidR="00B8649B" w:rsidRPr="00B8649B" w:rsidRDefault="00AE3E74" w:rsidP="00687788">
            <w:pPr>
              <w:jc w:val="center"/>
              <w:rPr>
                <w:rFonts w:ascii="宋体" w:hAnsi="宋体" w:cs="宋体"/>
                <w:sz w:val="22"/>
                <w:szCs w:val="22"/>
              </w:rPr>
            </w:pPr>
            <w:r w:rsidRPr="00AE3E74">
              <w:rPr>
                <w:rFonts w:ascii="宋体" w:hAnsi="宋体" w:cs="宋体"/>
                <w:sz w:val="22"/>
                <w:szCs w:val="22"/>
              </w:rPr>
              <w:t>25953.53</w:t>
            </w:r>
          </w:p>
        </w:tc>
        <w:tc>
          <w:tcPr>
            <w:tcW w:w="993" w:type="dxa"/>
            <w:tcBorders>
              <w:top w:val="nil"/>
              <w:left w:val="nil"/>
              <w:bottom w:val="single" w:sz="4" w:space="0" w:color="auto"/>
              <w:right w:val="single" w:sz="4" w:space="0" w:color="auto"/>
            </w:tcBorders>
            <w:vAlign w:val="center"/>
          </w:tcPr>
          <w:p w:rsidR="00B8649B" w:rsidRPr="00EE7F28" w:rsidRDefault="00AE3E74" w:rsidP="00FB142F">
            <w:pPr>
              <w:jc w:val="center"/>
              <w:rPr>
                <w:rFonts w:ascii="宋体" w:hAnsi="宋体" w:cs="宋体"/>
                <w:sz w:val="24"/>
              </w:rPr>
            </w:pPr>
            <w:r>
              <w:rPr>
                <w:rFonts w:ascii="宋体" w:hAnsi="宋体" w:cs="宋体" w:hint="eastAsia"/>
                <w:sz w:val="24"/>
              </w:rPr>
              <w:t>7</w:t>
            </w:r>
          </w:p>
        </w:tc>
        <w:tc>
          <w:tcPr>
            <w:tcW w:w="1463" w:type="dxa"/>
            <w:tcBorders>
              <w:top w:val="nil"/>
              <w:left w:val="nil"/>
              <w:bottom w:val="single" w:sz="4" w:space="0" w:color="auto"/>
              <w:right w:val="single" w:sz="4" w:space="0" w:color="auto"/>
            </w:tcBorders>
            <w:vAlign w:val="center"/>
          </w:tcPr>
          <w:p w:rsidR="00B8649B" w:rsidRPr="00EE7F28" w:rsidRDefault="00B8649B" w:rsidP="00687788">
            <w:pPr>
              <w:jc w:val="center"/>
              <w:rPr>
                <w:rFonts w:ascii="宋体" w:hAnsi="宋体" w:cs="宋体"/>
                <w:sz w:val="24"/>
              </w:rPr>
            </w:pPr>
            <m:oMathPara>
              <m:oMath>
                <m:r>
                  <m:rPr>
                    <m:sty m:val="p"/>
                  </m:rPr>
                  <w:rPr>
                    <w:rFonts w:ascii="Cambria Math" w:hAnsi="Cambria Math" w:cs="宋体"/>
                    <w:kern w:val="0"/>
                    <w:sz w:val="22"/>
                    <w:szCs w:val="22"/>
                  </w:rPr>
                  <m:t>3974.57</m:t>
                </m:r>
              </m:oMath>
            </m:oMathPara>
          </w:p>
        </w:tc>
        <w:tc>
          <w:tcPr>
            <w:tcW w:w="1514" w:type="dxa"/>
            <w:tcBorders>
              <w:top w:val="nil"/>
              <w:left w:val="nil"/>
              <w:bottom w:val="single" w:sz="4" w:space="0" w:color="auto"/>
              <w:right w:val="single" w:sz="4" w:space="0" w:color="auto"/>
            </w:tcBorders>
            <w:vAlign w:val="center"/>
          </w:tcPr>
          <w:p w:rsidR="00B8649B" w:rsidRPr="00EE7F28" w:rsidRDefault="00B8649B" w:rsidP="00687788">
            <w:pPr>
              <w:jc w:val="center"/>
              <w:rPr>
                <w:rFonts w:ascii="宋体" w:hAnsi="宋体" w:cs="宋体"/>
                <w:sz w:val="24"/>
              </w:rPr>
            </w:pPr>
            <w:r>
              <w:rPr>
                <w:rFonts w:ascii="宋体" w:hAnsi="宋体" w:cs="宋体" w:hint="eastAsia"/>
                <w:kern w:val="0"/>
                <w:sz w:val="22"/>
                <w:szCs w:val="22"/>
              </w:rPr>
              <w:t>2035.57</w:t>
            </w:r>
          </w:p>
        </w:tc>
        <w:tc>
          <w:tcPr>
            <w:tcW w:w="1133" w:type="dxa"/>
            <w:tcBorders>
              <w:top w:val="nil"/>
              <w:left w:val="nil"/>
              <w:bottom w:val="single" w:sz="4" w:space="0" w:color="auto"/>
              <w:right w:val="single" w:sz="4" w:space="0" w:color="auto"/>
            </w:tcBorders>
            <w:vAlign w:val="center"/>
          </w:tcPr>
          <w:p w:rsidR="00B8649B" w:rsidRPr="00EE7F28" w:rsidRDefault="00B8649B" w:rsidP="002E5668">
            <w:pPr>
              <w:jc w:val="center"/>
              <w:rPr>
                <w:rFonts w:ascii="Garamond" w:hAnsi="Garamond"/>
                <w:color w:val="000000"/>
                <w:szCs w:val="21"/>
              </w:rPr>
            </w:pPr>
            <w:r w:rsidRPr="00EE7F28">
              <w:rPr>
                <w:rFonts w:ascii="Garamond" w:hAnsi="Garamond" w:hint="eastAsia"/>
                <w:color w:val="000000"/>
                <w:szCs w:val="21"/>
              </w:rPr>
              <w:t>3</w:t>
            </w:r>
          </w:p>
        </w:tc>
      </w:tr>
      <w:tr w:rsidR="00B8649B" w:rsidRPr="00EE7F28" w:rsidTr="00B8649B">
        <w:trPr>
          <w:trHeight w:val="330"/>
          <w:jc w:val="center"/>
        </w:trPr>
        <w:tc>
          <w:tcPr>
            <w:tcW w:w="567" w:type="dxa"/>
            <w:tcBorders>
              <w:top w:val="nil"/>
              <w:left w:val="single" w:sz="4" w:space="0" w:color="auto"/>
              <w:bottom w:val="single" w:sz="4" w:space="0" w:color="auto"/>
              <w:right w:val="single" w:sz="4" w:space="0" w:color="auto"/>
            </w:tcBorders>
            <w:vAlign w:val="bottom"/>
          </w:tcPr>
          <w:p w:rsidR="00B8649B" w:rsidRPr="00EE7F28" w:rsidRDefault="00B8649B">
            <w:pPr>
              <w:widowControl/>
              <w:jc w:val="center"/>
              <w:rPr>
                <w:rFonts w:ascii="宋体" w:hAnsi="宋体" w:cs="Tahoma"/>
                <w:color w:val="000000"/>
                <w:kern w:val="0"/>
                <w:sz w:val="24"/>
              </w:rPr>
            </w:pPr>
            <w:r w:rsidRPr="00EE7F28">
              <w:rPr>
                <w:rFonts w:ascii="宋体" w:hAnsi="宋体" w:cs="Tahoma" w:hint="eastAsia"/>
                <w:color w:val="000000"/>
                <w:kern w:val="0"/>
                <w:sz w:val="24"/>
              </w:rPr>
              <w:t>2</w:t>
            </w:r>
          </w:p>
        </w:tc>
        <w:tc>
          <w:tcPr>
            <w:tcW w:w="1277" w:type="dxa"/>
            <w:tcBorders>
              <w:top w:val="nil"/>
              <w:left w:val="nil"/>
              <w:bottom w:val="single" w:sz="4" w:space="0" w:color="auto"/>
              <w:right w:val="single" w:sz="4" w:space="0" w:color="auto"/>
            </w:tcBorders>
            <w:vAlign w:val="center"/>
          </w:tcPr>
          <w:p w:rsidR="00B8649B" w:rsidRPr="00EE7F28" w:rsidRDefault="00B8649B" w:rsidP="00FB142F">
            <w:pPr>
              <w:jc w:val="center"/>
              <w:rPr>
                <w:b/>
                <w:bCs/>
              </w:rPr>
            </w:pPr>
            <w:r w:rsidRPr="00EE7F28">
              <w:rPr>
                <w:rFonts w:hint="eastAsia"/>
                <w:b/>
                <w:bCs/>
              </w:rPr>
              <w:t>攸县</w:t>
            </w:r>
          </w:p>
        </w:tc>
        <w:tc>
          <w:tcPr>
            <w:tcW w:w="1417" w:type="dxa"/>
            <w:tcBorders>
              <w:top w:val="nil"/>
              <w:left w:val="nil"/>
              <w:bottom w:val="single" w:sz="4" w:space="0" w:color="auto"/>
              <w:right w:val="single" w:sz="4" w:space="0" w:color="auto"/>
            </w:tcBorders>
            <w:vAlign w:val="center"/>
          </w:tcPr>
          <w:p w:rsidR="00B8649B" w:rsidRPr="00B8649B" w:rsidRDefault="00B8649B" w:rsidP="00687788">
            <w:pPr>
              <w:jc w:val="center"/>
              <w:rPr>
                <w:rFonts w:ascii="宋体" w:hAnsi="宋体" w:cs="宋体"/>
                <w:sz w:val="22"/>
                <w:szCs w:val="22"/>
              </w:rPr>
            </w:pPr>
            <w:r w:rsidRPr="00B8649B">
              <w:rPr>
                <w:rFonts w:ascii="宋体" w:hAnsi="宋体" w:cs="宋体"/>
                <w:sz w:val="22"/>
                <w:szCs w:val="22"/>
              </w:rPr>
              <w:t>15994.97</w:t>
            </w:r>
          </w:p>
        </w:tc>
        <w:tc>
          <w:tcPr>
            <w:tcW w:w="1559" w:type="dxa"/>
            <w:tcBorders>
              <w:top w:val="nil"/>
              <w:left w:val="nil"/>
              <w:bottom w:val="single" w:sz="4" w:space="0" w:color="auto"/>
              <w:right w:val="single" w:sz="4" w:space="0" w:color="auto"/>
            </w:tcBorders>
            <w:vAlign w:val="center"/>
          </w:tcPr>
          <w:p w:rsidR="00B8649B" w:rsidRPr="00B8649B" w:rsidRDefault="00B8649B" w:rsidP="00687788">
            <w:pPr>
              <w:jc w:val="center"/>
              <w:rPr>
                <w:rFonts w:ascii="宋体" w:hAnsi="宋体" w:cs="宋体"/>
                <w:sz w:val="22"/>
                <w:szCs w:val="22"/>
              </w:rPr>
            </w:pPr>
            <w:r w:rsidRPr="00B8649B">
              <w:rPr>
                <w:rFonts w:ascii="宋体" w:hAnsi="宋体" w:cs="宋体" w:hint="eastAsia"/>
                <w:sz w:val="22"/>
                <w:szCs w:val="22"/>
              </w:rPr>
              <w:t>13994.97</w:t>
            </w:r>
          </w:p>
        </w:tc>
        <w:tc>
          <w:tcPr>
            <w:tcW w:w="993" w:type="dxa"/>
            <w:tcBorders>
              <w:top w:val="nil"/>
              <w:left w:val="nil"/>
              <w:bottom w:val="single" w:sz="4" w:space="0" w:color="auto"/>
              <w:right w:val="single" w:sz="4" w:space="0" w:color="auto"/>
            </w:tcBorders>
            <w:vAlign w:val="center"/>
          </w:tcPr>
          <w:p w:rsidR="00B8649B" w:rsidRPr="00EE7F28" w:rsidRDefault="00B8649B" w:rsidP="00FB142F">
            <w:pPr>
              <w:jc w:val="center"/>
              <w:rPr>
                <w:rFonts w:ascii="宋体" w:hAnsi="宋体" w:cs="宋体"/>
                <w:sz w:val="24"/>
              </w:rPr>
            </w:pPr>
            <w:r w:rsidRPr="00EE7F28">
              <w:rPr>
                <w:rFonts w:ascii="宋体" w:hAnsi="宋体" w:cs="宋体" w:hint="eastAsia"/>
                <w:sz w:val="24"/>
              </w:rPr>
              <w:t>3</w:t>
            </w:r>
          </w:p>
        </w:tc>
        <w:tc>
          <w:tcPr>
            <w:tcW w:w="1463" w:type="dxa"/>
            <w:tcBorders>
              <w:top w:val="nil"/>
              <w:left w:val="nil"/>
              <w:bottom w:val="single" w:sz="4" w:space="0" w:color="auto"/>
              <w:right w:val="single" w:sz="4" w:space="0" w:color="auto"/>
            </w:tcBorders>
            <w:vAlign w:val="center"/>
          </w:tcPr>
          <w:p w:rsidR="00B8649B" w:rsidRPr="00EE7F28" w:rsidRDefault="00B8649B" w:rsidP="00687788">
            <w:pPr>
              <w:jc w:val="center"/>
              <w:rPr>
                <w:rFonts w:ascii="宋体" w:hAnsi="宋体" w:cs="宋体"/>
                <w:sz w:val="24"/>
              </w:rPr>
            </w:pPr>
            <m:oMathPara>
              <m:oMath>
                <m:r>
                  <m:rPr>
                    <m:sty m:val="p"/>
                  </m:rPr>
                  <w:rPr>
                    <w:rFonts w:ascii="Cambria Math" w:hAnsi="Cambria Math" w:cs="宋体"/>
                    <w:kern w:val="0"/>
                    <w:sz w:val="22"/>
                    <w:szCs w:val="22"/>
                  </w:rPr>
                  <m:t>5989.98</m:t>
                </m:r>
              </m:oMath>
            </m:oMathPara>
          </w:p>
        </w:tc>
        <w:tc>
          <w:tcPr>
            <w:tcW w:w="1514" w:type="dxa"/>
            <w:tcBorders>
              <w:top w:val="nil"/>
              <w:left w:val="nil"/>
              <w:bottom w:val="single" w:sz="4" w:space="0" w:color="auto"/>
              <w:right w:val="single" w:sz="4" w:space="0" w:color="auto"/>
            </w:tcBorders>
            <w:vAlign w:val="center"/>
          </w:tcPr>
          <w:p w:rsidR="00B8649B" w:rsidRPr="00EE7F28" w:rsidRDefault="00B8649B" w:rsidP="00687788">
            <w:pPr>
              <w:jc w:val="center"/>
              <w:rPr>
                <w:rFonts w:ascii="宋体" w:hAnsi="宋体" w:cs="宋体"/>
                <w:sz w:val="24"/>
              </w:rPr>
            </w:pPr>
            <w:r>
              <w:rPr>
                <w:rFonts w:ascii="宋体" w:hAnsi="宋体" w:cs="宋体" w:hint="eastAsia"/>
                <w:kern w:val="0"/>
                <w:sz w:val="22"/>
                <w:szCs w:val="22"/>
              </w:rPr>
              <w:t>3489.98</w:t>
            </w:r>
          </w:p>
        </w:tc>
        <w:tc>
          <w:tcPr>
            <w:tcW w:w="1133" w:type="dxa"/>
            <w:tcBorders>
              <w:top w:val="nil"/>
              <w:left w:val="nil"/>
              <w:bottom w:val="single" w:sz="4" w:space="0" w:color="auto"/>
              <w:right w:val="single" w:sz="4" w:space="0" w:color="auto"/>
            </w:tcBorders>
            <w:vAlign w:val="center"/>
          </w:tcPr>
          <w:p w:rsidR="00B8649B" w:rsidRPr="00EE7F28" w:rsidRDefault="00B8649B" w:rsidP="002E5668">
            <w:pPr>
              <w:jc w:val="center"/>
              <w:rPr>
                <w:rFonts w:ascii="Garamond" w:hAnsi="Garamond"/>
                <w:color w:val="000000"/>
                <w:szCs w:val="21"/>
              </w:rPr>
            </w:pPr>
            <w:r w:rsidRPr="00EE7F28">
              <w:rPr>
                <w:rFonts w:ascii="Garamond" w:hAnsi="Garamond" w:hint="eastAsia"/>
                <w:color w:val="000000"/>
                <w:szCs w:val="21"/>
              </w:rPr>
              <w:t>4</w:t>
            </w:r>
          </w:p>
        </w:tc>
      </w:tr>
      <w:tr w:rsidR="00B8649B" w:rsidRPr="00EE7F28" w:rsidTr="00B8649B">
        <w:trPr>
          <w:trHeight w:val="330"/>
          <w:jc w:val="center"/>
        </w:trPr>
        <w:tc>
          <w:tcPr>
            <w:tcW w:w="567" w:type="dxa"/>
            <w:tcBorders>
              <w:top w:val="nil"/>
              <w:left w:val="single" w:sz="4" w:space="0" w:color="auto"/>
              <w:bottom w:val="single" w:sz="4" w:space="0" w:color="auto"/>
              <w:right w:val="single" w:sz="4" w:space="0" w:color="auto"/>
            </w:tcBorders>
            <w:vAlign w:val="bottom"/>
          </w:tcPr>
          <w:p w:rsidR="00B8649B" w:rsidRPr="00EE7F28" w:rsidRDefault="00B8649B">
            <w:pPr>
              <w:widowControl/>
              <w:jc w:val="center"/>
              <w:rPr>
                <w:rFonts w:ascii="宋体" w:hAnsi="宋体" w:cs="Tahoma"/>
                <w:color w:val="000000"/>
                <w:kern w:val="0"/>
                <w:sz w:val="24"/>
              </w:rPr>
            </w:pPr>
            <w:r w:rsidRPr="00EE7F28">
              <w:rPr>
                <w:rFonts w:ascii="宋体" w:hAnsi="宋体" w:cs="Tahoma" w:hint="eastAsia"/>
                <w:color w:val="000000"/>
                <w:kern w:val="0"/>
                <w:sz w:val="24"/>
              </w:rPr>
              <w:t>3</w:t>
            </w:r>
          </w:p>
        </w:tc>
        <w:tc>
          <w:tcPr>
            <w:tcW w:w="1277" w:type="dxa"/>
            <w:tcBorders>
              <w:top w:val="nil"/>
              <w:left w:val="nil"/>
              <w:bottom w:val="single" w:sz="4" w:space="0" w:color="auto"/>
              <w:right w:val="single" w:sz="4" w:space="0" w:color="auto"/>
            </w:tcBorders>
            <w:vAlign w:val="center"/>
          </w:tcPr>
          <w:p w:rsidR="00B8649B" w:rsidRPr="00EE7F28" w:rsidRDefault="00B8649B" w:rsidP="00FB142F">
            <w:pPr>
              <w:jc w:val="center"/>
              <w:rPr>
                <w:b/>
                <w:bCs/>
              </w:rPr>
            </w:pPr>
            <w:r w:rsidRPr="00EE7F28">
              <w:rPr>
                <w:rFonts w:hint="eastAsia"/>
                <w:b/>
                <w:bCs/>
              </w:rPr>
              <w:t>株洲县</w:t>
            </w:r>
          </w:p>
        </w:tc>
        <w:tc>
          <w:tcPr>
            <w:tcW w:w="1417" w:type="dxa"/>
            <w:tcBorders>
              <w:top w:val="nil"/>
              <w:left w:val="nil"/>
              <w:bottom w:val="single" w:sz="4" w:space="0" w:color="auto"/>
              <w:right w:val="single" w:sz="4" w:space="0" w:color="auto"/>
            </w:tcBorders>
            <w:vAlign w:val="center"/>
          </w:tcPr>
          <w:p w:rsidR="00B8649B" w:rsidRPr="00B8649B" w:rsidRDefault="00B8649B" w:rsidP="00687788">
            <w:pPr>
              <w:jc w:val="center"/>
              <w:rPr>
                <w:rFonts w:ascii="宋体" w:hAnsi="宋体" w:cs="宋体"/>
                <w:sz w:val="22"/>
                <w:szCs w:val="22"/>
              </w:rPr>
            </w:pPr>
            <w:r w:rsidRPr="00B8649B">
              <w:rPr>
                <w:rFonts w:ascii="宋体" w:hAnsi="宋体" w:cs="宋体"/>
                <w:sz w:val="22"/>
                <w:szCs w:val="22"/>
              </w:rPr>
              <w:t>4721.14</w:t>
            </w:r>
          </w:p>
        </w:tc>
        <w:tc>
          <w:tcPr>
            <w:tcW w:w="1559" w:type="dxa"/>
            <w:tcBorders>
              <w:top w:val="nil"/>
              <w:left w:val="nil"/>
              <w:bottom w:val="single" w:sz="4" w:space="0" w:color="auto"/>
              <w:right w:val="single" w:sz="4" w:space="0" w:color="auto"/>
            </w:tcBorders>
            <w:vAlign w:val="center"/>
          </w:tcPr>
          <w:p w:rsidR="00B8649B" w:rsidRPr="00B8649B" w:rsidRDefault="00B8649B" w:rsidP="00687788">
            <w:pPr>
              <w:jc w:val="center"/>
              <w:rPr>
                <w:rFonts w:ascii="宋体" w:hAnsi="宋体" w:cs="宋体"/>
                <w:sz w:val="22"/>
                <w:szCs w:val="22"/>
              </w:rPr>
            </w:pPr>
            <w:r w:rsidRPr="00B8649B">
              <w:rPr>
                <w:rFonts w:ascii="宋体" w:hAnsi="宋体" w:cs="宋体"/>
                <w:sz w:val="22"/>
                <w:szCs w:val="22"/>
              </w:rPr>
              <w:t>4721.14</w:t>
            </w:r>
          </w:p>
        </w:tc>
        <w:tc>
          <w:tcPr>
            <w:tcW w:w="993" w:type="dxa"/>
            <w:tcBorders>
              <w:top w:val="nil"/>
              <w:left w:val="nil"/>
              <w:bottom w:val="single" w:sz="4" w:space="0" w:color="auto"/>
              <w:right w:val="single" w:sz="4" w:space="0" w:color="auto"/>
            </w:tcBorders>
            <w:vAlign w:val="center"/>
          </w:tcPr>
          <w:p w:rsidR="00B8649B" w:rsidRPr="00EE7F28" w:rsidRDefault="00B8649B" w:rsidP="00FB142F">
            <w:pPr>
              <w:jc w:val="center"/>
              <w:rPr>
                <w:rFonts w:ascii="宋体" w:hAnsi="宋体" w:cs="宋体"/>
                <w:sz w:val="24"/>
              </w:rPr>
            </w:pPr>
            <w:r w:rsidRPr="00EE7F28">
              <w:rPr>
                <w:rFonts w:ascii="宋体" w:hAnsi="宋体" w:cs="宋体" w:hint="eastAsia"/>
                <w:sz w:val="24"/>
              </w:rPr>
              <w:t>3</w:t>
            </w:r>
          </w:p>
        </w:tc>
        <w:tc>
          <w:tcPr>
            <w:tcW w:w="1463" w:type="dxa"/>
            <w:tcBorders>
              <w:top w:val="nil"/>
              <w:left w:val="nil"/>
              <w:bottom w:val="single" w:sz="4" w:space="0" w:color="auto"/>
              <w:right w:val="single" w:sz="4" w:space="0" w:color="auto"/>
            </w:tcBorders>
            <w:vAlign w:val="center"/>
          </w:tcPr>
          <w:p w:rsidR="00B8649B" w:rsidRPr="00E52056" w:rsidRDefault="00B8649B" w:rsidP="00687788">
            <w:pPr>
              <w:jc w:val="center"/>
              <w:rPr>
                <w:rFonts w:ascii="Cambria Math" w:hAnsi="Cambria Math" w:cs="宋体"/>
                <w:kern w:val="0"/>
                <w:sz w:val="22"/>
                <w:szCs w:val="22"/>
                <w:oMath/>
              </w:rPr>
            </w:pPr>
            <m:oMathPara>
              <m:oMath>
                <m:r>
                  <m:rPr>
                    <m:sty m:val="p"/>
                  </m:rPr>
                  <w:rPr>
                    <w:rFonts w:ascii="Cambria Math" w:hAnsi="Cambria Math" w:cs="宋体"/>
                    <w:kern w:val="0"/>
                    <w:sz w:val="22"/>
                    <w:szCs w:val="22"/>
                  </w:rPr>
                  <m:t>9073.99</m:t>
                </m:r>
              </m:oMath>
            </m:oMathPara>
          </w:p>
        </w:tc>
        <w:tc>
          <w:tcPr>
            <w:tcW w:w="1514" w:type="dxa"/>
            <w:tcBorders>
              <w:top w:val="nil"/>
              <w:left w:val="nil"/>
              <w:bottom w:val="single" w:sz="4" w:space="0" w:color="auto"/>
              <w:right w:val="single" w:sz="4" w:space="0" w:color="auto"/>
            </w:tcBorders>
            <w:vAlign w:val="center"/>
          </w:tcPr>
          <w:p w:rsidR="00B8649B" w:rsidRPr="00907FD3" w:rsidRDefault="00B8649B" w:rsidP="00687788">
            <w:pPr>
              <w:jc w:val="center"/>
              <w:rPr>
                <w:rFonts w:ascii="宋体" w:hAnsi="宋体" w:cs="宋体"/>
                <w:kern w:val="0"/>
                <w:sz w:val="22"/>
                <w:szCs w:val="22"/>
              </w:rPr>
            </w:pPr>
            <w:r>
              <w:rPr>
                <w:rFonts w:ascii="宋体" w:hAnsi="宋体" w:cs="宋体" w:hint="eastAsia"/>
                <w:kern w:val="0"/>
                <w:sz w:val="22"/>
                <w:szCs w:val="22"/>
              </w:rPr>
              <w:t>6006.75</w:t>
            </w:r>
          </w:p>
        </w:tc>
        <w:tc>
          <w:tcPr>
            <w:tcW w:w="1133" w:type="dxa"/>
            <w:tcBorders>
              <w:top w:val="nil"/>
              <w:left w:val="nil"/>
              <w:bottom w:val="single" w:sz="4" w:space="0" w:color="auto"/>
              <w:right w:val="single" w:sz="4" w:space="0" w:color="auto"/>
            </w:tcBorders>
            <w:vAlign w:val="center"/>
          </w:tcPr>
          <w:p w:rsidR="00B8649B" w:rsidRPr="00EE7F28" w:rsidRDefault="00B8649B" w:rsidP="002E5668">
            <w:pPr>
              <w:jc w:val="center"/>
              <w:rPr>
                <w:rFonts w:ascii="Garamond" w:hAnsi="Garamond"/>
                <w:color w:val="000000"/>
                <w:szCs w:val="21"/>
              </w:rPr>
            </w:pPr>
            <w:r w:rsidRPr="00EE7F28">
              <w:rPr>
                <w:rFonts w:ascii="Garamond" w:hAnsi="Garamond" w:hint="eastAsia"/>
                <w:color w:val="000000"/>
                <w:szCs w:val="21"/>
              </w:rPr>
              <w:t>11</w:t>
            </w:r>
          </w:p>
        </w:tc>
      </w:tr>
      <w:tr w:rsidR="00B8649B" w:rsidRPr="00EE7F28" w:rsidTr="00B8649B">
        <w:trPr>
          <w:trHeight w:val="330"/>
          <w:jc w:val="center"/>
        </w:trPr>
        <w:tc>
          <w:tcPr>
            <w:tcW w:w="567" w:type="dxa"/>
            <w:tcBorders>
              <w:top w:val="nil"/>
              <w:left w:val="single" w:sz="4" w:space="0" w:color="auto"/>
              <w:bottom w:val="single" w:sz="4" w:space="0" w:color="auto"/>
              <w:right w:val="single" w:sz="4" w:space="0" w:color="auto"/>
            </w:tcBorders>
            <w:vAlign w:val="bottom"/>
          </w:tcPr>
          <w:p w:rsidR="00B8649B" w:rsidRPr="00EE7F28" w:rsidRDefault="00B8649B">
            <w:pPr>
              <w:widowControl/>
              <w:jc w:val="center"/>
              <w:rPr>
                <w:rFonts w:ascii="宋体" w:hAnsi="宋体" w:cs="Tahoma"/>
                <w:color w:val="000000"/>
                <w:kern w:val="0"/>
                <w:sz w:val="24"/>
              </w:rPr>
            </w:pPr>
            <w:r w:rsidRPr="00EE7F28">
              <w:rPr>
                <w:rFonts w:ascii="宋体" w:hAnsi="宋体" w:cs="Tahoma" w:hint="eastAsia"/>
                <w:color w:val="000000"/>
                <w:kern w:val="0"/>
                <w:sz w:val="24"/>
              </w:rPr>
              <w:t>4</w:t>
            </w:r>
          </w:p>
        </w:tc>
        <w:tc>
          <w:tcPr>
            <w:tcW w:w="1277" w:type="dxa"/>
            <w:tcBorders>
              <w:top w:val="nil"/>
              <w:left w:val="nil"/>
              <w:bottom w:val="single" w:sz="4" w:space="0" w:color="auto"/>
              <w:right w:val="single" w:sz="4" w:space="0" w:color="auto"/>
            </w:tcBorders>
            <w:vAlign w:val="center"/>
          </w:tcPr>
          <w:p w:rsidR="00B8649B" w:rsidRPr="00EE7F28" w:rsidRDefault="00B8649B" w:rsidP="00FB142F">
            <w:pPr>
              <w:jc w:val="center"/>
              <w:rPr>
                <w:b/>
                <w:bCs/>
              </w:rPr>
            </w:pPr>
            <w:r w:rsidRPr="00EE7F28">
              <w:rPr>
                <w:rFonts w:hint="eastAsia"/>
                <w:b/>
                <w:bCs/>
              </w:rPr>
              <w:t>醴陵市</w:t>
            </w:r>
          </w:p>
        </w:tc>
        <w:tc>
          <w:tcPr>
            <w:tcW w:w="1417" w:type="dxa"/>
            <w:tcBorders>
              <w:top w:val="nil"/>
              <w:left w:val="nil"/>
              <w:bottom w:val="single" w:sz="4" w:space="0" w:color="auto"/>
              <w:right w:val="single" w:sz="4" w:space="0" w:color="auto"/>
            </w:tcBorders>
            <w:vAlign w:val="center"/>
          </w:tcPr>
          <w:p w:rsidR="00B8649B" w:rsidRPr="00B8649B" w:rsidRDefault="00B8649B" w:rsidP="00687788">
            <w:pPr>
              <w:jc w:val="center"/>
              <w:rPr>
                <w:rFonts w:ascii="宋体" w:hAnsi="宋体" w:cs="宋体"/>
                <w:sz w:val="22"/>
                <w:szCs w:val="22"/>
              </w:rPr>
            </w:pPr>
            <w:r w:rsidRPr="00B8649B">
              <w:rPr>
                <w:rFonts w:ascii="宋体" w:hAnsi="宋体" w:cs="宋体" w:hint="eastAsia"/>
                <w:sz w:val="22"/>
                <w:szCs w:val="22"/>
              </w:rPr>
              <w:t>33221.12</w:t>
            </w:r>
          </w:p>
        </w:tc>
        <w:tc>
          <w:tcPr>
            <w:tcW w:w="1559" w:type="dxa"/>
            <w:tcBorders>
              <w:top w:val="nil"/>
              <w:left w:val="nil"/>
              <w:bottom w:val="single" w:sz="4" w:space="0" w:color="auto"/>
              <w:right w:val="single" w:sz="4" w:space="0" w:color="auto"/>
            </w:tcBorders>
            <w:vAlign w:val="center"/>
          </w:tcPr>
          <w:p w:rsidR="00B8649B" w:rsidRPr="00B8649B" w:rsidRDefault="00B8649B" w:rsidP="00687788">
            <w:pPr>
              <w:jc w:val="center"/>
              <w:rPr>
                <w:rFonts w:ascii="宋体" w:hAnsi="宋体" w:cs="宋体"/>
                <w:sz w:val="22"/>
                <w:szCs w:val="22"/>
              </w:rPr>
            </w:pPr>
            <w:r w:rsidRPr="00B8649B">
              <w:rPr>
                <w:rFonts w:ascii="宋体" w:hAnsi="宋体" w:cs="宋体" w:hint="eastAsia"/>
                <w:sz w:val="22"/>
                <w:szCs w:val="22"/>
              </w:rPr>
              <w:t>33221.12</w:t>
            </w:r>
          </w:p>
        </w:tc>
        <w:tc>
          <w:tcPr>
            <w:tcW w:w="993" w:type="dxa"/>
            <w:tcBorders>
              <w:top w:val="nil"/>
              <w:left w:val="nil"/>
              <w:bottom w:val="single" w:sz="4" w:space="0" w:color="auto"/>
              <w:right w:val="single" w:sz="4" w:space="0" w:color="auto"/>
            </w:tcBorders>
            <w:vAlign w:val="center"/>
          </w:tcPr>
          <w:p w:rsidR="00B8649B" w:rsidRPr="00EE7F28" w:rsidRDefault="00B8649B" w:rsidP="00FB142F">
            <w:pPr>
              <w:jc w:val="center"/>
              <w:rPr>
                <w:rFonts w:ascii="宋体" w:hAnsi="宋体" w:cs="宋体"/>
                <w:sz w:val="24"/>
              </w:rPr>
            </w:pPr>
            <w:r w:rsidRPr="00EE7F28">
              <w:rPr>
                <w:rFonts w:ascii="宋体" w:hAnsi="宋体" w:cs="宋体" w:hint="eastAsia"/>
                <w:sz w:val="24"/>
              </w:rPr>
              <w:t>5</w:t>
            </w:r>
          </w:p>
        </w:tc>
        <w:tc>
          <w:tcPr>
            <w:tcW w:w="1463" w:type="dxa"/>
            <w:tcBorders>
              <w:top w:val="nil"/>
              <w:left w:val="nil"/>
              <w:bottom w:val="single" w:sz="4" w:space="0" w:color="auto"/>
              <w:right w:val="single" w:sz="4" w:space="0" w:color="auto"/>
            </w:tcBorders>
            <w:vAlign w:val="center"/>
          </w:tcPr>
          <w:p w:rsidR="00B8649B" w:rsidRPr="00047B83" w:rsidRDefault="00B8649B" w:rsidP="00687788">
            <w:pPr>
              <w:jc w:val="center"/>
              <w:rPr>
                <w:rFonts w:ascii="宋体" w:hAnsi="宋体" w:cs="宋体"/>
                <w:kern w:val="0"/>
                <w:sz w:val="22"/>
                <w:szCs w:val="22"/>
              </w:rPr>
            </w:pPr>
            <w:r w:rsidRPr="00B564EA">
              <w:rPr>
                <w:rFonts w:ascii="宋体" w:hAnsi="宋体" w:cs="宋体"/>
                <w:kern w:val="0"/>
                <w:sz w:val="22"/>
                <w:szCs w:val="22"/>
              </w:rPr>
              <w:t>4541</w:t>
            </w:r>
            <w:r>
              <w:rPr>
                <w:rFonts w:ascii="宋体" w:hAnsi="宋体" w:cs="宋体" w:hint="eastAsia"/>
                <w:kern w:val="0"/>
                <w:sz w:val="22"/>
                <w:szCs w:val="22"/>
              </w:rPr>
              <w:t>.59</w:t>
            </w:r>
          </w:p>
        </w:tc>
        <w:tc>
          <w:tcPr>
            <w:tcW w:w="1514" w:type="dxa"/>
            <w:tcBorders>
              <w:top w:val="nil"/>
              <w:left w:val="nil"/>
              <w:bottom w:val="single" w:sz="4" w:space="0" w:color="auto"/>
              <w:right w:val="single" w:sz="4" w:space="0" w:color="auto"/>
            </w:tcBorders>
            <w:vAlign w:val="center"/>
          </w:tcPr>
          <w:p w:rsidR="00B8649B" w:rsidRPr="00907FD3" w:rsidRDefault="00B8649B" w:rsidP="00687788">
            <w:pPr>
              <w:jc w:val="center"/>
              <w:rPr>
                <w:rFonts w:ascii="宋体" w:hAnsi="宋体" w:cs="宋体"/>
                <w:kern w:val="0"/>
                <w:sz w:val="22"/>
                <w:szCs w:val="22"/>
              </w:rPr>
            </w:pPr>
            <w:r w:rsidRPr="00B564EA">
              <w:rPr>
                <w:rFonts w:ascii="宋体" w:hAnsi="宋体" w:cs="宋体"/>
                <w:kern w:val="0"/>
                <w:sz w:val="22"/>
                <w:szCs w:val="22"/>
              </w:rPr>
              <w:t>4541</w:t>
            </w:r>
            <w:r>
              <w:rPr>
                <w:rFonts w:ascii="宋体" w:hAnsi="宋体" w:cs="宋体" w:hint="eastAsia"/>
                <w:kern w:val="0"/>
                <w:sz w:val="22"/>
                <w:szCs w:val="22"/>
              </w:rPr>
              <w:t>.59</w:t>
            </w:r>
          </w:p>
        </w:tc>
        <w:tc>
          <w:tcPr>
            <w:tcW w:w="1133" w:type="dxa"/>
            <w:tcBorders>
              <w:top w:val="nil"/>
              <w:left w:val="nil"/>
              <w:bottom w:val="single" w:sz="4" w:space="0" w:color="auto"/>
              <w:right w:val="single" w:sz="4" w:space="0" w:color="auto"/>
            </w:tcBorders>
            <w:vAlign w:val="center"/>
          </w:tcPr>
          <w:p w:rsidR="00B8649B" w:rsidRPr="00EE7F28" w:rsidRDefault="00B8649B" w:rsidP="002E5668">
            <w:pPr>
              <w:jc w:val="center"/>
              <w:rPr>
                <w:rFonts w:ascii="Garamond" w:hAnsi="Garamond"/>
                <w:color w:val="000000"/>
                <w:szCs w:val="21"/>
              </w:rPr>
            </w:pPr>
            <w:r w:rsidRPr="00EE7F28">
              <w:rPr>
                <w:rFonts w:ascii="Garamond" w:hAnsi="Garamond" w:hint="eastAsia"/>
                <w:color w:val="000000"/>
                <w:szCs w:val="21"/>
              </w:rPr>
              <w:t>5</w:t>
            </w:r>
          </w:p>
        </w:tc>
      </w:tr>
      <w:tr w:rsidR="00B8649B" w:rsidRPr="00EE7F28" w:rsidTr="00B8649B">
        <w:trPr>
          <w:trHeight w:val="330"/>
          <w:jc w:val="center"/>
        </w:trPr>
        <w:tc>
          <w:tcPr>
            <w:tcW w:w="567" w:type="dxa"/>
            <w:tcBorders>
              <w:top w:val="nil"/>
              <w:left w:val="single" w:sz="4" w:space="0" w:color="auto"/>
              <w:bottom w:val="single" w:sz="4" w:space="0" w:color="auto"/>
              <w:right w:val="single" w:sz="4" w:space="0" w:color="auto"/>
            </w:tcBorders>
            <w:vAlign w:val="bottom"/>
          </w:tcPr>
          <w:p w:rsidR="00B8649B" w:rsidRPr="00EE7F28" w:rsidRDefault="00C54E9F">
            <w:pPr>
              <w:widowControl/>
              <w:jc w:val="center"/>
              <w:rPr>
                <w:rFonts w:ascii="宋体" w:hAnsi="宋体" w:cs="Tahoma"/>
                <w:color w:val="000000"/>
                <w:kern w:val="0"/>
                <w:sz w:val="24"/>
              </w:rPr>
            </w:pPr>
            <w:r>
              <w:rPr>
                <w:rFonts w:ascii="宋体" w:hAnsi="宋体" w:cs="Tahoma" w:hint="eastAsia"/>
                <w:color w:val="000000"/>
                <w:kern w:val="0"/>
                <w:sz w:val="24"/>
              </w:rPr>
              <w:t>5</w:t>
            </w:r>
          </w:p>
        </w:tc>
        <w:tc>
          <w:tcPr>
            <w:tcW w:w="1277" w:type="dxa"/>
            <w:tcBorders>
              <w:top w:val="nil"/>
              <w:left w:val="nil"/>
              <w:bottom w:val="single" w:sz="4" w:space="0" w:color="auto"/>
              <w:right w:val="single" w:sz="4" w:space="0" w:color="auto"/>
            </w:tcBorders>
            <w:vAlign w:val="center"/>
          </w:tcPr>
          <w:p w:rsidR="00B8649B" w:rsidRPr="00EE7F28" w:rsidRDefault="00B8649B" w:rsidP="00FB142F">
            <w:pPr>
              <w:jc w:val="center"/>
              <w:rPr>
                <w:b/>
                <w:bCs/>
              </w:rPr>
            </w:pPr>
            <w:r w:rsidRPr="00EE7F28">
              <w:rPr>
                <w:rFonts w:hint="eastAsia"/>
                <w:b/>
                <w:bCs/>
              </w:rPr>
              <w:t>炎陵</w:t>
            </w:r>
          </w:p>
        </w:tc>
        <w:tc>
          <w:tcPr>
            <w:tcW w:w="1417" w:type="dxa"/>
            <w:tcBorders>
              <w:top w:val="nil"/>
              <w:left w:val="nil"/>
              <w:bottom w:val="single" w:sz="4" w:space="0" w:color="auto"/>
              <w:right w:val="single" w:sz="4" w:space="0" w:color="auto"/>
            </w:tcBorders>
            <w:vAlign w:val="center"/>
          </w:tcPr>
          <w:p w:rsidR="00B8649B" w:rsidRDefault="00B8649B" w:rsidP="00687788">
            <w:pPr>
              <w:jc w:val="center"/>
              <w:rPr>
                <w:rFonts w:ascii="宋体" w:hAnsi="宋体" w:cs="宋体"/>
                <w:sz w:val="24"/>
              </w:rPr>
            </w:pPr>
            <w:r w:rsidRPr="004E0EDE">
              <w:rPr>
                <w:rFonts w:ascii="宋体" w:hAnsi="宋体" w:cs="宋体"/>
                <w:sz w:val="24"/>
              </w:rPr>
              <w:t>13455.56</w:t>
            </w:r>
          </w:p>
        </w:tc>
        <w:tc>
          <w:tcPr>
            <w:tcW w:w="1559" w:type="dxa"/>
            <w:tcBorders>
              <w:top w:val="nil"/>
              <w:left w:val="nil"/>
              <w:bottom w:val="single" w:sz="4" w:space="0" w:color="auto"/>
              <w:right w:val="single" w:sz="4" w:space="0" w:color="auto"/>
            </w:tcBorders>
            <w:vAlign w:val="center"/>
          </w:tcPr>
          <w:p w:rsidR="00B8649B" w:rsidRDefault="00B8649B" w:rsidP="00687788">
            <w:pPr>
              <w:jc w:val="center"/>
              <w:rPr>
                <w:rFonts w:ascii="宋体" w:hAnsi="宋体" w:cs="宋体"/>
                <w:sz w:val="24"/>
              </w:rPr>
            </w:pPr>
            <w:r w:rsidRPr="004E0EDE">
              <w:rPr>
                <w:rFonts w:ascii="宋体" w:hAnsi="宋体" w:cs="宋体"/>
                <w:sz w:val="24"/>
              </w:rPr>
              <w:t>13455.56</w:t>
            </w:r>
          </w:p>
        </w:tc>
        <w:tc>
          <w:tcPr>
            <w:tcW w:w="993" w:type="dxa"/>
            <w:tcBorders>
              <w:top w:val="nil"/>
              <w:left w:val="nil"/>
              <w:bottom w:val="single" w:sz="4" w:space="0" w:color="auto"/>
              <w:right w:val="single" w:sz="4" w:space="0" w:color="auto"/>
            </w:tcBorders>
            <w:vAlign w:val="center"/>
          </w:tcPr>
          <w:p w:rsidR="00B8649B" w:rsidRPr="00EE7F28" w:rsidRDefault="00B8649B" w:rsidP="00FB142F">
            <w:pPr>
              <w:jc w:val="center"/>
              <w:rPr>
                <w:rFonts w:ascii="宋体" w:hAnsi="宋体" w:cs="宋体"/>
                <w:sz w:val="24"/>
              </w:rPr>
            </w:pPr>
            <w:r w:rsidRPr="00EE7F28">
              <w:rPr>
                <w:rFonts w:ascii="宋体" w:hAnsi="宋体" w:cs="宋体" w:hint="eastAsia"/>
                <w:sz w:val="24"/>
              </w:rPr>
              <w:t>10</w:t>
            </w:r>
          </w:p>
        </w:tc>
        <w:tc>
          <w:tcPr>
            <w:tcW w:w="1463" w:type="dxa"/>
            <w:tcBorders>
              <w:top w:val="nil"/>
              <w:left w:val="nil"/>
              <w:bottom w:val="single" w:sz="4" w:space="0" w:color="auto"/>
              <w:right w:val="single" w:sz="4" w:space="0" w:color="auto"/>
            </w:tcBorders>
            <w:vAlign w:val="center"/>
          </w:tcPr>
          <w:p w:rsidR="00B8649B" w:rsidRPr="00E52056" w:rsidRDefault="00B8649B" w:rsidP="00687788">
            <w:pPr>
              <w:jc w:val="center"/>
              <w:rPr>
                <w:rFonts w:ascii="Cambria Math" w:hAnsi="Cambria Math" w:cs="宋体"/>
                <w:kern w:val="0"/>
                <w:sz w:val="22"/>
                <w:szCs w:val="22"/>
                <w:oMath/>
              </w:rPr>
            </w:pPr>
            <m:oMathPara>
              <m:oMath>
                <m:r>
                  <m:rPr>
                    <m:sty m:val="p"/>
                  </m:rPr>
                  <w:rPr>
                    <w:rFonts w:ascii="Cambria Math" w:hAnsi="Cambria Math" w:cs="宋体" w:hint="eastAsia"/>
                    <w:kern w:val="0"/>
                    <w:sz w:val="22"/>
                    <w:szCs w:val="22"/>
                  </w:rPr>
                  <m:t>922</m:t>
                </m:r>
                <m:r>
                  <m:rPr>
                    <m:sty m:val="p"/>
                  </m:rPr>
                  <w:rPr>
                    <w:rFonts w:ascii="Cambria Math" w:hAnsi="Cambria Math" w:cs="宋体"/>
                    <w:kern w:val="0"/>
                    <w:sz w:val="22"/>
                    <w:szCs w:val="22"/>
                  </w:rPr>
                  <m:t>5.72</m:t>
                </m:r>
              </m:oMath>
            </m:oMathPara>
          </w:p>
        </w:tc>
        <w:tc>
          <w:tcPr>
            <w:tcW w:w="1514" w:type="dxa"/>
            <w:tcBorders>
              <w:top w:val="nil"/>
              <w:left w:val="nil"/>
              <w:bottom w:val="single" w:sz="4" w:space="0" w:color="auto"/>
              <w:right w:val="single" w:sz="4" w:space="0" w:color="auto"/>
            </w:tcBorders>
            <w:vAlign w:val="center"/>
          </w:tcPr>
          <w:p w:rsidR="00B8649B" w:rsidRPr="00907FD3" w:rsidRDefault="00B8649B" w:rsidP="00687788">
            <w:pPr>
              <w:jc w:val="center"/>
              <w:rPr>
                <w:rFonts w:ascii="宋体" w:hAnsi="宋体" w:cs="宋体"/>
                <w:kern w:val="0"/>
                <w:sz w:val="22"/>
                <w:szCs w:val="22"/>
              </w:rPr>
            </w:pPr>
            <m:oMathPara>
              <m:oMath>
                <m:r>
                  <m:rPr>
                    <m:sty m:val="p"/>
                  </m:rPr>
                  <w:rPr>
                    <w:rFonts w:ascii="Cambria Math" w:hAnsi="Cambria Math" w:cs="宋体" w:hint="eastAsia"/>
                    <w:kern w:val="0"/>
                    <w:sz w:val="22"/>
                    <w:szCs w:val="22"/>
                  </w:rPr>
                  <m:t>922</m:t>
                </m:r>
                <m:r>
                  <m:rPr>
                    <m:sty m:val="p"/>
                  </m:rPr>
                  <w:rPr>
                    <w:rFonts w:ascii="Cambria Math" w:hAnsi="Cambria Math" w:cs="宋体"/>
                    <w:kern w:val="0"/>
                    <w:sz w:val="22"/>
                    <w:szCs w:val="22"/>
                  </w:rPr>
                  <m:t>5.72</m:t>
                </m:r>
              </m:oMath>
            </m:oMathPara>
          </w:p>
        </w:tc>
        <w:tc>
          <w:tcPr>
            <w:tcW w:w="1133" w:type="dxa"/>
            <w:tcBorders>
              <w:top w:val="nil"/>
              <w:left w:val="nil"/>
              <w:bottom w:val="single" w:sz="4" w:space="0" w:color="auto"/>
              <w:right w:val="single" w:sz="4" w:space="0" w:color="auto"/>
            </w:tcBorders>
            <w:vAlign w:val="center"/>
          </w:tcPr>
          <w:p w:rsidR="00B8649B" w:rsidRPr="00EE7F28" w:rsidRDefault="00B8649B" w:rsidP="002E5668">
            <w:pPr>
              <w:jc w:val="center"/>
              <w:rPr>
                <w:rFonts w:ascii="Garamond" w:hAnsi="Garamond"/>
                <w:color w:val="000000"/>
                <w:szCs w:val="21"/>
              </w:rPr>
            </w:pPr>
            <w:r w:rsidRPr="00EE7F28">
              <w:rPr>
                <w:rFonts w:ascii="Garamond" w:hAnsi="Garamond" w:hint="eastAsia"/>
                <w:color w:val="000000"/>
                <w:szCs w:val="21"/>
              </w:rPr>
              <w:t>29</w:t>
            </w:r>
          </w:p>
        </w:tc>
      </w:tr>
      <w:tr w:rsidR="00B8649B" w:rsidRPr="00EE7F28" w:rsidTr="00B8649B">
        <w:trPr>
          <w:trHeight w:val="315"/>
          <w:jc w:val="center"/>
        </w:trPr>
        <w:tc>
          <w:tcPr>
            <w:tcW w:w="567" w:type="dxa"/>
            <w:tcBorders>
              <w:top w:val="nil"/>
              <w:left w:val="single" w:sz="4" w:space="0" w:color="auto"/>
              <w:bottom w:val="single" w:sz="4" w:space="0" w:color="auto"/>
              <w:right w:val="single" w:sz="4" w:space="0" w:color="auto"/>
            </w:tcBorders>
            <w:vAlign w:val="bottom"/>
          </w:tcPr>
          <w:p w:rsidR="00B8649B" w:rsidRPr="00EE7F28" w:rsidRDefault="00C54E9F">
            <w:pPr>
              <w:widowControl/>
              <w:jc w:val="center"/>
              <w:rPr>
                <w:rFonts w:ascii="宋体" w:hAnsi="宋体" w:cs="Tahoma"/>
                <w:color w:val="000000"/>
                <w:kern w:val="0"/>
                <w:sz w:val="24"/>
              </w:rPr>
            </w:pPr>
            <w:r>
              <w:rPr>
                <w:rFonts w:ascii="宋体" w:hAnsi="宋体" w:cs="Tahoma" w:hint="eastAsia"/>
                <w:color w:val="000000"/>
                <w:kern w:val="0"/>
                <w:sz w:val="24"/>
              </w:rPr>
              <w:t>6</w:t>
            </w:r>
          </w:p>
        </w:tc>
        <w:tc>
          <w:tcPr>
            <w:tcW w:w="1277" w:type="dxa"/>
            <w:tcBorders>
              <w:top w:val="nil"/>
              <w:left w:val="nil"/>
              <w:bottom w:val="single" w:sz="4" w:space="0" w:color="auto"/>
              <w:right w:val="single" w:sz="4" w:space="0" w:color="auto"/>
            </w:tcBorders>
            <w:vAlign w:val="center"/>
          </w:tcPr>
          <w:p w:rsidR="00B8649B" w:rsidRPr="00EE7F28" w:rsidRDefault="00C54E9F" w:rsidP="00FB142F">
            <w:pPr>
              <w:jc w:val="center"/>
              <w:rPr>
                <w:b/>
                <w:bCs/>
              </w:rPr>
            </w:pPr>
            <w:r>
              <w:rPr>
                <w:rFonts w:hint="eastAsia"/>
                <w:b/>
                <w:bCs/>
              </w:rPr>
              <w:t>城区</w:t>
            </w:r>
          </w:p>
        </w:tc>
        <w:tc>
          <w:tcPr>
            <w:tcW w:w="1417" w:type="dxa"/>
            <w:tcBorders>
              <w:top w:val="nil"/>
              <w:left w:val="nil"/>
              <w:bottom w:val="single" w:sz="4" w:space="0" w:color="auto"/>
              <w:right w:val="single" w:sz="4" w:space="0" w:color="auto"/>
            </w:tcBorders>
            <w:vAlign w:val="center"/>
          </w:tcPr>
          <w:p w:rsidR="00B8649B" w:rsidRDefault="00C54E9F" w:rsidP="00687788">
            <w:pPr>
              <w:jc w:val="center"/>
              <w:rPr>
                <w:rFonts w:ascii="宋体" w:hAnsi="宋体" w:cs="宋体"/>
                <w:sz w:val="24"/>
              </w:rPr>
            </w:pPr>
            <w:r>
              <w:rPr>
                <w:rFonts w:ascii="宋体" w:hAnsi="宋体" w:cs="宋体" w:hint="eastAsia"/>
                <w:sz w:val="24"/>
              </w:rPr>
              <w:t>148197.51</w:t>
            </w:r>
          </w:p>
        </w:tc>
        <w:tc>
          <w:tcPr>
            <w:tcW w:w="1559" w:type="dxa"/>
            <w:tcBorders>
              <w:top w:val="nil"/>
              <w:left w:val="nil"/>
              <w:bottom w:val="single" w:sz="4" w:space="0" w:color="auto"/>
              <w:right w:val="single" w:sz="4" w:space="0" w:color="auto"/>
            </w:tcBorders>
            <w:vAlign w:val="center"/>
          </w:tcPr>
          <w:p w:rsidR="00B8649B" w:rsidRDefault="00C54E9F" w:rsidP="00687788">
            <w:pPr>
              <w:jc w:val="center"/>
              <w:rPr>
                <w:rFonts w:ascii="宋体" w:hAnsi="宋体" w:cs="宋体"/>
                <w:sz w:val="24"/>
              </w:rPr>
            </w:pPr>
            <w:r>
              <w:rPr>
                <w:rFonts w:ascii="宋体" w:hAnsi="宋体" w:cs="宋体" w:hint="eastAsia"/>
                <w:sz w:val="24"/>
              </w:rPr>
              <w:t>141561.51</w:t>
            </w:r>
          </w:p>
        </w:tc>
        <w:tc>
          <w:tcPr>
            <w:tcW w:w="993" w:type="dxa"/>
            <w:tcBorders>
              <w:top w:val="nil"/>
              <w:left w:val="nil"/>
              <w:bottom w:val="single" w:sz="4" w:space="0" w:color="auto"/>
              <w:right w:val="single" w:sz="4" w:space="0" w:color="auto"/>
            </w:tcBorders>
            <w:vAlign w:val="center"/>
          </w:tcPr>
          <w:p w:rsidR="00B8649B" w:rsidRPr="00EE7F28" w:rsidRDefault="00C54E9F" w:rsidP="00FB142F">
            <w:pPr>
              <w:jc w:val="center"/>
              <w:rPr>
                <w:rFonts w:ascii="宋体" w:hAnsi="宋体" w:cs="宋体"/>
                <w:sz w:val="24"/>
              </w:rPr>
            </w:pPr>
            <w:r>
              <w:rPr>
                <w:rFonts w:ascii="宋体" w:hAnsi="宋体" w:cs="宋体" w:hint="eastAsia"/>
                <w:sz w:val="24"/>
              </w:rPr>
              <w:t>25</w:t>
            </w:r>
          </w:p>
        </w:tc>
        <w:tc>
          <w:tcPr>
            <w:tcW w:w="1463" w:type="dxa"/>
            <w:tcBorders>
              <w:top w:val="nil"/>
              <w:left w:val="nil"/>
              <w:bottom w:val="single" w:sz="4" w:space="0" w:color="auto"/>
              <w:right w:val="single" w:sz="4" w:space="0" w:color="auto"/>
            </w:tcBorders>
            <w:vAlign w:val="center"/>
          </w:tcPr>
          <w:p w:rsidR="00B8649B" w:rsidRPr="00E52056" w:rsidRDefault="00B8649B" w:rsidP="00687788">
            <w:pPr>
              <w:jc w:val="center"/>
              <w:rPr>
                <w:rFonts w:ascii="Cambria Math" w:hAnsi="Cambria Math" w:cs="宋体"/>
                <w:kern w:val="0"/>
                <w:sz w:val="22"/>
                <w:szCs w:val="22"/>
                <w:oMath/>
              </w:rPr>
            </w:pPr>
            <w:r>
              <w:rPr>
                <w:rFonts w:ascii="宋体" w:hAnsi="宋体" w:cs="宋体" w:hint="eastAsia"/>
                <w:kern w:val="0"/>
                <w:sz w:val="22"/>
                <w:szCs w:val="22"/>
              </w:rPr>
              <w:t>247502.61</w:t>
            </w:r>
          </w:p>
        </w:tc>
        <w:tc>
          <w:tcPr>
            <w:tcW w:w="1514" w:type="dxa"/>
            <w:tcBorders>
              <w:top w:val="nil"/>
              <w:left w:val="nil"/>
              <w:bottom w:val="single" w:sz="4" w:space="0" w:color="auto"/>
              <w:right w:val="single" w:sz="4" w:space="0" w:color="auto"/>
            </w:tcBorders>
            <w:vAlign w:val="center"/>
          </w:tcPr>
          <w:p w:rsidR="00B8649B" w:rsidRPr="00907FD3" w:rsidRDefault="00B8649B" w:rsidP="00687788">
            <w:pPr>
              <w:widowControl/>
              <w:jc w:val="center"/>
              <w:rPr>
                <w:rFonts w:ascii="宋体" w:hAnsi="宋体" w:cs="宋体"/>
                <w:kern w:val="0"/>
                <w:sz w:val="22"/>
                <w:szCs w:val="22"/>
              </w:rPr>
            </w:pPr>
            <w:r>
              <w:rPr>
                <w:rFonts w:ascii="宋体" w:hAnsi="宋体" w:cs="宋体" w:hint="eastAsia"/>
                <w:kern w:val="0"/>
                <w:sz w:val="22"/>
                <w:szCs w:val="22"/>
              </w:rPr>
              <w:t>247502.61</w:t>
            </w:r>
          </w:p>
        </w:tc>
        <w:tc>
          <w:tcPr>
            <w:tcW w:w="1133" w:type="dxa"/>
            <w:tcBorders>
              <w:top w:val="nil"/>
              <w:left w:val="nil"/>
              <w:bottom w:val="single" w:sz="4" w:space="0" w:color="auto"/>
              <w:right w:val="single" w:sz="4" w:space="0" w:color="auto"/>
            </w:tcBorders>
            <w:vAlign w:val="center"/>
          </w:tcPr>
          <w:p w:rsidR="00B8649B" w:rsidRPr="00EE7F28" w:rsidRDefault="00B8649B" w:rsidP="002E5668">
            <w:pPr>
              <w:jc w:val="center"/>
              <w:rPr>
                <w:rFonts w:ascii="Garamond" w:hAnsi="Garamond"/>
                <w:color w:val="000000"/>
                <w:szCs w:val="21"/>
              </w:rPr>
            </w:pPr>
            <w:r w:rsidRPr="00EE7F28">
              <w:rPr>
                <w:rFonts w:ascii="Garamond" w:hAnsi="Garamond" w:hint="eastAsia"/>
                <w:color w:val="000000"/>
                <w:szCs w:val="21"/>
              </w:rPr>
              <w:t>23</w:t>
            </w:r>
          </w:p>
        </w:tc>
      </w:tr>
      <w:tr w:rsidR="003668FA" w:rsidRPr="00EE7F28" w:rsidTr="007E29E6">
        <w:trPr>
          <w:trHeight w:val="295"/>
          <w:jc w:val="center"/>
        </w:trPr>
        <w:tc>
          <w:tcPr>
            <w:tcW w:w="567" w:type="dxa"/>
            <w:tcBorders>
              <w:top w:val="nil"/>
              <w:left w:val="single" w:sz="4" w:space="0" w:color="auto"/>
              <w:bottom w:val="single" w:sz="4" w:space="0" w:color="auto"/>
              <w:right w:val="single" w:sz="4" w:space="0" w:color="auto"/>
            </w:tcBorders>
            <w:vAlign w:val="bottom"/>
          </w:tcPr>
          <w:p w:rsidR="003668FA" w:rsidRPr="00EE7F28" w:rsidRDefault="003668FA">
            <w:pPr>
              <w:widowControl/>
              <w:jc w:val="center"/>
              <w:rPr>
                <w:rFonts w:ascii="宋体" w:hAnsi="宋体" w:cs="Tahoma"/>
                <w:color w:val="000000"/>
                <w:kern w:val="0"/>
                <w:sz w:val="24"/>
              </w:rPr>
            </w:pPr>
          </w:p>
        </w:tc>
        <w:tc>
          <w:tcPr>
            <w:tcW w:w="1277" w:type="dxa"/>
            <w:tcBorders>
              <w:top w:val="nil"/>
              <w:left w:val="nil"/>
              <w:bottom w:val="single" w:sz="4" w:space="0" w:color="auto"/>
              <w:right w:val="single" w:sz="4" w:space="0" w:color="auto"/>
            </w:tcBorders>
            <w:vAlign w:val="center"/>
          </w:tcPr>
          <w:p w:rsidR="003668FA" w:rsidRPr="00EE7F28" w:rsidRDefault="003668FA">
            <w:pPr>
              <w:jc w:val="center"/>
              <w:rPr>
                <w:rFonts w:ascii="宋体" w:hAnsi="宋体" w:cs="宋体"/>
                <w:b/>
                <w:bCs/>
                <w:color w:val="000000"/>
                <w:szCs w:val="21"/>
              </w:rPr>
            </w:pPr>
            <w:r w:rsidRPr="00EE7F28">
              <w:rPr>
                <w:rFonts w:hint="eastAsia"/>
                <w:b/>
                <w:bCs/>
                <w:color w:val="000000"/>
                <w:szCs w:val="21"/>
              </w:rPr>
              <w:t>合计</w:t>
            </w:r>
          </w:p>
        </w:tc>
        <w:tc>
          <w:tcPr>
            <w:tcW w:w="1417" w:type="dxa"/>
            <w:tcBorders>
              <w:top w:val="nil"/>
              <w:left w:val="nil"/>
              <w:bottom w:val="single" w:sz="4" w:space="0" w:color="auto"/>
              <w:right w:val="single" w:sz="4" w:space="0" w:color="auto"/>
            </w:tcBorders>
            <w:vAlign w:val="center"/>
          </w:tcPr>
          <w:p w:rsidR="003668FA" w:rsidRPr="004D22D8" w:rsidRDefault="003668FA" w:rsidP="00C54E9F">
            <w:pPr>
              <w:jc w:val="center"/>
              <w:rPr>
                <w:rFonts w:ascii="宋体" w:hAnsi="宋体" w:cs="宋体"/>
                <w:b/>
                <w:bCs/>
                <w:color w:val="000000"/>
                <w:sz w:val="24"/>
              </w:rPr>
            </w:pPr>
            <w:r>
              <w:rPr>
                <w:rFonts w:ascii="宋体" w:hAnsi="宋体" w:cs="宋体" w:hint="eastAsia"/>
                <w:b/>
                <w:bCs/>
                <w:color w:val="000000"/>
                <w:sz w:val="24"/>
              </w:rPr>
              <w:t>248029.</w:t>
            </w:r>
            <w:r w:rsidR="00C54E9F">
              <w:rPr>
                <w:rFonts w:ascii="宋体" w:hAnsi="宋体" w:cs="宋体" w:hint="eastAsia"/>
                <w:b/>
                <w:bCs/>
                <w:color w:val="000000"/>
                <w:sz w:val="24"/>
              </w:rPr>
              <w:t>29</w:t>
            </w:r>
          </w:p>
        </w:tc>
        <w:tc>
          <w:tcPr>
            <w:tcW w:w="1559" w:type="dxa"/>
            <w:tcBorders>
              <w:top w:val="nil"/>
              <w:left w:val="nil"/>
              <w:bottom w:val="single" w:sz="4" w:space="0" w:color="auto"/>
              <w:right w:val="single" w:sz="4" w:space="0" w:color="auto"/>
            </w:tcBorders>
            <w:vAlign w:val="center"/>
          </w:tcPr>
          <w:p w:rsidR="003668FA" w:rsidRPr="004D22D8" w:rsidRDefault="00C54E9F" w:rsidP="00687788">
            <w:pPr>
              <w:jc w:val="center"/>
              <w:rPr>
                <w:rFonts w:ascii="宋体" w:hAnsi="宋体" w:cs="宋体"/>
                <w:b/>
                <w:bCs/>
                <w:color w:val="000000"/>
                <w:sz w:val="24"/>
              </w:rPr>
            </w:pPr>
            <w:r>
              <w:rPr>
                <w:rFonts w:ascii="宋体" w:hAnsi="宋体" w:cs="宋体" w:hint="eastAsia"/>
                <w:b/>
                <w:bCs/>
                <w:color w:val="000000"/>
                <w:sz w:val="24"/>
              </w:rPr>
              <w:t>232907.83</w:t>
            </w:r>
          </w:p>
        </w:tc>
        <w:tc>
          <w:tcPr>
            <w:tcW w:w="993" w:type="dxa"/>
            <w:tcBorders>
              <w:top w:val="nil"/>
              <w:left w:val="nil"/>
              <w:bottom w:val="single" w:sz="4" w:space="0" w:color="auto"/>
              <w:right w:val="single" w:sz="4" w:space="0" w:color="auto"/>
            </w:tcBorders>
            <w:vAlign w:val="center"/>
          </w:tcPr>
          <w:p w:rsidR="003668FA" w:rsidRPr="00EE7F28" w:rsidRDefault="003668FA" w:rsidP="00FB142F">
            <w:pPr>
              <w:jc w:val="center"/>
              <w:rPr>
                <w:rFonts w:ascii="宋体" w:hAnsi="宋体" w:cs="宋体"/>
                <w:b/>
                <w:bCs/>
                <w:color w:val="000000"/>
                <w:sz w:val="24"/>
              </w:rPr>
            </w:pPr>
            <w:r>
              <w:rPr>
                <w:rFonts w:ascii="宋体" w:hAnsi="宋体" w:cs="宋体" w:hint="eastAsia"/>
                <w:b/>
                <w:bCs/>
                <w:color w:val="000000"/>
                <w:sz w:val="24"/>
              </w:rPr>
              <w:t>9</w:t>
            </w:r>
          </w:p>
        </w:tc>
        <w:tc>
          <w:tcPr>
            <w:tcW w:w="1463" w:type="dxa"/>
            <w:tcBorders>
              <w:top w:val="nil"/>
              <w:left w:val="nil"/>
              <w:bottom w:val="single" w:sz="4" w:space="0" w:color="auto"/>
              <w:right w:val="single" w:sz="4" w:space="0" w:color="auto"/>
            </w:tcBorders>
            <w:vAlign w:val="center"/>
          </w:tcPr>
          <w:p w:rsidR="003668FA" w:rsidRPr="00EE7F28" w:rsidRDefault="003668FA" w:rsidP="008F5945">
            <w:pPr>
              <w:jc w:val="center"/>
              <w:rPr>
                <w:rFonts w:ascii="Garamond" w:hAnsi="Garamond"/>
                <w:b/>
                <w:color w:val="000000"/>
                <w:szCs w:val="21"/>
              </w:rPr>
            </w:pPr>
            <w:r w:rsidRPr="00EE7F28">
              <w:rPr>
                <w:rFonts w:ascii="宋体" w:hAnsi="宋体" w:cs="宋体" w:hint="eastAsia"/>
                <w:b/>
                <w:kern w:val="0"/>
                <w:sz w:val="22"/>
                <w:szCs w:val="22"/>
              </w:rPr>
              <w:t>280308.20</w:t>
            </w:r>
          </w:p>
        </w:tc>
        <w:tc>
          <w:tcPr>
            <w:tcW w:w="1514" w:type="dxa"/>
            <w:tcBorders>
              <w:top w:val="nil"/>
              <w:left w:val="nil"/>
              <w:bottom w:val="single" w:sz="4" w:space="0" w:color="auto"/>
              <w:right w:val="single" w:sz="4" w:space="0" w:color="auto"/>
            </w:tcBorders>
            <w:vAlign w:val="center"/>
          </w:tcPr>
          <w:p w:rsidR="003668FA" w:rsidRPr="00EE7F28" w:rsidRDefault="003668FA" w:rsidP="008F5945">
            <w:pPr>
              <w:jc w:val="center"/>
              <w:rPr>
                <w:rFonts w:ascii="Garamond" w:hAnsi="Garamond"/>
                <w:b/>
                <w:color w:val="000000"/>
                <w:szCs w:val="21"/>
              </w:rPr>
            </w:pPr>
            <w:r>
              <w:rPr>
                <w:rFonts w:ascii="宋体" w:hAnsi="宋体" w:cs="宋体" w:hint="eastAsia"/>
                <w:b/>
                <w:kern w:val="0"/>
                <w:sz w:val="22"/>
                <w:szCs w:val="22"/>
              </w:rPr>
              <w:t>272802.22</w:t>
            </w:r>
          </w:p>
        </w:tc>
        <w:tc>
          <w:tcPr>
            <w:tcW w:w="1133" w:type="dxa"/>
            <w:tcBorders>
              <w:top w:val="nil"/>
              <w:left w:val="nil"/>
              <w:bottom w:val="single" w:sz="4" w:space="0" w:color="auto"/>
              <w:right w:val="single" w:sz="4" w:space="0" w:color="auto"/>
            </w:tcBorders>
            <w:vAlign w:val="center"/>
          </w:tcPr>
          <w:p w:rsidR="003668FA" w:rsidRPr="00EE7F28" w:rsidRDefault="003668FA" w:rsidP="008F5945">
            <w:pPr>
              <w:jc w:val="center"/>
              <w:rPr>
                <w:rFonts w:ascii="Garamond" w:hAnsi="Garamond"/>
                <w:b/>
                <w:color w:val="000000"/>
                <w:szCs w:val="21"/>
              </w:rPr>
            </w:pPr>
            <w:r>
              <w:rPr>
                <w:rFonts w:ascii="Garamond" w:hAnsi="Garamond" w:hint="eastAsia"/>
                <w:b/>
                <w:color w:val="000000"/>
                <w:szCs w:val="21"/>
              </w:rPr>
              <w:t>19</w:t>
            </w:r>
          </w:p>
        </w:tc>
      </w:tr>
    </w:tbl>
    <w:p w:rsidR="005F2161" w:rsidRDefault="005F2161">
      <w:pPr>
        <w:ind w:firstLineChars="200" w:firstLine="643"/>
        <w:rPr>
          <w:rFonts w:ascii="黑体" w:eastAsia="黑体" w:hAnsi="黑体"/>
          <w:b/>
          <w:sz w:val="32"/>
          <w:szCs w:val="32"/>
        </w:rPr>
      </w:pPr>
    </w:p>
    <w:p w:rsidR="00C27119" w:rsidRDefault="00C27119">
      <w:pPr>
        <w:ind w:firstLineChars="200" w:firstLine="643"/>
        <w:rPr>
          <w:rFonts w:ascii="黑体" w:eastAsia="黑体" w:hAnsi="黑体"/>
          <w:b/>
          <w:sz w:val="32"/>
          <w:szCs w:val="32"/>
        </w:rPr>
      </w:pPr>
      <w:r w:rsidRPr="00977E6B">
        <w:rPr>
          <w:rFonts w:ascii="黑体" w:eastAsia="黑体" w:hAnsi="黑体" w:hint="eastAsia"/>
          <w:b/>
          <w:sz w:val="32"/>
          <w:szCs w:val="32"/>
        </w:rPr>
        <w:t>三、其他医疗</w:t>
      </w:r>
      <w:r>
        <w:rPr>
          <w:rFonts w:ascii="黑体" w:eastAsia="黑体" w:hAnsi="黑体" w:hint="eastAsia"/>
          <w:b/>
          <w:sz w:val="32"/>
          <w:szCs w:val="32"/>
        </w:rPr>
        <w:t>基金情况</w:t>
      </w:r>
    </w:p>
    <w:p w:rsidR="00C27119" w:rsidRDefault="00C27119" w:rsidP="00F31A6E">
      <w:pPr>
        <w:ind w:firstLineChars="200" w:firstLine="643"/>
        <w:rPr>
          <w:rFonts w:ascii="楷体_GB2312" w:eastAsia="楷体_GB2312"/>
          <w:b/>
          <w:sz w:val="32"/>
          <w:szCs w:val="32"/>
        </w:rPr>
      </w:pPr>
      <w:r>
        <w:rPr>
          <w:rFonts w:ascii="楷体_GB2312" w:eastAsia="楷体_GB2312" w:hint="eastAsia"/>
          <w:b/>
          <w:sz w:val="32"/>
          <w:szCs w:val="32"/>
        </w:rPr>
        <w:t>（一）</w:t>
      </w:r>
      <w:r w:rsidR="003F23DA">
        <w:rPr>
          <w:rFonts w:ascii="楷体_GB2312" w:eastAsia="楷体_GB2312" w:hint="eastAsia"/>
          <w:b/>
          <w:sz w:val="32"/>
          <w:szCs w:val="32"/>
        </w:rPr>
        <w:t>基本情况</w:t>
      </w:r>
    </w:p>
    <w:p w:rsidR="00C27119" w:rsidRDefault="00C27119">
      <w:pPr>
        <w:ind w:firstLineChars="200" w:firstLine="640"/>
        <w:rPr>
          <w:rFonts w:ascii="仿宋_GB2312" w:eastAsia="仿宋_GB2312"/>
          <w:sz w:val="32"/>
          <w:szCs w:val="32"/>
        </w:rPr>
      </w:pPr>
      <w:r>
        <w:rPr>
          <w:rFonts w:ascii="仿宋_GB2312" w:eastAsia="仿宋_GB2312" w:hint="eastAsia"/>
          <w:sz w:val="32"/>
          <w:szCs w:val="32"/>
        </w:rPr>
        <w:t>截</w:t>
      </w:r>
      <w:r w:rsidR="00881680">
        <w:rPr>
          <w:rFonts w:ascii="仿宋_GB2312" w:eastAsia="仿宋_GB2312" w:hint="eastAsia"/>
          <w:sz w:val="32"/>
          <w:szCs w:val="32"/>
        </w:rPr>
        <w:t>至</w:t>
      </w:r>
      <w:r w:rsidR="00402CF7">
        <w:rPr>
          <w:rFonts w:ascii="仿宋_GB2312" w:eastAsia="仿宋_GB2312" w:hint="eastAsia"/>
          <w:sz w:val="32"/>
          <w:szCs w:val="32"/>
        </w:rPr>
        <w:t>2022</w:t>
      </w:r>
      <w:r>
        <w:rPr>
          <w:rFonts w:ascii="仿宋_GB2312" w:eastAsia="仿宋_GB2312" w:hint="eastAsia"/>
          <w:sz w:val="32"/>
          <w:szCs w:val="32"/>
        </w:rPr>
        <w:t>年底，全市职工大额医疗保险参保人数74.95万人，公务员医疗补助人数6.37万人，离休干部及伤残人员0.08万人。</w:t>
      </w:r>
    </w:p>
    <w:p w:rsidR="00C27119" w:rsidRPr="005F2161" w:rsidRDefault="00C27119" w:rsidP="00F31A6E">
      <w:pPr>
        <w:ind w:firstLineChars="200" w:firstLine="643"/>
        <w:rPr>
          <w:rFonts w:ascii="楷体_GB2312" w:eastAsia="楷体_GB2312"/>
          <w:b/>
          <w:sz w:val="32"/>
          <w:szCs w:val="32"/>
        </w:rPr>
      </w:pPr>
      <w:r w:rsidRPr="005F2161">
        <w:rPr>
          <w:rFonts w:ascii="楷体_GB2312" w:eastAsia="楷体_GB2312" w:hint="eastAsia"/>
          <w:b/>
          <w:sz w:val="32"/>
          <w:szCs w:val="32"/>
        </w:rPr>
        <w:t>（二）基金收支余情况</w:t>
      </w:r>
    </w:p>
    <w:p w:rsidR="00C27119" w:rsidRDefault="006E0135">
      <w:pPr>
        <w:ind w:firstLineChars="300" w:firstLine="964"/>
        <w:rPr>
          <w:sz w:val="28"/>
          <w:szCs w:val="28"/>
        </w:rPr>
      </w:pPr>
      <w:r w:rsidRPr="005F2161">
        <w:rPr>
          <w:rFonts w:hint="eastAsia"/>
          <w:b/>
          <w:sz w:val="32"/>
          <w:szCs w:val="32"/>
        </w:rPr>
        <w:t>2022</w:t>
      </w:r>
      <w:r w:rsidR="00C27119" w:rsidRPr="005F2161">
        <w:rPr>
          <w:rFonts w:hint="eastAsia"/>
          <w:b/>
          <w:sz w:val="32"/>
          <w:szCs w:val="32"/>
        </w:rPr>
        <w:t>年其他医疗基金收支余情况表</w:t>
      </w:r>
      <w:r w:rsidR="00C27119" w:rsidRPr="005F2161">
        <w:rPr>
          <w:rFonts w:hint="eastAsia"/>
          <w:b/>
          <w:sz w:val="24"/>
        </w:rPr>
        <w:t>（</w:t>
      </w:r>
      <w:r w:rsidR="00C27119" w:rsidRPr="005F2161">
        <w:rPr>
          <w:rFonts w:hint="eastAsia"/>
          <w:sz w:val="24"/>
        </w:rPr>
        <w:t>单位：万元）</w:t>
      </w:r>
    </w:p>
    <w:tbl>
      <w:tblPr>
        <w:tblW w:w="5000" w:type="pct"/>
        <w:tblLook w:val="0000" w:firstRow="0" w:lastRow="0" w:firstColumn="0" w:lastColumn="0" w:noHBand="0" w:noVBand="0"/>
      </w:tblPr>
      <w:tblGrid>
        <w:gridCol w:w="1536"/>
        <w:gridCol w:w="1176"/>
        <w:gridCol w:w="1402"/>
        <w:gridCol w:w="1078"/>
        <w:gridCol w:w="1367"/>
        <w:gridCol w:w="1222"/>
        <w:gridCol w:w="1222"/>
      </w:tblGrid>
      <w:tr w:rsidR="00C27119">
        <w:trPr>
          <w:trHeight w:val="555"/>
        </w:trPr>
        <w:tc>
          <w:tcPr>
            <w:tcW w:w="864" w:type="pct"/>
            <w:vMerge w:val="restart"/>
            <w:tcBorders>
              <w:top w:val="single" w:sz="4" w:space="0" w:color="auto"/>
              <w:left w:val="single" w:sz="4" w:space="0" w:color="auto"/>
              <w:bottom w:val="single" w:sz="4" w:space="0" w:color="auto"/>
              <w:right w:val="single" w:sz="4" w:space="0" w:color="auto"/>
            </w:tcBorders>
            <w:noWrap/>
            <w:vAlign w:val="center"/>
          </w:tcPr>
          <w:p w:rsidR="00C27119" w:rsidRDefault="00C27119">
            <w:pPr>
              <w:widowControl/>
              <w:jc w:val="center"/>
              <w:rPr>
                <w:rFonts w:ascii="宋体" w:hAnsi="宋体" w:cs="宋体"/>
                <w:kern w:val="0"/>
                <w:sz w:val="24"/>
              </w:rPr>
            </w:pPr>
            <w:r>
              <w:rPr>
                <w:rFonts w:ascii="宋体" w:hAnsi="宋体" w:cs="宋体" w:hint="eastAsia"/>
                <w:kern w:val="0"/>
                <w:sz w:val="24"/>
              </w:rPr>
              <w:t>险  种</w:t>
            </w:r>
          </w:p>
        </w:tc>
        <w:tc>
          <w:tcPr>
            <w:tcW w:w="1379" w:type="pct"/>
            <w:gridSpan w:val="2"/>
            <w:tcBorders>
              <w:top w:val="single" w:sz="4" w:space="0" w:color="auto"/>
              <w:left w:val="nil"/>
              <w:bottom w:val="single" w:sz="4" w:space="0" w:color="auto"/>
              <w:right w:val="single" w:sz="4" w:space="0" w:color="auto"/>
            </w:tcBorders>
            <w:noWrap/>
            <w:vAlign w:val="center"/>
          </w:tcPr>
          <w:p w:rsidR="00C27119" w:rsidRDefault="00C27119">
            <w:pPr>
              <w:widowControl/>
              <w:jc w:val="center"/>
              <w:rPr>
                <w:rFonts w:ascii="宋体" w:hAnsi="宋体" w:cs="宋体"/>
                <w:kern w:val="0"/>
                <w:sz w:val="24"/>
              </w:rPr>
            </w:pPr>
            <w:r>
              <w:rPr>
                <w:rFonts w:ascii="宋体" w:hAnsi="宋体" w:cs="宋体" w:hint="eastAsia"/>
                <w:kern w:val="0"/>
                <w:sz w:val="24"/>
              </w:rPr>
              <w:t>总收入</w:t>
            </w:r>
          </w:p>
        </w:tc>
        <w:tc>
          <w:tcPr>
            <w:tcW w:w="1379" w:type="pct"/>
            <w:gridSpan w:val="2"/>
            <w:tcBorders>
              <w:top w:val="single" w:sz="4" w:space="0" w:color="auto"/>
              <w:left w:val="nil"/>
              <w:bottom w:val="single" w:sz="4" w:space="0" w:color="auto"/>
              <w:right w:val="single" w:sz="4" w:space="0" w:color="auto"/>
            </w:tcBorders>
            <w:noWrap/>
            <w:vAlign w:val="center"/>
          </w:tcPr>
          <w:p w:rsidR="00C27119" w:rsidRDefault="00C27119">
            <w:pPr>
              <w:widowControl/>
              <w:jc w:val="center"/>
              <w:rPr>
                <w:rFonts w:ascii="宋体" w:hAnsi="宋体" w:cs="宋体"/>
                <w:kern w:val="0"/>
                <w:sz w:val="24"/>
              </w:rPr>
            </w:pPr>
            <w:r>
              <w:rPr>
                <w:rFonts w:ascii="宋体" w:hAnsi="宋体" w:cs="宋体" w:hint="eastAsia"/>
                <w:kern w:val="0"/>
                <w:sz w:val="24"/>
              </w:rPr>
              <w:t>总支出</w:t>
            </w:r>
          </w:p>
        </w:tc>
        <w:tc>
          <w:tcPr>
            <w:tcW w:w="689" w:type="pct"/>
            <w:vMerge w:val="restart"/>
            <w:tcBorders>
              <w:top w:val="single" w:sz="4" w:space="0" w:color="auto"/>
              <w:left w:val="single" w:sz="4" w:space="0" w:color="auto"/>
              <w:bottom w:val="single" w:sz="4" w:space="0" w:color="auto"/>
              <w:right w:val="single" w:sz="4" w:space="0" w:color="auto"/>
            </w:tcBorders>
            <w:noWrap/>
            <w:vAlign w:val="center"/>
          </w:tcPr>
          <w:p w:rsidR="00C27119" w:rsidRDefault="00C27119">
            <w:pPr>
              <w:widowControl/>
              <w:jc w:val="center"/>
              <w:rPr>
                <w:rFonts w:ascii="宋体" w:hAnsi="宋体" w:cs="宋体"/>
                <w:kern w:val="0"/>
                <w:sz w:val="24"/>
              </w:rPr>
            </w:pPr>
            <w:r>
              <w:rPr>
                <w:rFonts w:ascii="宋体" w:hAnsi="宋体" w:cs="宋体" w:hint="eastAsia"/>
                <w:kern w:val="0"/>
                <w:sz w:val="24"/>
              </w:rPr>
              <w:t>当期结余</w:t>
            </w:r>
          </w:p>
        </w:tc>
        <w:tc>
          <w:tcPr>
            <w:tcW w:w="689" w:type="pct"/>
            <w:vMerge w:val="restart"/>
            <w:tcBorders>
              <w:top w:val="single" w:sz="4" w:space="0" w:color="auto"/>
              <w:left w:val="single" w:sz="4" w:space="0" w:color="auto"/>
              <w:bottom w:val="single" w:sz="4" w:space="0" w:color="auto"/>
              <w:right w:val="single" w:sz="4" w:space="0" w:color="auto"/>
            </w:tcBorders>
            <w:noWrap/>
            <w:vAlign w:val="center"/>
          </w:tcPr>
          <w:p w:rsidR="00C27119" w:rsidRDefault="00C27119">
            <w:pPr>
              <w:widowControl/>
              <w:jc w:val="center"/>
              <w:rPr>
                <w:rFonts w:ascii="宋体" w:hAnsi="宋体" w:cs="宋体"/>
                <w:kern w:val="0"/>
                <w:sz w:val="24"/>
              </w:rPr>
            </w:pPr>
            <w:r>
              <w:rPr>
                <w:rFonts w:ascii="宋体" w:hAnsi="宋体" w:cs="宋体" w:hint="eastAsia"/>
                <w:kern w:val="0"/>
                <w:sz w:val="24"/>
              </w:rPr>
              <w:t>累计结余</w:t>
            </w:r>
          </w:p>
        </w:tc>
      </w:tr>
      <w:tr w:rsidR="00C27119">
        <w:trPr>
          <w:trHeight w:val="555"/>
        </w:trPr>
        <w:tc>
          <w:tcPr>
            <w:tcW w:w="864" w:type="pct"/>
            <w:vMerge/>
            <w:tcBorders>
              <w:top w:val="single" w:sz="4" w:space="0" w:color="auto"/>
              <w:left w:val="single" w:sz="4" w:space="0" w:color="auto"/>
              <w:bottom w:val="single" w:sz="4" w:space="0" w:color="auto"/>
              <w:right w:val="single" w:sz="4" w:space="0" w:color="auto"/>
            </w:tcBorders>
            <w:vAlign w:val="center"/>
          </w:tcPr>
          <w:p w:rsidR="00C27119" w:rsidRDefault="00C27119">
            <w:pPr>
              <w:widowControl/>
              <w:jc w:val="left"/>
              <w:rPr>
                <w:rFonts w:ascii="宋体" w:hAnsi="宋体" w:cs="宋体"/>
                <w:kern w:val="0"/>
                <w:sz w:val="24"/>
              </w:rPr>
            </w:pPr>
          </w:p>
        </w:tc>
        <w:tc>
          <w:tcPr>
            <w:tcW w:w="589" w:type="pct"/>
            <w:tcBorders>
              <w:top w:val="nil"/>
              <w:left w:val="nil"/>
              <w:bottom w:val="single" w:sz="4" w:space="0" w:color="auto"/>
              <w:right w:val="single" w:sz="4" w:space="0" w:color="auto"/>
            </w:tcBorders>
            <w:noWrap/>
            <w:vAlign w:val="center"/>
          </w:tcPr>
          <w:p w:rsidR="00C27119" w:rsidRDefault="00C27119">
            <w:pPr>
              <w:widowControl/>
              <w:jc w:val="center"/>
              <w:rPr>
                <w:rFonts w:ascii="宋体" w:hAnsi="宋体" w:cs="宋体"/>
                <w:kern w:val="0"/>
                <w:sz w:val="24"/>
              </w:rPr>
            </w:pPr>
            <w:r>
              <w:rPr>
                <w:rFonts w:ascii="宋体" w:hAnsi="宋体" w:cs="宋体" w:hint="eastAsia"/>
                <w:kern w:val="0"/>
                <w:sz w:val="24"/>
              </w:rPr>
              <w:t>合 计</w:t>
            </w:r>
          </w:p>
        </w:tc>
        <w:tc>
          <w:tcPr>
            <w:tcW w:w="790" w:type="pct"/>
            <w:tcBorders>
              <w:top w:val="nil"/>
              <w:left w:val="nil"/>
              <w:bottom w:val="single" w:sz="4" w:space="0" w:color="auto"/>
              <w:right w:val="single" w:sz="4" w:space="0" w:color="auto"/>
            </w:tcBorders>
            <w:vAlign w:val="center"/>
          </w:tcPr>
          <w:p w:rsidR="00C27119" w:rsidRDefault="00C27119">
            <w:pPr>
              <w:widowControl/>
              <w:jc w:val="center"/>
              <w:rPr>
                <w:rFonts w:ascii="宋体" w:hAnsi="宋体" w:cs="宋体"/>
                <w:kern w:val="0"/>
                <w:sz w:val="24"/>
              </w:rPr>
            </w:pPr>
            <w:r>
              <w:rPr>
                <w:rFonts w:ascii="宋体" w:hAnsi="宋体" w:cs="宋体" w:hint="eastAsia"/>
                <w:kern w:val="0"/>
                <w:sz w:val="24"/>
              </w:rPr>
              <w:t>同比增幅</w:t>
            </w:r>
          </w:p>
        </w:tc>
        <w:tc>
          <w:tcPr>
            <w:tcW w:w="609" w:type="pct"/>
            <w:tcBorders>
              <w:top w:val="nil"/>
              <w:left w:val="nil"/>
              <w:bottom w:val="single" w:sz="4" w:space="0" w:color="auto"/>
              <w:right w:val="single" w:sz="4" w:space="0" w:color="auto"/>
            </w:tcBorders>
            <w:noWrap/>
            <w:vAlign w:val="center"/>
          </w:tcPr>
          <w:p w:rsidR="00C27119" w:rsidRDefault="00C27119">
            <w:pPr>
              <w:widowControl/>
              <w:jc w:val="center"/>
              <w:rPr>
                <w:rFonts w:ascii="宋体" w:hAnsi="宋体" w:cs="宋体"/>
                <w:kern w:val="0"/>
                <w:sz w:val="24"/>
              </w:rPr>
            </w:pPr>
            <w:r>
              <w:rPr>
                <w:rFonts w:ascii="宋体" w:hAnsi="宋体" w:cs="宋体" w:hint="eastAsia"/>
                <w:kern w:val="0"/>
                <w:sz w:val="24"/>
              </w:rPr>
              <w:t>合 计</w:t>
            </w:r>
          </w:p>
        </w:tc>
        <w:tc>
          <w:tcPr>
            <w:tcW w:w="770" w:type="pct"/>
            <w:tcBorders>
              <w:top w:val="nil"/>
              <w:left w:val="nil"/>
              <w:bottom w:val="single" w:sz="4" w:space="0" w:color="auto"/>
              <w:right w:val="single" w:sz="4" w:space="0" w:color="auto"/>
            </w:tcBorders>
            <w:vAlign w:val="center"/>
          </w:tcPr>
          <w:p w:rsidR="00C27119" w:rsidRDefault="00C27119">
            <w:pPr>
              <w:widowControl/>
              <w:jc w:val="center"/>
              <w:rPr>
                <w:rFonts w:ascii="宋体" w:hAnsi="宋体" w:cs="宋体"/>
                <w:kern w:val="0"/>
                <w:sz w:val="24"/>
              </w:rPr>
            </w:pPr>
            <w:r>
              <w:rPr>
                <w:rFonts w:ascii="宋体" w:hAnsi="宋体" w:cs="宋体" w:hint="eastAsia"/>
                <w:kern w:val="0"/>
                <w:sz w:val="24"/>
              </w:rPr>
              <w:t>同比增幅</w:t>
            </w:r>
          </w:p>
        </w:tc>
        <w:tc>
          <w:tcPr>
            <w:tcW w:w="689" w:type="pct"/>
            <w:vMerge/>
            <w:tcBorders>
              <w:top w:val="single" w:sz="4" w:space="0" w:color="auto"/>
              <w:left w:val="single" w:sz="4" w:space="0" w:color="auto"/>
              <w:bottom w:val="single" w:sz="4" w:space="0" w:color="auto"/>
              <w:right w:val="single" w:sz="4" w:space="0" w:color="auto"/>
            </w:tcBorders>
            <w:vAlign w:val="center"/>
          </w:tcPr>
          <w:p w:rsidR="00C27119" w:rsidRDefault="00C27119">
            <w:pPr>
              <w:widowControl/>
              <w:jc w:val="left"/>
              <w:rPr>
                <w:rFonts w:ascii="宋体" w:hAnsi="宋体" w:cs="宋体"/>
                <w:kern w:val="0"/>
                <w:sz w:val="24"/>
              </w:rPr>
            </w:pPr>
          </w:p>
        </w:tc>
        <w:tc>
          <w:tcPr>
            <w:tcW w:w="689" w:type="pct"/>
            <w:vMerge/>
            <w:tcBorders>
              <w:top w:val="single" w:sz="4" w:space="0" w:color="auto"/>
              <w:left w:val="single" w:sz="4" w:space="0" w:color="auto"/>
              <w:bottom w:val="single" w:sz="4" w:space="0" w:color="auto"/>
              <w:right w:val="single" w:sz="4" w:space="0" w:color="auto"/>
            </w:tcBorders>
            <w:vAlign w:val="center"/>
          </w:tcPr>
          <w:p w:rsidR="00C27119" w:rsidRDefault="00C27119">
            <w:pPr>
              <w:widowControl/>
              <w:jc w:val="left"/>
              <w:rPr>
                <w:rFonts w:ascii="宋体" w:hAnsi="宋体" w:cs="宋体"/>
                <w:kern w:val="0"/>
                <w:sz w:val="24"/>
              </w:rPr>
            </w:pPr>
          </w:p>
        </w:tc>
      </w:tr>
      <w:tr w:rsidR="00C27119">
        <w:trPr>
          <w:trHeight w:val="555"/>
        </w:trPr>
        <w:tc>
          <w:tcPr>
            <w:tcW w:w="864" w:type="pct"/>
            <w:tcBorders>
              <w:top w:val="nil"/>
              <w:left w:val="single" w:sz="4" w:space="0" w:color="auto"/>
              <w:bottom w:val="single" w:sz="4" w:space="0" w:color="auto"/>
              <w:right w:val="single" w:sz="4" w:space="0" w:color="auto"/>
            </w:tcBorders>
            <w:vAlign w:val="center"/>
          </w:tcPr>
          <w:p w:rsidR="00C27119" w:rsidRDefault="005F2161">
            <w:pPr>
              <w:widowControl/>
              <w:jc w:val="center"/>
              <w:rPr>
                <w:rFonts w:ascii="宋体" w:hAnsi="宋体" w:cs="宋体"/>
                <w:kern w:val="0"/>
                <w:sz w:val="24"/>
              </w:rPr>
            </w:pPr>
            <w:r>
              <w:rPr>
                <w:rFonts w:ascii="宋体" w:hAnsi="宋体" w:cs="宋体" w:hint="eastAsia"/>
                <w:kern w:val="0"/>
                <w:sz w:val="24"/>
              </w:rPr>
              <w:t>大额</w:t>
            </w:r>
            <w:r w:rsidR="00C27119">
              <w:rPr>
                <w:rFonts w:ascii="宋体" w:hAnsi="宋体" w:cs="宋体" w:hint="eastAsia"/>
                <w:kern w:val="0"/>
                <w:sz w:val="24"/>
              </w:rPr>
              <w:t>医疗</w:t>
            </w:r>
          </w:p>
        </w:tc>
        <w:tc>
          <w:tcPr>
            <w:tcW w:w="589" w:type="pct"/>
            <w:tcBorders>
              <w:top w:val="nil"/>
              <w:left w:val="nil"/>
              <w:bottom w:val="single" w:sz="4" w:space="0" w:color="auto"/>
              <w:right w:val="single" w:sz="4" w:space="0" w:color="auto"/>
            </w:tcBorders>
            <w:noWrap/>
            <w:vAlign w:val="center"/>
          </w:tcPr>
          <w:p w:rsidR="00C27119" w:rsidRPr="00B95B62" w:rsidRDefault="005F2161">
            <w:pPr>
              <w:jc w:val="center"/>
              <w:rPr>
                <w:rFonts w:ascii="仿宋" w:eastAsia="仿宋" w:hAnsi="仿宋"/>
                <w:sz w:val="24"/>
              </w:rPr>
            </w:pPr>
            <w:r>
              <w:rPr>
                <w:rFonts w:ascii="仿宋" w:eastAsia="仿宋" w:hAnsi="仿宋" w:hint="eastAsia"/>
                <w:sz w:val="24"/>
              </w:rPr>
              <w:t>10602.85</w:t>
            </w:r>
          </w:p>
        </w:tc>
        <w:tc>
          <w:tcPr>
            <w:tcW w:w="790" w:type="pct"/>
            <w:tcBorders>
              <w:top w:val="nil"/>
              <w:left w:val="nil"/>
              <w:bottom w:val="single" w:sz="4" w:space="0" w:color="auto"/>
              <w:right w:val="single" w:sz="4" w:space="0" w:color="auto"/>
            </w:tcBorders>
            <w:noWrap/>
            <w:vAlign w:val="center"/>
          </w:tcPr>
          <w:p w:rsidR="00C27119" w:rsidRPr="00B95B62" w:rsidRDefault="00BE24A1" w:rsidP="005F2161">
            <w:pPr>
              <w:jc w:val="center"/>
              <w:rPr>
                <w:rFonts w:ascii="仿宋" w:eastAsia="仿宋" w:hAnsi="仿宋"/>
                <w:sz w:val="24"/>
              </w:rPr>
            </w:pPr>
            <w:r w:rsidRPr="00B95B62">
              <w:rPr>
                <w:rFonts w:ascii="仿宋" w:eastAsia="仿宋" w:hAnsi="仿宋" w:hint="eastAsia"/>
                <w:sz w:val="24"/>
              </w:rPr>
              <w:t>-</w:t>
            </w:r>
            <w:r w:rsidR="005F2161">
              <w:rPr>
                <w:rFonts w:ascii="仿宋" w:eastAsia="仿宋" w:hAnsi="仿宋" w:hint="eastAsia"/>
                <w:sz w:val="24"/>
              </w:rPr>
              <w:t>11.18</w:t>
            </w:r>
            <w:r w:rsidR="00C27119" w:rsidRPr="00B95B62">
              <w:rPr>
                <w:rFonts w:ascii="仿宋" w:eastAsia="仿宋" w:hAnsi="仿宋" w:hint="eastAsia"/>
                <w:sz w:val="24"/>
              </w:rPr>
              <w:t>%</w:t>
            </w:r>
          </w:p>
        </w:tc>
        <w:tc>
          <w:tcPr>
            <w:tcW w:w="609" w:type="pct"/>
            <w:tcBorders>
              <w:top w:val="nil"/>
              <w:left w:val="nil"/>
              <w:bottom w:val="single" w:sz="4" w:space="0" w:color="auto"/>
              <w:right w:val="single" w:sz="4" w:space="0" w:color="auto"/>
            </w:tcBorders>
            <w:noWrap/>
            <w:vAlign w:val="center"/>
          </w:tcPr>
          <w:p w:rsidR="00C27119" w:rsidRPr="00B95B62" w:rsidRDefault="005F2161">
            <w:pPr>
              <w:jc w:val="center"/>
              <w:rPr>
                <w:rFonts w:ascii="仿宋" w:eastAsia="仿宋" w:hAnsi="仿宋"/>
                <w:sz w:val="24"/>
              </w:rPr>
            </w:pPr>
            <w:r>
              <w:rPr>
                <w:rFonts w:ascii="仿宋" w:eastAsia="仿宋" w:hAnsi="仿宋" w:hint="eastAsia"/>
                <w:sz w:val="24"/>
              </w:rPr>
              <w:t>8778.87</w:t>
            </w:r>
          </w:p>
        </w:tc>
        <w:tc>
          <w:tcPr>
            <w:tcW w:w="770" w:type="pct"/>
            <w:tcBorders>
              <w:top w:val="nil"/>
              <w:left w:val="nil"/>
              <w:bottom w:val="single" w:sz="4" w:space="0" w:color="auto"/>
              <w:right w:val="single" w:sz="4" w:space="0" w:color="auto"/>
            </w:tcBorders>
            <w:noWrap/>
            <w:vAlign w:val="center"/>
          </w:tcPr>
          <w:p w:rsidR="00C27119" w:rsidRPr="00B95B62" w:rsidRDefault="00B95B62" w:rsidP="005F2161">
            <w:pPr>
              <w:jc w:val="center"/>
              <w:rPr>
                <w:rFonts w:ascii="仿宋" w:eastAsia="仿宋" w:hAnsi="仿宋"/>
                <w:sz w:val="24"/>
              </w:rPr>
            </w:pPr>
            <w:r w:rsidRPr="00B95B62">
              <w:rPr>
                <w:rFonts w:ascii="仿宋" w:eastAsia="仿宋" w:hAnsi="仿宋" w:hint="eastAsia"/>
                <w:sz w:val="24"/>
              </w:rPr>
              <w:t>-</w:t>
            </w:r>
            <w:r w:rsidR="005F2161">
              <w:rPr>
                <w:rFonts w:ascii="仿宋" w:eastAsia="仿宋" w:hAnsi="仿宋" w:hint="eastAsia"/>
                <w:sz w:val="24"/>
              </w:rPr>
              <w:t>9.23</w:t>
            </w:r>
            <w:r w:rsidR="00C27119" w:rsidRPr="00B95B62">
              <w:rPr>
                <w:rFonts w:ascii="仿宋" w:eastAsia="仿宋" w:hAnsi="仿宋" w:hint="eastAsia"/>
                <w:sz w:val="24"/>
              </w:rPr>
              <w:t>%</w:t>
            </w:r>
          </w:p>
        </w:tc>
        <w:tc>
          <w:tcPr>
            <w:tcW w:w="689" w:type="pct"/>
            <w:tcBorders>
              <w:top w:val="nil"/>
              <w:left w:val="nil"/>
              <w:bottom w:val="single" w:sz="4" w:space="0" w:color="auto"/>
              <w:right w:val="single" w:sz="4" w:space="0" w:color="auto"/>
            </w:tcBorders>
            <w:noWrap/>
            <w:vAlign w:val="center"/>
          </w:tcPr>
          <w:p w:rsidR="00C27119" w:rsidRPr="00B95B62" w:rsidRDefault="006E0135">
            <w:pPr>
              <w:jc w:val="center"/>
              <w:rPr>
                <w:rFonts w:ascii="仿宋" w:eastAsia="仿宋" w:hAnsi="仿宋"/>
                <w:sz w:val="24"/>
              </w:rPr>
            </w:pPr>
            <w:r w:rsidRPr="00B95B62">
              <w:rPr>
                <w:rFonts w:ascii="仿宋" w:eastAsia="仿宋" w:hAnsi="仿宋" w:hint="eastAsia"/>
                <w:sz w:val="24"/>
              </w:rPr>
              <w:t>1823.97</w:t>
            </w:r>
          </w:p>
        </w:tc>
        <w:tc>
          <w:tcPr>
            <w:tcW w:w="689" w:type="pct"/>
            <w:tcBorders>
              <w:top w:val="nil"/>
              <w:left w:val="nil"/>
              <w:bottom w:val="single" w:sz="4" w:space="0" w:color="auto"/>
              <w:right w:val="single" w:sz="4" w:space="0" w:color="auto"/>
            </w:tcBorders>
            <w:noWrap/>
            <w:vAlign w:val="center"/>
          </w:tcPr>
          <w:p w:rsidR="00C27119" w:rsidRPr="00B95B62" w:rsidRDefault="006E0135">
            <w:pPr>
              <w:jc w:val="center"/>
              <w:rPr>
                <w:rFonts w:ascii="仿宋" w:eastAsia="仿宋" w:hAnsi="仿宋"/>
                <w:sz w:val="24"/>
              </w:rPr>
            </w:pPr>
            <w:r w:rsidRPr="00B95B62">
              <w:rPr>
                <w:rFonts w:ascii="仿宋" w:eastAsia="仿宋" w:hAnsi="仿宋" w:hint="eastAsia"/>
                <w:sz w:val="24"/>
              </w:rPr>
              <w:t>14913.18</w:t>
            </w:r>
          </w:p>
        </w:tc>
      </w:tr>
      <w:tr w:rsidR="00C27119">
        <w:trPr>
          <w:trHeight w:val="559"/>
        </w:trPr>
        <w:tc>
          <w:tcPr>
            <w:tcW w:w="864" w:type="pct"/>
            <w:tcBorders>
              <w:top w:val="nil"/>
              <w:left w:val="single" w:sz="4" w:space="0" w:color="auto"/>
              <w:bottom w:val="single" w:sz="4" w:space="0" w:color="auto"/>
              <w:right w:val="single" w:sz="4" w:space="0" w:color="auto"/>
            </w:tcBorders>
            <w:vAlign w:val="center"/>
          </w:tcPr>
          <w:p w:rsidR="00C27119" w:rsidRDefault="00C27119">
            <w:pPr>
              <w:widowControl/>
              <w:jc w:val="center"/>
              <w:rPr>
                <w:rFonts w:ascii="宋体" w:hAnsi="宋体" w:cs="宋体"/>
                <w:kern w:val="0"/>
                <w:sz w:val="24"/>
              </w:rPr>
            </w:pPr>
            <w:r>
              <w:rPr>
                <w:rFonts w:ascii="宋体" w:hAnsi="宋体" w:cs="宋体" w:hint="eastAsia"/>
                <w:kern w:val="0"/>
                <w:sz w:val="24"/>
              </w:rPr>
              <w:t>公务员</w:t>
            </w:r>
          </w:p>
        </w:tc>
        <w:tc>
          <w:tcPr>
            <w:tcW w:w="589" w:type="pct"/>
            <w:tcBorders>
              <w:top w:val="nil"/>
              <w:left w:val="nil"/>
              <w:bottom w:val="single" w:sz="4" w:space="0" w:color="auto"/>
              <w:right w:val="single" w:sz="4" w:space="0" w:color="auto"/>
            </w:tcBorders>
            <w:noWrap/>
            <w:vAlign w:val="center"/>
          </w:tcPr>
          <w:p w:rsidR="00C27119" w:rsidRPr="00D8048A" w:rsidRDefault="00402CF7">
            <w:pPr>
              <w:jc w:val="center"/>
              <w:rPr>
                <w:rFonts w:ascii="仿宋" w:eastAsia="仿宋" w:hAnsi="仿宋"/>
                <w:sz w:val="24"/>
              </w:rPr>
            </w:pPr>
            <w:r>
              <w:rPr>
                <w:rFonts w:ascii="仿宋" w:eastAsia="仿宋" w:hAnsi="仿宋" w:hint="eastAsia"/>
                <w:sz w:val="24"/>
              </w:rPr>
              <w:t>437.39</w:t>
            </w:r>
          </w:p>
        </w:tc>
        <w:tc>
          <w:tcPr>
            <w:tcW w:w="790" w:type="pct"/>
            <w:tcBorders>
              <w:top w:val="nil"/>
              <w:left w:val="nil"/>
              <w:bottom w:val="single" w:sz="4" w:space="0" w:color="auto"/>
              <w:right w:val="single" w:sz="4" w:space="0" w:color="auto"/>
            </w:tcBorders>
            <w:noWrap/>
            <w:vAlign w:val="center"/>
          </w:tcPr>
          <w:p w:rsidR="00C27119" w:rsidRPr="00D8048A" w:rsidRDefault="00B95B62">
            <w:pPr>
              <w:jc w:val="center"/>
              <w:rPr>
                <w:rFonts w:ascii="仿宋" w:eastAsia="仿宋" w:hAnsi="仿宋"/>
                <w:sz w:val="24"/>
              </w:rPr>
            </w:pPr>
            <w:r>
              <w:rPr>
                <w:rFonts w:ascii="仿宋" w:eastAsia="仿宋" w:hAnsi="仿宋" w:hint="eastAsia"/>
                <w:sz w:val="24"/>
              </w:rPr>
              <w:t>-97.53%</w:t>
            </w:r>
          </w:p>
        </w:tc>
        <w:tc>
          <w:tcPr>
            <w:tcW w:w="609" w:type="pct"/>
            <w:tcBorders>
              <w:top w:val="nil"/>
              <w:left w:val="nil"/>
              <w:bottom w:val="single" w:sz="4" w:space="0" w:color="auto"/>
              <w:right w:val="single" w:sz="4" w:space="0" w:color="auto"/>
            </w:tcBorders>
            <w:noWrap/>
            <w:vAlign w:val="center"/>
          </w:tcPr>
          <w:p w:rsidR="00C27119" w:rsidRPr="00D8048A" w:rsidRDefault="006E0135">
            <w:pPr>
              <w:jc w:val="center"/>
              <w:rPr>
                <w:rFonts w:ascii="仿宋" w:eastAsia="仿宋" w:hAnsi="仿宋"/>
                <w:sz w:val="24"/>
              </w:rPr>
            </w:pPr>
            <w:r>
              <w:rPr>
                <w:rFonts w:ascii="仿宋" w:eastAsia="仿宋" w:hAnsi="仿宋" w:hint="eastAsia"/>
                <w:sz w:val="24"/>
              </w:rPr>
              <w:t>5553.57</w:t>
            </w:r>
          </w:p>
        </w:tc>
        <w:tc>
          <w:tcPr>
            <w:tcW w:w="770" w:type="pct"/>
            <w:tcBorders>
              <w:top w:val="nil"/>
              <w:left w:val="nil"/>
              <w:bottom w:val="single" w:sz="4" w:space="0" w:color="auto"/>
              <w:right w:val="single" w:sz="4" w:space="0" w:color="auto"/>
            </w:tcBorders>
            <w:noWrap/>
            <w:vAlign w:val="center"/>
          </w:tcPr>
          <w:p w:rsidR="00C27119" w:rsidRPr="00D8048A" w:rsidRDefault="00B95B62">
            <w:pPr>
              <w:jc w:val="center"/>
              <w:rPr>
                <w:rFonts w:ascii="仿宋" w:eastAsia="仿宋" w:hAnsi="仿宋"/>
                <w:sz w:val="24"/>
              </w:rPr>
            </w:pPr>
            <w:r>
              <w:rPr>
                <w:rFonts w:ascii="仿宋" w:eastAsia="仿宋" w:hAnsi="仿宋" w:hint="eastAsia"/>
                <w:sz w:val="24"/>
              </w:rPr>
              <w:t>624.05%</w:t>
            </w:r>
          </w:p>
        </w:tc>
        <w:tc>
          <w:tcPr>
            <w:tcW w:w="689" w:type="pct"/>
            <w:tcBorders>
              <w:top w:val="nil"/>
              <w:left w:val="nil"/>
              <w:bottom w:val="single" w:sz="4" w:space="0" w:color="auto"/>
              <w:right w:val="single" w:sz="4" w:space="0" w:color="auto"/>
            </w:tcBorders>
            <w:noWrap/>
            <w:vAlign w:val="center"/>
          </w:tcPr>
          <w:p w:rsidR="00C27119" w:rsidRPr="00D8048A" w:rsidRDefault="007B4E4D">
            <w:pPr>
              <w:jc w:val="center"/>
              <w:rPr>
                <w:rFonts w:ascii="仿宋" w:eastAsia="仿宋" w:hAnsi="仿宋"/>
                <w:sz w:val="24"/>
              </w:rPr>
            </w:pPr>
            <w:r>
              <w:rPr>
                <w:rFonts w:ascii="仿宋" w:eastAsia="仿宋" w:hAnsi="仿宋" w:hint="eastAsia"/>
                <w:sz w:val="24"/>
              </w:rPr>
              <w:t>-5116.19</w:t>
            </w:r>
          </w:p>
        </w:tc>
        <w:tc>
          <w:tcPr>
            <w:tcW w:w="689" w:type="pct"/>
            <w:tcBorders>
              <w:top w:val="nil"/>
              <w:left w:val="nil"/>
              <w:bottom w:val="single" w:sz="4" w:space="0" w:color="auto"/>
              <w:right w:val="single" w:sz="4" w:space="0" w:color="auto"/>
            </w:tcBorders>
            <w:noWrap/>
            <w:vAlign w:val="center"/>
          </w:tcPr>
          <w:p w:rsidR="00C27119" w:rsidRPr="00D8048A" w:rsidRDefault="00B95B62">
            <w:pPr>
              <w:jc w:val="center"/>
              <w:rPr>
                <w:rFonts w:ascii="仿宋" w:eastAsia="仿宋" w:hAnsi="仿宋"/>
                <w:sz w:val="24"/>
              </w:rPr>
            </w:pPr>
            <w:r>
              <w:rPr>
                <w:rFonts w:ascii="仿宋" w:eastAsia="仿宋" w:hAnsi="仿宋" w:hint="eastAsia"/>
                <w:sz w:val="24"/>
              </w:rPr>
              <w:t>80163.78</w:t>
            </w:r>
          </w:p>
        </w:tc>
      </w:tr>
      <w:tr w:rsidR="00C27119">
        <w:trPr>
          <w:trHeight w:val="553"/>
        </w:trPr>
        <w:tc>
          <w:tcPr>
            <w:tcW w:w="864" w:type="pct"/>
            <w:tcBorders>
              <w:top w:val="single" w:sz="4" w:space="0" w:color="auto"/>
              <w:left w:val="single" w:sz="4" w:space="0" w:color="auto"/>
              <w:bottom w:val="single" w:sz="4" w:space="0" w:color="auto"/>
              <w:right w:val="single" w:sz="4" w:space="0" w:color="auto"/>
            </w:tcBorders>
            <w:vAlign w:val="center"/>
          </w:tcPr>
          <w:p w:rsidR="00C27119" w:rsidRDefault="00C27119">
            <w:pPr>
              <w:widowControl/>
              <w:jc w:val="center"/>
              <w:rPr>
                <w:rFonts w:ascii="宋体" w:hAnsi="宋体" w:cs="宋体"/>
                <w:kern w:val="0"/>
                <w:sz w:val="24"/>
              </w:rPr>
            </w:pPr>
            <w:r>
              <w:rPr>
                <w:rFonts w:ascii="宋体" w:hAnsi="宋体" w:cs="宋体" w:hint="eastAsia"/>
                <w:kern w:val="0"/>
                <w:sz w:val="24"/>
              </w:rPr>
              <w:t>离休干部</w:t>
            </w:r>
          </w:p>
        </w:tc>
        <w:tc>
          <w:tcPr>
            <w:tcW w:w="589" w:type="pct"/>
            <w:tcBorders>
              <w:top w:val="single" w:sz="4" w:space="0" w:color="auto"/>
              <w:left w:val="nil"/>
              <w:bottom w:val="single" w:sz="4" w:space="0" w:color="auto"/>
              <w:right w:val="single" w:sz="4" w:space="0" w:color="auto"/>
            </w:tcBorders>
            <w:noWrap/>
            <w:vAlign w:val="center"/>
          </w:tcPr>
          <w:p w:rsidR="00C27119" w:rsidRPr="00D8048A" w:rsidRDefault="00B95B62">
            <w:pPr>
              <w:jc w:val="center"/>
              <w:rPr>
                <w:rFonts w:ascii="仿宋" w:eastAsia="仿宋" w:hAnsi="仿宋"/>
                <w:sz w:val="24"/>
              </w:rPr>
            </w:pPr>
            <w:r>
              <w:rPr>
                <w:rFonts w:ascii="仿宋" w:eastAsia="仿宋" w:hAnsi="仿宋" w:hint="eastAsia"/>
                <w:sz w:val="24"/>
              </w:rPr>
              <w:t>4239.27</w:t>
            </w:r>
          </w:p>
        </w:tc>
        <w:tc>
          <w:tcPr>
            <w:tcW w:w="790" w:type="pct"/>
            <w:tcBorders>
              <w:top w:val="single" w:sz="4" w:space="0" w:color="auto"/>
              <w:left w:val="nil"/>
              <w:bottom w:val="single" w:sz="4" w:space="0" w:color="auto"/>
              <w:right w:val="single" w:sz="4" w:space="0" w:color="auto"/>
            </w:tcBorders>
            <w:noWrap/>
            <w:vAlign w:val="center"/>
          </w:tcPr>
          <w:p w:rsidR="00C27119" w:rsidRPr="00D8048A" w:rsidRDefault="00B57F87">
            <w:pPr>
              <w:jc w:val="center"/>
              <w:rPr>
                <w:rFonts w:ascii="仿宋" w:eastAsia="仿宋" w:hAnsi="仿宋"/>
                <w:sz w:val="24"/>
              </w:rPr>
            </w:pPr>
            <w:r>
              <w:rPr>
                <w:rFonts w:ascii="仿宋" w:eastAsia="仿宋" w:hAnsi="仿宋" w:hint="eastAsia"/>
                <w:sz w:val="24"/>
              </w:rPr>
              <w:t>-3.05%</w:t>
            </w:r>
          </w:p>
        </w:tc>
        <w:tc>
          <w:tcPr>
            <w:tcW w:w="609" w:type="pct"/>
            <w:tcBorders>
              <w:top w:val="single" w:sz="4" w:space="0" w:color="auto"/>
              <w:left w:val="nil"/>
              <w:bottom w:val="single" w:sz="4" w:space="0" w:color="auto"/>
              <w:right w:val="single" w:sz="4" w:space="0" w:color="auto"/>
            </w:tcBorders>
            <w:noWrap/>
            <w:vAlign w:val="center"/>
          </w:tcPr>
          <w:p w:rsidR="00C27119" w:rsidRPr="00D8048A" w:rsidRDefault="00B95B62">
            <w:pPr>
              <w:jc w:val="center"/>
              <w:rPr>
                <w:rFonts w:ascii="仿宋" w:eastAsia="仿宋" w:hAnsi="仿宋"/>
                <w:sz w:val="24"/>
              </w:rPr>
            </w:pPr>
            <w:r>
              <w:rPr>
                <w:rFonts w:ascii="仿宋" w:eastAsia="仿宋" w:hAnsi="仿宋" w:hint="eastAsia"/>
                <w:sz w:val="24"/>
              </w:rPr>
              <w:t>4176.28</w:t>
            </w:r>
          </w:p>
        </w:tc>
        <w:tc>
          <w:tcPr>
            <w:tcW w:w="770" w:type="pct"/>
            <w:tcBorders>
              <w:top w:val="single" w:sz="4" w:space="0" w:color="auto"/>
              <w:left w:val="nil"/>
              <w:bottom w:val="single" w:sz="4" w:space="0" w:color="auto"/>
              <w:right w:val="single" w:sz="4" w:space="0" w:color="auto"/>
            </w:tcBorders>
            <w:noWrap/>
            <w:vAlign w:val="center"/>
          </w:tcPr>
          <w:p w:rsidR="00C27119" w:rsidRPr="00D8048A" w:rsidRDefault="00132C25">
            <w:pPr>
              <w:jc w:val="center"/>
              <w:rPr>
                <w:rFonts w:ascii="仿宋" w:eastAsia="仿宋" w:hAnsi="仿宋"/>
                <w:sz w:val="24"/>
              </w:rPr>
            </w:pPr>
            <w:r>
              <w:rPr>
                <w:rFonts w:ascii="仿宋" w:eastAsia="仿宋" w:hAnsi="仿宋" w:hint="eastAsia"/>
                <w:sz w:val="24"/>
              </w:rPr>
              <w:t>2.29%</w:t>
            </w:r>
          </w:p>
        </w:tc>
        <w:tc>
          <w:tcPr>
            <w:tcW w:w="689" w:type="pct"/>
            <w:tcBorders>
              <w:top w:val="single" w:sz="4" w:space="0" w:color="auto"/>
              <w:left w:val="nil"/>
              <w:bottom w:val="single" w:sz="4" w:space="0" w:color="auto"/>
              <w:right w:val="single" w:sz="4" w:space="0" w:color="auto"/>
            </w:tcBorders>
            <w:noWrap/>
            <w:vAlign w:val="center"/>
          </w:tcPr>
          <w:p w:rsidR="00C27119" w:rsidRPr="00D8048A" w:rsidRDefault="00B95B62" w:rsidP="002E5668">
            <w:pPr>
              <w:jc w:val="center"/>
              <w:rPr>
                <w:rFonts w:ascii="仿宋" w:eastAsia="仿宋" w:hAnsi="仿宋"/>
                <w:sz w:val="24"/>
              </w:rPr>
            </w:pPr>
            <w:r>
              <w:rPr>
                <w:rFonts w:ascii="仿宋" w:eastAsia="仿宋" w:hAnsi="仿宋" w:hint="eastAsia"/>
                <w:sz w:val="24"/>
              </w:rPr>
              <w:t>62.99</w:t>
            </w:r>
          </w:p>
        </w:tc>
        <w:tc>
          <w:tcPr>
            <w:tcW w:w="689" w:type="pct"/>
            <w:tcBorders>
              <w:top w:val="single" w:sz="4" w:space="0" w:color="auto"/>
              <w:left w:val="nil"/>
              <w:bottom w:val="single" w:sz="4" w:space="0" w:color="auto"/>
              <w:right w:val="single" w:sz="4" w:space="0" w:color="auto"/>
            </w:tcBorders>
            <w:noWrap/>
            <w:vAlign w:val="center"/>
          </w:tcPr>
          <w:p w:rsidR="00C27119" w:rsidRPr="00D8048A" w:rsidRDefault="00B95B62">
            <w:pPr>
              <w:jc w:val="center"/>
              <w:rPr>
                <w:rFonts w:ascii="仿宋" w:eastAsia="仿宋" w:hAnsi="仿宋"/>
                <w:sz w:val="24"/>
              </w:rPr>
            </w:pPr>
            <w:r>
              <w:rPr>
                <w:rFonts w:ascii="仿宋" w:eastAsia="仿宋" w:hAnsi="仿宋" w:hint="eastAsia"/>
                <w:sz w:val="24"/>
              </w:rPr>
              <w:t>2735.59</w:t>
            </w:r>
          </w:p>
        </w:tc>
      </w:tr>
    </w:tbl>
    <w:p w:rsidR="00C27119" w:rsidRDefault="00FB7618">
      <w:pPr>
        <w:adjustRightInd w:val="0"/>
        <w:spacing w:line="600" w:lineRule="exact"/>
        <w:ind w:firstLine="670"/>
        <w:rPr>
          <w:rFonts w:ascii="仿宋_GB2312" w:eastAsia="仿宋_GB2312" w:hAnsi="宋体"/>
          <w:spacing w:val="4"/>
          <w:kern w:val="0"/>
          <w:sz w:val="32"/>
          <w:szCs w:val="32"/>
        </w:rPr>
      </w:pPr>
      <w:r w:rsidRPr="005F2161">
        <w:rPr>
          <w:rFonts w:ascii="仿宋_GB2312" w:eastAsia="仿宋_GB2312" w:hint="eastAsia"/>
          <w:sz w:val="32"/>
          <w:szCs w:val="32"/>
        </w:rPr>
        <w:t>2022</w:t>
      </w:r>
      <w:r w:rsidR="00C27119" w:rsidRPr="005F2161">
        <w:rPr>
          <w:rFonts w:ascii="仿宋_GB2312" w:eastAsia="仿宋_GB2312" w:hint="eastAsia"/>
          <w:sz w:val="32"/>
          <w:szCs w:val="32"/>
        </w:rPr>
        <w:t>年度</w:t>
      </w:r>
      <w:r w:rsidR="00C27119">
        <w:rPr>
          <w:rFonts w:ascii="仿宋_GB2312" w:eastAsia="仿宋_GB2312" w:hint="eastAsia"/>
          <w:sz w:val="32"/>
          <w:szCs w:val="32"/>
        </w:rPr>
        <w:t>全市公务员医疗补助和大额医疗保险基金当期结</w:t>
      </w:r>
      <w:r w:rsidR="00C27119">
        <w:rPr>
          <w:rFonts w:ascii="仿宋_GB2312" w:eastAsia="仿宋_GB2312" w:hint="eastAsia"/>
          <w:sz w:val="32"/>
          <w:szCs w:val="32"/>
        </w:rPr>
        <w:lastRenderedPageBreak/>
        <w:t>余率分别为19.88和16.2%，结余率较高主要原因为</w:t>
      </w:r>
      <w:r w:rsidR="00C27119">
        <w:rPr>
          <w:rFonts w:ascii="仿宋_GB2312" w:eastAsia="仿宋_GB2312" w:hAnsi="宋体" w:hint="eastAsia"/>
          <w:spacing w:val="4"/>
          <w:kern w:val="0"/>
          <w:sz w:val="32"/>
          <w:szCs w:val="32"/>
        </w:rPr>
        <w:t>国家医保信息平台9月正式上线。系统上线需要大量前期准备工作，由于全省统一上线，数据量较大，造成部分功能在2021年不能正常使用，部分医疗费用在2022年予以结算。</w:t>
      </w:r>
    </w:p>
    <w:p w:rsidR="00C27119" w:rsidRDefault="00FE398B">
      <w:pPr>
        <w:ind w:firstLineChars="200" w:firstLine="640"/>
        <w:rPr>
          <w:rFonts w:ascii="仿宋_GB2312" w:eastAsia="仿宋_GB2312"/>
          <w:sz w:val="32"/>
          <w:szCs w:val="32"/>
        </w:rPr>
      </w:pPr>
      <w:r>
        <w:rPr>
          <w:rFonts w:ascii="仿宋_GB2312" w:eastAsia="仿宋_GB2312" w:hint="eastAsia"/>
          <w:sz w:val="32"/>
          <w:szCs w:val="32"/>
        </w:rPr>
        <w:t>2022</w:t>
      </w:r>
      <w:r w:rsidR="00C27119">
        <w:rPr>
          <w:rFonts w:ascii="仿宋_GB2312" w:eastAsia="仿宋_GB2312" w:hint="eastAsia"/>
          <w:sz w:val="32"/>
          <w:szCs w:val="32"/>
        </w:rPr>
        <w:t>年度离休干部和伤残人员医疗保障基金历年累计结</w:t>
      </w:r>
      <w:r w:rsidR="00C27119" w:rsidRPr="005F2161">
        <w:rPr>
          <w:rFonts w:ascii="仿宋_GB2312" w:eastAsia="仿宋_GB2312" w:hint="eastAsia"/>
          <w:sz w:val="32"/>
          <w:szCs w:val="32"/>
        </w:rPr>
        <w:t>余</w:t>
      </w:r>
      <w:r w:rsidR="00294476" w:rsidRPr="005F2161">
        <w:rPr>
          <w:rFonts w:ascii="仿宋_GB2312" w:eastAsia="仿宋_GB2312" w:hint="eastAsia"/>
          <w:sz w:val="32"/>
          <w:szCs w:val="32"/>
        </w:rPr>
        <w:t>0.27</w:t>
      </w:r>
      <w:r w:rsidR="00C27119" w:rsidRPr="005F2161">
        <w:rPr>
          <w:rFonts w:ascii="仿宋_GB2312" w:eastAsia="仿宋_GB2312" w:hint="eastAsia"/>
          <w:sz w:val="32"/>
          <w:szCs w:val="32"/>
        </w:rPr>
        <w:t>亿元，目</w:t>
      </w:r>
      <w:r w:rsidR="00C27119">
        <w:rPr>
          <w:rFonts w:ascii="仿宋_GB2312" w:eastAsia="仿宋_GB2312" w:hint="eastAsia"/>
          <w:sz w:val="32"/>
          <w:szCs w:val="32"/>
        </w:rPr>
        <w:t>前虽有余额，但仍然存在财政补助未及时到位的情况。</w:t>
      </w:r>
    </w:p>
    <w:p w:rsidR="00C27119" w:rsidRDefault="00C27119">
      <w:pPr>
        <w:ind w:firstLineChars="200" w:firstLine="643"/>
        <w:rPr>
          <w:rFonts w:ascii="黑体" w:eastAsia="黑体" w:hAnsi="黑体"/>
          <w:b/>
          <w:sz w:val="32"/>
          <w:szCs w:val="32"/>
        </w:rPr>
      </w:pPr>
      <w:r>
        <w:rPr>
          <w:rFonts w:ascii="黑体" w:eastAsia="黑体" w:hAnsi="黑体" w:hint="eastAsia"/>
          <w:b/>
          <w:sz w:val="32"/>
          <w:szCs w:val="32"/>
        </w:rPr>
        <w:t>四、基金运行情况</w:t>
      </w:r>
    </w:p>
    <w:p w:rsidR="00DE6C60" w:rsidRPr="005536EC" w:rsidRDefault="00DE6C60" w:rsidP="00F31A6E">
      <w:pPr>
        <w:spacing w:line="560" w:lineRule="exact"/>
        <w:ind w:firstLineChars="200" w:firstLine="643"/>
        <w:rPr>
          <w:rFonts w:eastAsia="仿宋_GB2312"/>
          <w:sz w:val="32"/>
          <w:szCs w:val="32"/>
        </w:rPr>
      </w:pPr>
      <w:r w:rsidRPr="005536EC">
        <w:rPr>
          <w:rFonts w:eastAsia="楷体_GB2312"/>
          <w:b/>
          <w:bCs/>
          <w:sz w:val="32"/>
          <w:szCs w:val="32"/>
        </w:rPr>
        <w:t>一、聚焦服务大局</w:t>
      </w:r>
      <w:r w:rsidRPr="005536EC">
        <w:rPr>
          <w:rFonts w:eastAsia="楷体_GB2312"/>
          <w:b/>
          <w:bCs/>
          <w:sz w:val="32"/>
          <w:szCs w:val="32"/>
        </w:rPr>
        <w:t>“</w:t>
      </w:r>
      <w:r w:rsidRPr="005536EC">
        <w:rPr>
          <w:rFonts w:eastAsia="楷体_GB2312"/>
          <w:b/>
          <w:bCs/>
          <w:sz w:val="32"/>
          <w:szCs w:val="32"/>
        </w:rPr>
        <w:t>显担当</w:t>
      </w:r>
      <w:r w:rsidRPr="005536EC">
        <w:rPr>
          <w:rFonts w:eastAsia="楷体_GB2312"/>
          <w:b/>
          <w:bCs/>
          <w:sz w:val="32"/>
          <w:szCs w:val="32"/>
        </w:rPr>
        <w:t>”</w:t>
      </w:r>
      <w:r w:rsidRPr="005536EC">
        <w:rPr>
          <w:rFonts w:eastAsia="楷体_GB2312"/>
          <w:b/>
          <w:bCs/>
          <w:sz w:val="32"/>
          <w:szCs w:val="32"/>
        </w:rPr>
        <w:t>，充分发挥了医疗保障作用。</w:t>
      </w:r>
      <w:r w:rsidRPr="005536EC">
        <w:rPr>
          <w:rFonts w:eastAsia="仿宋_GB2312"/>
          <w:b/>
          <w:bCs/>
          <w:sz w:val="32"/>
          <w:szCs w:val="32"/>
        </w:rPr>
        <w:t>一是抗击疫情凸显担当。</w:t>
      </w:r>
      <w:r w:rsidRPr="005536EC">
        <w:rPr>
          <w:rFonts w:eastAsia="仿宋_GB2312"/>
          <w:sz w:val="32"/>
          <w:szCs w:val="32"/>
        </w:rPr>
        <w:t>全面做好新冠病毒疫苗及接种费用保障工作，今年</w:t>
      </w:r>
      <w:r w:rsidRPr="005536EC">
        <w:rPr>
          <w:rFonts w:eastAsia="仿宋_GB2312"/>
          <w:sz w:val="32"/>
          <w:szCs w:val="32"/>
        </w:rPr>
        <w:t>1-</w:t>
      </w:r>
      <w:r w:rsidRPr="005536EC">
        <w:rPr>
          <w:rFonts w:eastAsia="仿宋_GB2312" w:hint="eastAsia"/>
          <w:sz w:val="32"/>
          <w:szCs w:val="32"/>
        </w:rPr>
        <w:t>9</w:t>
      </w:r>
      <w:r w:rsidRPr="005536EC">
        <w:rPr>
          <w:rFonts w:eastAsia="仿宋_GB2312"/>
          <w:sz w:val="32"/>
          <w:szCs w:val="32"/>
        </w:rPr>
        <w:t>月，全市累计接种新冠疫苗</w:t>
      </w:r>
      <w:r w:rsidRPr="005536EC">
        <w:rPr>
          <w:rFonts w:eastAsia="仿宋_GB2312"/>
          <w:sz w:val="32"/>
          <w:szCs w:val="32"/>
        </w:rPr>
        <w:t>171.42</w:t>
      </w:r>
      <w:r w:rsidRPr="005536EC">
        <w:rPr>
          <w:rFonts w:eastAsia="仿宋_GB2312"/>
          <w:sz w:val="32"/>
          <w:szCs w:val="32"/>
        </w:rPr>
        <w:t>万人次，医保基金已拨付苗费及接种费</w:t>
      </w:r>
      <w:r w:rsidRPr="005536EC">
        <w:rPr>
          <w:rFonts w:eastAsia="仿宋_GB2312" w:hint="eastAsia"/>
          <w:sz w:val="32"/>
          <w:szCs w:val="32"/>
        </w:rPr>
        <w:t>4359.92</w:t>
      </w:r>
      <w:r w:rsidRPr="005536EC">
        <w:rPr>
          <w:rFonts w:eastAsia="仿宋_GB2312"/>
          <w:sz w:val="32"/>
          <w:szCs w:val="32"/>
        </w:rPr>
        <w:t>万元，确保老百姓接种新冠疫苗</w:t>
      </w:r>
      <w:r w:rsidRPr="005536EC">
        <w:rPr>
          <w:rFonts w:eastAsia="仿宋_GB2312"/>
          <w:sz w:val="32"/>
          <w:szCs w:val="32"/>
        </w:rPr>
        <w:t>“</w:t>
      </w:r>
      <w:r w:rsidRPr="005536EC">
        <w:rPr>
          <w:rFonts w:eastAsia="仿宋_GB2312"/>
          <w:sz w:val="32"/>
          <w:szCs w:val="32"/>
        </w:rPr>
        <w:t>全免费</w:t>
      </w:r>
      <w:r w:rsidRPr="005536EC">
        <w:rPr>
          <w:rFonts w:eastAsia="仿宋_GB2312"/>
          <w:sz w:val="32"/>
          <w:szCs w:val="32"/>
        </w:rPr>
        <w:t>”</w:t>
      </w:r>
      <w:r w:rsidRPr="005536EC">
        <w:rPr>
          <w:rFonts w:eastAsia="仿宋_GB2312"/>
          <w:sz w:val="32"/>
          <w:szCs w:val="32"/>
        </w:rPr>
        <w:t>。全省率先出台《关于医疗保障应对目前新冠疫情支持社会经济和企业发展的若干措施》，在</w:t>
      </w:r>
      <w:r w:rsidRPr="005536EC">
        <w:rPr>
          <w:rFonts w:eastAsia="仿宋_GB2312"/>
          <w:sz w:val="32"/>
          <w:szCs w:val="32"/>
        </w:rPr>
        <w:t>“</w:t>
      </w:r>
      <w:r w:rsidRPr="005536EC">
        <w:rPr>
          <w:rFonts w:eastAsia="仿宋_GB2312"/>
          <w:sz w:val="32"/>
          <w:szCs w:val="32"/>
        </w:rPr>
        <w:t>万名干部联万企</w:t>
      </w:r>
      <w:r w:rsidRPr="005536EC">
        <w:rPr>
          <w:rFonts w:eastAsia="仿宋_GB2312"/>
          <w:sz w:val="32"/>
          <w:szCs w:val="32"/>
        </w:rPr>
        <w:t>”</w:t>
      </w:r>
      <w:r w:rsidRPr="005536EC">
        <w:rPr>
          <w:rFonts w:eastAsia="仿宋_GB2312"/>
          <w:sz w:val="32"/>
          <w:szCs w:val="32"/>
        </w:rPr>
        <w:t>行动中，与联点企业株洲钻石人力资源公司一起连线接受毛伟明省长的关怀和慰问并获充分肯定，</w:t>
      </w:r>
      <w:r w:rsidRPr="005536EC">
        <w:rPr>
          <w:rFonts w:eastAsia="仿宋_GB2312"/>
          <w:sz w:val="32"/>
          <w:szCs w:val="32"/>
        </w:rPr>
        <w:t>2022</w:t>
      </w:r>
      <w:r w:rsidRPr="005536EC">
        <w:rPr>
          <w:rFonts w:eastAsia="仿宋_GB2312"/>
          <w:sz w:val="32"/>
          <w:szCs w:val="32"/>
        </w:rPr>
        <w:t>年疫情期间实行</w:t>
      </w:r>
      <w:r w:rsidRPr="005536EC">
        <w:rPr>
          <w:rFonts w:eastAsia="仿宋_GB2312"/>
          <w:sz w:val="32"/>
          <w:szCs w:val="32"/>
        </w:rPr>
        <w:t>“</w:t>
      </w:r>
      <w:r w:rsidRPr="005536EC">
        <w:rPr>
          <w:rFonts w:eastAsia="仿宋_GB2312"/>
          <w:sz w:val="32"/>
          <w:szCs w:val="32"/>
        </w:rPr>
        <w:t>半年缓征医保费</w:t>
      </w:r>
      <w:r w:rsidRPr="005536EC">
        <w:rPr>
          <w:rFonts w:eastAsia="仿宋_GB2312"/>
          <w:sz w:val="32"/>
          <w:szCs w:val="32"/>
        </w:rPr>
        <w:t>”</w:t>
      </w:r>
      <w:r w:rsidRPr="005536EC">
        <w:rPr>
          <w:rFonts w:eastAsia="仿宋_GB2312"/>
          <w:sz w:val="32"/>
          <w:szCs w:val="32"/>
        </w:rPr>
        <w:t>惠企政策，盘活该企业资金</w:t>
      </w:r>
      <w:r w:rsidRPr="005536EC">
        <w:rPr>
          <w:rFonts w:eastAsia="仿宋_GB2312"/>
          <w:sz w:val="32"/>
          <w:szCs w:val="32"/>
        </w:rPr>
        <w:t>1000</w:t>
      </w:r>
      <w:r w:rsidRPr="005536EC">
        <w:rPr>
          <w:rFonts w:eastAsia="仿宋_GB2312"/>
          <w:sz w:val="32"/>
          <w:szCs w:val="32"/>
        </w:rPr>
        <w:t>多万元，并与其他部门联动为该企业解决贷款</w:t>
      </w:r>
      <w:r w:rsidRPr="005536EC">
        <w:rPr>
          <w:rFonts w:eastAsia="仿宋_GB2312"/>
          <w:sz w:val="32"/>
          <w:szCs w:val="32"/>
        </w:rPr>
        <w:t>600</w:t>
      </w:r>
      <w:r w:rsidRPr="005536EC">
        <w:rPr>
          <w:rFonts w:eastAsia="仿宋_GB2312"/>
          <w:sz w:val="32"/>
          <w:szCs w:val="32"/>
        </w:rPr>
        <w:t>多万元。</w:t>
      </w:r>
      <w:r w:rsidRPr="005536EC">
        <w:rPr>
          <w:rFonts w:eastAsia="仿宋_GB2312"/>
          <w:b/>
          <w:bCs/>
          <w:sz w:val="32"/>
          <w:szCs w:val="32"/>
        </w:rPr>
        <w:t>二是乡村振兴精准助力。</w:t>
      </w:r>
      <w:r w:rsidRPr="005536EC">
        <w:rPr>
          <w:rFonts w:eastAsia="仿宋_GB2312"/>
          <w:sz w:val="32"/>
          <w:szCs w:val="32"/>
        </w:rPr>
        <w:t>株洲市医保局获评全市</w:t>
      </w:r>
      <w:r w:rsidRPr="005536EC">
        <w:rPr>
          <w:rFonts w:eastAsia="仿宋_GB2312"/>
          <w:sz w:val="32"/>
          <w:szCs w:val="32"/>
        </w:rPr>
        <w:t>“</w:t>
      </w:r>
      <w:r w:rsidRPr="005536EC">
        <w:rPr>
          <w:rFonts w:eastAsia="仿宋_GB2312"/>
          <w:sz w:val="32"/>
          <w:szCs w:val="32"/>
        </w:rPr>
        <w:t>实施乡村振兴战略先进单位</w:t>
      </w:r>
      <w:r w:rsidRPr="005536EC">
        <w:rPr>
          <w:rFonts w:eastAsia="仿宋_GB2312"/>
          <w:sz w:val="32"/>
          <w:szCs w:val="32"/>
        </w:rPr>
        <w:t>”</w:t>
      </w:r>
      <w:r w:rsidRPr="005536EC">
        <w:rPr>
          <w:rFonts w:eastAsia="仿宋_GB2312"/>
          <w:sz w:val="32"/>
          <w:szCs w:val="32"/>
        </w:rPr>
        <w:t>，工作经验被省医保局推荐到国家医保局，全省只有两个市州。</w:t>
      </w:r>
      <w:r w:rsidRPr="005536EC">
        <w:rPr>
          <w:rFonts w:eastAsia="仿宋_GB2312"/>
          <w:kern w:val="0"/>
          <w:sz w:val="31"/>
          <w:szCs w:val="31"/>
        </w:rPr>
        <w:t>建立健全市、县医保部门与同级税务、民政、乡村振兴、残联部门信息比对机制，重点做好监测对象等困难群众、稳定脱贫人口参保缴费动员工作，实现应保尽保、应缴尽缴。</w:t>
      </w:r>
      <w:r w:rsidRPr="005536EC">
        <w:rPr>
          <w:rStyle w:val="NormalCharacter"/>
          <w:rFonts w:eastAsia="仿宋_GB2312" w:hint="eastAsia"/>
          <w:sz w:val="32"/>
          <w:szCs w:val="32"/>
        </w:rPr>
        <w:t>截至</w:t>
      </w:r>
      <w:r w:rsidRPr="005536EC">
        <w:rPr>
          <w:rStyle w:val="NormalCharacter"/>
          <w:rFonts w:eastAsia="仿宋_GB2312" w:hint="eastAsia"/>
          <w:sz w:val="32"/>
          <w:szCs w:val="32"/>
        </w:rPr>
        <w:t>11</w:t>
      </w:r>
      <w:r w:rsidRPr="005536EC">
        <w:rPr>
          <w:rStyle w:val="NormalCharacter"/>
          <w:rFonts w:eastAsia="仿宋_GB2312" w:hint="eastAsia"/>
          <w:sz w:val="32"/>
          <w:szCs w:val="32"/>
        </w:rPr>
        <w:t>月底，全市</w:t>
      </w:r>
      <w:r w:rsidRPr="005536EC">
        <w:rPr>
          <w:rStyle w:val="NormalCharacter"/>
          <w:rFonts w:eastAsia="仿宋_GB2312" w:hint="eastAsia"/>
          <w:sz w:val="32"/>
          <w:szCs w:val="32"/>
        </w:rPr>
        <w:t>33.49</w:t>
      </w:r>
      <w:r w:rsidRPr="005536EC">
        <w:rPr>
          <w:rStyle w:val="NormalCharacter"/>
          <w:rFonts w:eastAsia="仿宋_GB2312" w:hint="eastAsia"/>
          <w:sz w:val="32"/>
          <w:szCs w:val="32"/>
        </w:rPr>
        <w:t>万困难群众全部纳入基本医疗保障范围，参保率达</w:t>
      </w:r>
      <w:r w:rsidRPr="005536EC">
        <w:rPr>
          <w:rStyle w:val="NormalCharacter"/>
          <w:rFonts w:eastAsia="仿宋_GB2312" w:hint="eastAsia"/>
          <w:sz w:val="32"/>
          <w:szCs w:val="32"/>
        </w:rPr>
        <w:t>100%</w:t>
      </w:r>
      <w:r w:rsidRPr="005536EC">
        <w:rPr>
          <w:rStyle w:val="NormalCharacter"/>
          <w:rFonts w:eastAsia="仿宋_GB2312" w:hint="eastAsia"/>
          <w:sz w:val="32"/>
          <w:szCs w:val="32"/>
        </w:rPr>
        <w:t>。将困</w:t>
      </w:r>
      <w:r w:rsidRPr="005536EC">
        <w:rPr>
          <w:rStyle w:val="NormalCharacter"/>
          <w:rFonts w:eastAsia="仿宋_GB2312" w:hint="eastAsia"/>
          <w:sz w:val="32"/>
          <w:szCs w:val="32"/>
        </w:rPr>
        <w:lastRenderedPageBreak/>
        <w:t>难群众全部纳入基本医保、大病保险和医疗救助三重制度保障范围，市域内实现“一站式”结算，大幅减轻困难群众就医负担，为困难家庭撑起健康“保护伞”。截至</w:t>
      </w:r>
      <w:r w:rsidRPr="005536EC">
        <w:rPr>
          <w:rStyle w:val="NormalCharacter"/>
          <w:rFonts w:eastAsia="仿宋_GB2312" w:hint="eastAsia"/>
          <w:sz w:val="32"/>
          <w:szCs w:val="32"/>
        </w:rPr>
        <w:t>11</w:t>
      </w:r>
      <w:r w:rsidRPr="005536EC">
        <w:rPr>
          <w:rStyle w:val="NormalCharacter"/>
          <w:rFonts w:eastAsia="仿宋_GB2312" w:hint="eastAsia"/>
          <w:sz w:val="32"/>
          <w:szCs w:val="32"/>
        </w:rPr>
        <w:t>月</w:t>
      </w:r>
      <w:r w:rsidRPr="005536EC">
        <w:rPr>
          <w:rStyle w:val="NormalCharacter"/>
          <w:rFonts w:eastAsia="仿宋_GB2312" w:hint="eastAsia"/>
          <w:sz w:val="32"/>
          <w:szCs w:val="32"/>
        </w:rPr>
        <w:t>30</w:t>
      </w:r>
      <w:r w:rsidRPr="005536EC">
        <w:rPr>
          <w:rStyle w:val="NormalCharacter"/>
          <w:rFonts w:eastAsia="仿宋_GB2312" w:hint="eastAsia"/>
          <w:sz w:val="32"/>
          <w:szCs w:val="32"/>
        </w:rPr>
        <w:t>日，医疗救助资金资助参保人数为</w:t>
      </w:r>
      <w:r w:rsidRPr="005536EC">
        <w:rPr>
          <w:rStyle w:val="NormalCharacter"/>
          <w:rFonts w:eastAsia="仿宋_GB2312" w:hint="eastAsia"/>
          <w:sz w:val="32"/>
          <w:szCs w:val="32"/>
        </w:rPr>
        <w:t>15.63</w:t>
      </w:r>
      <w:r w:rsidRPr="005536EC">
        <w:rPr>
          <w:rStyle w:val="NormalCharacter"/>
          <w:rFonts w:eastAsia="仿宋_GB2312" w:hint="eastAsia"/>
          <w:sz w:val="32"/>
          <w:szCs w:val="32"/>
        </w:rPr>
        <w:t>万人，资助金额达</w:t>
      </w:r>
      <w:r w:rsidRPr="005536EC">
        <w:rPr>
          <w:rStyle w:val="NormalCharacter"/>
          <w:rFonts w:eastAsia="仿宋_GB2312" w:hint="eastAsia"/>
          <w:sz w:val="32"/>
          <w:szCs w:val="32"/>
        </w:rPr>
        <w:t>3588.74</w:t>
      </w:r>
      <w:r w:rsidRPr="005536EC">
        <w:rPr>
          <w:rStyle w:val="NormalCharacter"/>
          <w:rFonts w:eastAsia="仿宋_GB2312" w:hint="eastAsia"/>
          <w:sz w:val="32"/>
          <w:szCs w:val="32"/>
        </w:rPr>
        <w:t>万元，医疗救助人数为</w:t>
      </w:r>
      <w:r w:rsidRPr="005536EC">
        <w:rPr>
          <w:rStyle w:val="NormalCharacter"/>
          <w:rFonts w:eastAsia="仿宋_GB2312" w:hint="eastAsia"/>
          <w:sz w:val="32"/>
          <w:szCs w:val="32"/>
        </w:rPr>
        <w:t>4.53</w:t>
      </w:r>
      <w:r w:rsidRPr="005536EC">
        <w:rPr>
          <w:rStyle w:val="NormalCharacter"/>
          <w:rFonts w:eastAsia="仿宋_GB2312" w:hint="eastAsia"/>
          <w:sz w:val="32"/>
          <w:szCs w:val="32"/>
        </w:rPr>
        <w:t>万人次，救助金额</w:t>
      </w:r>
      <w:r w:rsidRPr="005536EC">
        <w:rPr>
          <w:rStyle w:val="NormalCharacter"/>
          <w:rFonts w:eastAsia="仿宋_GB2312" w:hint="eastAsia"/>
          <w:sz w:val="32"/>
          <w:szCs w:val="32"/>
        </w:rPr>
        <w:t>1.46</w:t>
      </w:r>
      <w:r w:rsidRPr="005536EC">
        <w:rPr>
          <w:rStyle w:val="NormalCharacter"/>
          <w:rFonts w:eastAsia="仿宋_GB2312" w:hint="eastAsia"/>
          <w:sz w:val="32"/>
          <w:szCs w:val="32"/>
        </w:rPr>
        <w:t>亿元。</w:t>
      </w:r>
      <w:r w:rsidRPr="005536EC">
        <w:rPr>
          <w:rFonts w:eastAsia="仿宋_GB2312"/>
          <w:b/>
          <w:bCs/>
          <w:sz w:val="32"/>
          <w:szCs w:val="32"/>
        </w:rPr>
        <w:t>三是区域合作提质增效。</w:t>
      </w:r>
      <w:r w:rsidRPr="005536EC">
        <w:rPr>
          <w:rFonts w:eastAsia="仿宋_GB2312"/>
          <w:sz w:val="32"/>
          <w:szCs w:val="32"/>
        </w:rPr>
        <w:t>在湘赣边区域合作示范区建设推进大会上，株洲市医保局与长沙市、湘潭市、萍乡市、吉安市、宜春市医保局共同签署唯一一个由市直机关签订的利民便民惠民协议</w:t>
      </w:r>
      <w:r w:rsidRPr="005536EC">
        <w:rPr>
          <w:rFonts w:eastAsia="仿宋_GB2312"/>
          <w:sz w:val="32"/>
          <w:szCs w:val="32"/>
        </w:rPr>
        <w:t>——</w:t>
      </w:r>
      <w:r w:rsidRPr="005536EC">
        <w:rPr>
          <w:rFonts w:eastAsia="仿宋_GB2312"/>
          <w:sz w:val="32"/>
          <w:szCs w:val="32"/>
        </w:rPr>
        <w:t>《湘赣六地市医疗保障部门合作备忘录》，并获湖南省委张庆伟书记勉励，推进医保服务</w:t>
      </w:r>
      <w:r w:rsidRPr="005536EC">
        <w:rPr>
          <w:rFonts w:eastAsia="仿宋_GB2312"/>
          <w:sz w:val="32"/>
          <w:szCs w:val="32"/>
        </w:rPr>
        <w:t>“</w:t>
      </w:r>
      <w:r w:rsidRPr="005536EC">
        <w:rPr>
          <w:rFonts w:eastAsia="仿宋_GB2312"/>
          <w:sz w:val="32"/>
          <w:szCs w:val="32"/>
        </w:rPr>
        <w:t>跨省通</w:t>
      </w:r>
      <w:r w:rsidRPr="005536EC">
        <w:rPr>
          <w:rFonts w:eastAsia="仿宋_GB2312"/>
          <w:sz w:val="32"/>
          <w:szCs w:val="32"/>
        </w:rPr>
        <w:t>”</w:t>
      </w:r>
      <w:r w:rsidRPr="005536EC">
        <w:rPr>
          <w:rFonts w:eastAsia="仿宋_GB2312"/>
          <w:sz w:val="32"/>
          <w:szCs w:val="32"/>
        </w:rPr>
        <w:t>。</w:t>
      </w:r>
      <w:r w:rsidRPr="00425476">
        <w:rPr>
          <w:rStyle w:val="NormalCharacter"/>
          <w:rFonts w:eastAsia="仿宋_GB2312"/>
          <w:sz w:val="32"/>
          <w:szCs w:val="32"/>
        </w:rPr>
        <w:t>株洲市为全省第一批开通门诊慢特病治疗费用跨省异地就医直接结算的地市，也是湘赣边区域第一个开通的城市。</w:t>
      </w:r>
      <w:r w:rsidRPr="00425476">
        <w:rPr>
          <w:rStyle w:val="NormalCharacter"/>
          <w:rFonts w:eastAsia="仿宋_GB2312"/>
          <w:sz w:val="32"/>
          <w:szCs w:val="32"/>
        </w:rPr>
        <w:t>10</w:t>
      </w:r>
      <w:r w:rsidRPr="00425476">
        <w:rPr>
          <w:rStyle w:val="NormalCharacter"/>
          <w:rFonts w:eastAsia="仿宋_GB2312"/>
          <w:sz w:val="32"/>
          <w:szCs w:val="32"/>
        </w:rPr>
        <w:t>月</w:t>
      </w:r>
      <w:r w:rsidRPr="00425476">
        <w:rPr>
          <w:rStyle w:val="NormalCharacter"/>
          <w:rFonts w:eastAsia="仿宋_GB2312"/>
          <w:sz w:val="32"/>
          <w:szCs w:val="32"/>
        </w:rPr>
        <w:t>1</w:t>
      </w:r>
      <w:r w:rsidRPr="00425476">
        <w:rPr>
          <w:rStyle w:val="NormalCharacter"/>
          <w:rFonts w:eastAsia="仿宋_GB2312"/>
          <w:sz w:val="32"/>
          <w:szCs w:val="32"/>
        </w:rPr>
        <w:t>日起，株洲市与长沙市、湘潭市以及江西省宜春市、吉安市、萍乡市实现了湘赣边区域内六地市定点药店医保购药直接结算的一体化，参保人</w:t>
      </w:r>
      <w:r w:rsidRPr="005536EC">
        <w:rPr>
          <w:rFonts w:eastAsia="仿宋_GB2312"/>
          <w:sz w:val="32"/>
          <w:szCs w:val="32"/>
        </w:rPr>
        <w:t>员持社保卡或医保电子凭证，无需办理异地就医备案即可在六地市区域内的定点药店医保购药直接结算。</w:t>
      </w:r>
    </w:p>
    <w:p w:rsidR="00DE6C60" w:rsidRPr="005536EC" w:rsidRDefault="00DE6C60" w:rsidP="00F31A6E">
      <w:pPr>
        <w:spacing w:line="560" w:lineRule="exact"/>
        <w:ind w:firstLineChars="200" w:firstLine="643"/>
        <w:rPr>
          <w:rStyle w:val="NormalCharacter"/>
          <w:rFonts w:eastAsia="楷体_GB2312"/>
          <w:sz w:val="32"/>
          <w:szCs w:val="32"/>
        </w:rPr>
      </w:pPr>
      <w:r w:rsidRPr="005536EC">
        <w:rPr>
          <w:rFonts w:eastAsia="楷体_GB2312"/>
          <w:b/>
          <w:bCs/>
          <w:sz w:val="32"/>
          <w:szCs w:val="32"/>
        </w:rPr>
        <w:t>二、聚焦改革创新</w:t>
      </w:r>
      <w:r w:rsidRPr="005536EC">
        <w:rPr>
          <w:rFonts w:eastAsia="楷体_GB2312"/>
          <w:b/>
          <w:bCs/>
          <w:sz w:val="32"/>
          <w:szCs w:val="32"/>
        </w:rPr>
        <w:t>“</w:t>
      </w:r>
      <w:r w:rsidRPr="005536EC">
        <w:rPr>
          <w:rFonts w:eastAsia="楷体_GB2312"/>
          <w:b/>
          <w:bCs/>
          <w:sz w:val="32"/>
          <w:szCs w:val="32"/>
        </w:rPr>
        <w:t>促发展</w:t>
      </w:r>
      <w:r w:rsidRPr="005536EC">
        <w:rPr>
          <w:rFonts w:eastAsia="楷体_GB2312"/>
          <w:b/>
          <w:bCs/>
          <w:sz w:val="32"/>
          <w:szCs w:val="32"/>
        </w:rPr>
        <w:t>”</w:t>
      </w:r>
      <w:r w:rsidRPr="005536EC">
        <w:rPr>
          <w:rFonts w:eastAsia="楷体_GB2312"/>
          <w:b/>
          <w:bCs/>
          <w:sz w:val="32"/>
          <w:szCs w:val="32"/>
        </w:rPr>
        <w:t>，持续释放了医疗保障红利。</w:t>
      </w:r>
      <w:r w:rsidRPr="005536EC">
        <w:rPr>
          <w:rFonts w:eastAsia="仿宋_GB2312"/>
          <w:b/>
          <w:bCs/>
          <w:sz w:val="32"/>
          <w:szCs w:val="32"/>
        </w:rPr>
        <w:t>一是全国唯一医药和耗材集采地级市升级为</w:t>
      </w:r>
      <w:r w:rsidRPr="005536EC">
        <w:rPr>
          <w:rFonts w:eastAsia="仿宋_GB2312"/>
          <w:b/>
          <w:bCs/>
          <w:sz w:val="32"/>
          <w:szCs w:val="32"/>
        </w:rPr>
        <w:t>“</w:t>
      </w:r>
      <w:r w:rsidRPr="005536EC">
        <w:rPr>
          <w:rFonts w:eastAsia="仿宋_GB2312"/>
          <w:b/>
          <w:bCs/>
          <w:sz w:val="32"/>
          <w:szCs w:val="32"/>
        </w:rPr>
        <w:t>株洲市际联盟</w:t>
      </w:r>
      <w:r w:rsidRPr="005536EC">
        <w:rPr>
          <w:rFonts w:eastAsia="仿宋_GB2312"/>
          <w:b/>
          <w:bCs/>
          <w:sz w:val="32"/>
          <w:szCs w:val="32"/>
        </w:rPr>
        <w:t>”</w:t>
      </w:r>
      <w:r w:rsidRPr="005536EC">
        <w:rPr>
          <w:rFonts w:eastAsia="仿宋_GB2312"/>
          <w:b/>
          <w:bCs/>
          <w:sz w:val="32"/>
          <w:szCs w:val="32"/>
        </w:rPr>
        <w:t>。</w:t>
      </w:r>
      <w:r w:rsidRPr="005536EC">
        <w:rPr>
          <w:rFonts w:eastAsia="仿宋_GB2312"/>
          <w:sz w:val="32"/>
          <w:szCs w:val="32"/>
        </w:rPr>
        <w:t>今年</w:t>
      </w:r>
      <w:r w:rsidRPr="005536EC">
        <w:rPr>
          <w:rFonts w:eastAsia="仿宋_GB2312"/>
          <w:sz w:val="32"/>
          <w:szCs w:val="32"/>
        </w:rPr>
        <w:t>5</w:t>
      </w:r>
      <w:r w:rsidRPr="005536EC">
        <w:rPr>
          <w:rFonts w:eastAsia="仿宋_GB2312"/>
          <w:sz w:val="32"/>
          <w:szCs w:val="32"/>
        </w:rPr>
        <w:t>月经省医保局批复同意，株洲</w:t>
      </w:r>
      <w:r w:rsidRPr="005536EC">
        <w:rPr>
          <w:rFonts w:eastAsia="仿宋_GB2312"/>
          <w:sz w:val="32"/>
          <w:szCs w:val="32"/>
        </w:rPr>
        <w:t>“</w:t>
      </w:r>
      <w:r w:rsidRPr="005536EC">
        <w:rPr>
          <w:rFonts w:eastAsia="仿宋_GB2312"/>
          <w:sz w:val="32"/>
          <w:szCs w:val="32"/>
        </w:rPr>
        <w:t>八市联盟</w:t>
      </w:r>
      <w:r w:rsidRPr="005536EC">
        <w:rPr>
          <w:rFonts w:eastAsia="仿宋_GB2312"/>
          <w:sz w:val="32"/>
          <w:szCs w:val="32"/>
        </w:rPr>
        <w:t>”</w:t>
      </w:r>
      <w:r w:rsidRPr="005536EC">
        <w:rPr>
          <w:rFonts w:eastAsia="仿宋_GB2312"/>
          <w:sz w:val="32"/>
          <w:szCs w:val="32"/>
        </w:rPr>
        <w:t>医用耗材带量采购联盟升级为</w:t>
      </w:r>
      <w:r w:rsidRPr="005536EC">
        <w:rPr>
          <w:rFonts w:eastAsia="仿宋_GB2312"/>
          <w:sz w:val="32"/>
          <w:szCs w:val="32"/>
        </w:rPr>
        <w:t>“</w:t>
      </w:r>
      <w:r w:rsidRPr="005536EC">
        <w:rPr>
          <w:rFonts w:eastAsia="仿宋_GB2312"/>
          <w:sz w:val="32"/>
          <w:szCs w:val="32"/>
        </w:rPr>
        <w:t>株洲市际联盟</w:t>
      </w:r>
      <w:r w:rsidRPr="005536EC">
        <w:rPr>
          <w:rFonts w:eastAsia="仿宋_GB2312"/>
          <w:sz w:val="32"/>
          <w:szCs w:val="32"/>
        </w:rPr>
        <w:t>”</w:t>
      </w:r>
      <w:r w:rsidRPr="005536EC">
        <w:rPr>
          <w:rFonts w:eastAsia="仿宋_GB2312"/>
          <w:sz w:val="32"/>
          <w:szCs w:val="32"/>
        </w:rPr>
        <w:t>。</w:t>
      </w:r>
      <w:r w:rsidRPr="005536EC">
        <w:rPr>
          <w:rFonts w:eastAsia="仿宋_GB2312"/>
          <w:sz w:val="32"/>
          <w:szCs w:val="32"/>
        </w:rPr>
        <w:t>2022</w:t>
      </w:r>
      <w:r w:rsidRPr="005536EC">
        <w:rPr>
          <w:rFonts w:eastAsia="仿宋_GB2312"/>
          <w:sz w:val="32"/>
          <w:szCs w:val="32"/>
        </w:rPr>
        <w:t>年</w:t>
      </w:r>
      <w:r w:rsidRPr="005536EC">
        <w:rPr>
          <w:rFonts w:eastAsia="仿宋_GB2312"/>
          <w:sz w:val="32"/>
          <w:szCs w:val="32"/>
        </w:rPr>
        <w:t>1</w:t>
      </w:r>
      <w:r w:rsidRPr="005536EC">
        <w:rPr>
          <w:rFonts w:eastAsia="仿宋_GB2312"/>
          <w:sz w:val="32"/>
          <w:szCs w:val="32"/>
        </w:rPr>
        <w:t>月</w:t>
      </w:r>
      <w:r w:rsidRPr="005536EC">
        <w:rPr>
          <w:rFonts w:eastAsia="仿宋_GB2312"/>
          <w:sz w:val="32"/>
          <w:szCs w:val="32"/>
        </w:rPr>
        <w:t>1</w:t>
      </w:r>
      <w:r w:rsidRPr="005536EC">
        <w:rPr>
          <w:rFonts w:eastAsia="仿宋_GB2312"/>
          <w:sz w:val="32"/>
          <w:szCs w:val="32"/>
        </w:rPr>
        <w:t>日起执行的八市联盟医用耗材带量采购成效显著，</w:t>
      </w:r>
      <w:r w:rsidRPr="005536EC">
        <w:rPr>
          <w:rFonts w:eastAsia="仿宋_GB2312"/>
          <w:sz w:val="32"/>
          <w:szCs w:val="32"/>
        </w:rPr>
        <w:t>6</w:t>
      </w:r>
      <w:r w:rsidRPr="005536EC">
        <w:rPr>
          <w:rFonts w:eastAsia="仿宋_GB2312"/>
          <w:sz w:val="32"/>
          <w:szCs w:val="32"/>
        </w:rPr>
        <w:t>个产品</w:t>
      </w:r>
      <w:r w:rsidRPr="005536EC">
        <w:rPr>
          <w:rFonts w:eastAsia="仿宋_GB2312"/>
          <w:sz w:val="32"/>
          <w:szCs w:val="32"/>
        </w:rPr>
        <w:t>15</w:t>
      </w:r>
      <w:r w:rsidRPr="005536EC">
        <w:rPr>
          <w:rFonts w:eastAsia="仿宋_GB2312"/>
          <w:sz w:val="32"/>
          <w:szCs w:val="32"/>
        </w:rPr>
        <w:t>个型号低值医用耗材平均降幅</w:t>
      </w:r>
      <w:r w:rsidRPr="005536EC">
        <w:rPr>
          <w:rFonts w:eastAsia="仿宋_GB2312"/>
          <w:sz w:val="32"/>
          <w:szCs w:val="32"/>
        </w:rPr>
        <w:t>72.7%</w:t>
      </w:r>
      <w:r w:rsidRPr="005536EC">
        <w:rPr>
          <w:rFonts w:eastAsia="仿宋_GB2312"/>
          <w:sz w:val="32"/>
          <w:szCs w:val="32"/>
        </w:rPr>
        <w:t>，年均节约医用耗材采购费用</w:t>
      </w:r>
      <w:r w:rsidRPr="005536EC">
        <w:rPr>
          <w:rFonts w:eastAsia="仿宋_GB2312"/>
          <w:sz w:val="32"/>
          <w:szCs w:val="32"/>
        </w:rPr>
        <w:t>2.96</w:t>
      </w:r>
      <w:r w:rsidRPr="005536EC">
        <w:rPr>
          <w:rFonts w:eastAsia="仿宋_GB2312"/>
          <w:sz w:val="32"/>
          <w:szCs w:val="32"/>
        </w:rPr>
        <w:t>亿元，其中株洲可节约采购资金</w:t>
      </w:r>
      <w:r w:rsidRPr="005536EC">
        <w:rPr>
          <w:rFonts w:eastAsia="仿宋_GB2312"/>
          <w:sz w:val="32"/>
          <w:szCs w:val="32"/>
        </w:rPr>
        <w:t>3422</w:t>
      </w:r>
      <w:r w:rsidRPr="005536EC">
        <w:rPr>
          <w:rFonts w:eastAsia="仿宋_GB2312"/>
          <w:sz w:val="32"/>
          <w:szCs w:val="32"/>
        </w:rPr>
        <w:t>万元。因此次集采社会反响好，降价效果显著，《中国医疗保障年鉴》拟作为典型案例予以刊登。</w:t>
      </w:r>
      <w:r w:rsidRPr="005536EC">
        <w:rPr>
          <w:rFonts w:eastAsia="仿宋_GB2312"/>
          <w:sz w:val="32"/>
          <w:szCs w:val="32"/>
        </w:rPr>
        <w:lastRenderedPageBreak/>
        <w:t>组织医疗机构完成湖北中成药联盟集中带量采购约定量分配工作，完成国采集中带量采购药品续约和五市联盟药品带量采购续约。全面落实国家组织胰岛素专项集中带量采购和人工关节集中带量采购中选结果，按株洲市需求量静态测算，预计一年可分别节约费用</w:t>
      </w:r>
      <w:r w:rsidRPr="005536EC">
        <w:rPr>
          <w:rFonts w:eastAsia="仿宋_GB2312"/>
          <w:sz w:val="32"/>
          <w:szCs w:val="32"/>
        </w:rPr>
        <w:t>1239.3</w:t>
      </w:r>
      <w:r w:rsidRPr="005536EC">
        <w:rPr>
          <w:rFonts w:eastAsia="仿宋_GB2312"/>
          <w:sz w:val="32"/>
          <w:szCs w:val="32"/>
        </w:rPr>
        <w:t>万元和</w:t>
      </w:r>
      <w:r w:rsidRPr="005536EC">
        <w:rPr>
          <w:rFonts w:eastAsia="仿宋_GB2312"/>
          <w:sz w:val="32"/>
          <w:szCs w:val="32"/>
        </w:rPr>
        <w:t>3348</w:t>
      </w:r>
      <w:r w:rsidRPr="005536EC">
        <w:rPr>
          <w:rFonts w:eastAsia="仿宋_GB2312"/>
          <w:sz w:val="32"/>
          <w:szCs w:val="32"/>
        </w:rPr>
        <w:t>万元。全面执行十一省药物涂层球囊省际联盟采购中选结果，平均降幅</w:t>
      </w:r>
      <w:r w:rsidRPr="005536EC">
        <w:rPr>
          <w:rFonts w:eastAsia="仿宋_GB2312"/>
          <w:sz w:val="32"/>
          <w:szCs w:val="32"/>
        </w:rPr>
        <w:t>70%</w:t>
      </w:r>
      <w:r w:rsidRPr="005536EC">
        <w:rPr>
          <w:rFonts w:eastAsia="仿宋_GB2312"/>
          <w:sz w:val="32"/>
          <w:szCs w:val="32"/>
        </w:rPr>
        <w:t>，最高降幅</w:t>
      </w:r>
      <w:r w:rsidRPr="005536EC">
        <w:rPr>
          <w:rFonts w:eastAsia="仿宋_GB2312"/>
          <w:sz w:val="32"/>
          <w:szCs w:val="32"/>
        </w:rPr>
        <w:t>76.56%</w:t>
      </w:r>
      <w:r w:rsidRPr="005536EC">
        <w:rPr>
          <w:rFonts w:eastAsia="仿宋_GB2312"/>
          <w:sz w:val="32"/>
          <w:szCs w:val="32"/>
        </w:rPr>
        <w:t>。目前我市落地执行国家冠脉支架、人工关节、人工晶体等六大类高值耗材集采结果和国家、省级集采药品共</w:t>
      </w:r>
      <w:r w:rsidRPr="005536EC">
        <w:rPr>
          <w:rFonts w:eastAsia="仿宋_GB2312"/>
          <w:sz w:val="32"/>
          <w:szCs w:val="32"/>
        </w:rPr>
        <w:t>476</w:t>
      </w:r>
      <w:r w:rsidRPr="005536EC">
        <w:rPr>
          <w:rFonts w:eastAsia="仿宋_GB2312"/>
          <w:sz w:val="32"/>
          <w:szCs w:val="32"/>
        </w:rPr>
        <w:t>个，全市一年可节省采购资金约</w:t>
      </w:r>
      <w:r w:rsidRPr="005536EC">
        <w:rPr>
          <w:rFonts w:eastAsia="仿宋_GB2312"/>
          <w:sz w:val="32"/>
          <w:szCs w:val="32"/>
        </w:rPr>
        <w:t>8.03</w:t>
      </w:r>
      <w:r w:rsidRPr="005536EC">
        <w:rPr>
          <w:rFonts w:eastAsia="仿宋_GB2312"/>
          <w:sz w:val="32"/>
          <w:szCs w:val="32"/>
        </w:rPr>
        <w:t>亿元。由于成效显著</w:t>
      </w:r>
      <w:r w:rsidRPr="005536EC">
        <w:rPr>
          <w:rStyle w:val="NormalCharacter"/>
          <w:rFonts w:eastAsia="仿宋_GB2312"/>
          <w:sz w:val="32"/>
          <w:szCs w:val="32"/>
        </w:rPr>
        <w:t>，省医保局以《株洲：严格把关，让</w:t>
      </w:r>
      <w:r w:rsidRPr="005536EC">
        <w:rPr>
          <w:rStyle w:val="NormalCharacter"/>
          <w:rFonts w:eastAsia="仿宋_GB2312"/>
          <w:sz w:val="32"/>
          <w:szCs w:val="32"/>
        </w:rPr>
        <w:t>“</w:t>
      </w:r>
      <w:r w:rsidRPr="005536EC">
        <w:rPr>
          <w:rStyle w:val="NormalCharacter"/>
          <w:rFonts w:eastAsia="仿宋_GB2312"/>
          <w:sz w:val="32"/>
          <w:szCs w:val="32"/>
        </w:rPr>
        <w:t>清廉招采</w:t>
      </w:r>
      <w:r w:rsidRPr="005536EC">
        <w:rPr>
          <w:rStyle w:val="NormalCharacter"/>
          <w:rFonts w:eastAsia="仿宋_GB2312"/>
          <w:sz w:val="32"/>
          <w:szCs w:val="32"/>
        </w:rPr>
        <w:t>”</w:t>
      </w:r>
      <w:r w:rsidRPr="005536EC">
        <w:rPr>
          <w:rStyle w:val="NormalCharacter"/>
          <w:rFonts w:eastAsia="仿宋_GB2312"/>
          <w:sz w:val="32"/>
          <w:szCs w:val="32"/>
        </w:rPr>
        <w:t>成为</w:t>
      </w:r>
      <w:r w:rsidRPr="005536EC">
        <w:rPr>
          <w:rStyle w:val="NormalCharacter"/>
          <w:rFonts w:eastAsia="仿宋_GB2312"/>
          <w:sz w:val="32"/>
          <w:szCs w:val="32"/>
        </w:rPr>
        <w:t>“</w:t>
      </w:r>
      <w:r w:rsidRPr="005536EC">
        <w:rPr>
          <w:rStyle w:val="NormalCharacter"/>
          <w:rFonts w:eastAsia="仿宋_GB2312"/>
          <w:sz w:val="32"/>
          <w:szCs w:val="32"/>
        </w:rPr>
        <w:t>品牌</w:t>
      </w:r>
      <w:r w:rsidRPr="005536EC">
        <w:rPr>
          <w:rStyle w:val="NormalCharacter"/>
          <w:rFonts w:eastAsia="仿宋_GB2312"/>
          <w:sz w:val="32"/>
          <w:szCs w:val="32"/>
        </w:rPr>
        <w:t>”</w:t>
      </w:r>
      <w:r w:rsidRPr="005536EC">
        <w:rPr>
          <w:rStyle w:val="NormalCharacter"/>
          <w:rFonts w:eastAsia="仿宋_GB2312"/>
          <w:sz w:val="32"/>
          <w:szCs w:val="32"/>
        </w:rPr>
        <w:t>》为题，在《湖南日报》推广株洲市清廉医药招采工作经验；株洲市纪委监委以《让医药招采在</w:t>
      </w:r>
      <w:r w:rsidRPr="005536EC">
        <w:rPr>
          <w:rStyle w:val="NormalCharacter"/>
          <w:rFonts w:eastAsia="仿宋_GB2312"/>
          <w:sz w:val="32"/>
          <w:szCs w:val="32"/>
        </w:rPr>
        <w:t>“</w:t>
      </w:r>
      <w:r w:rsidRPr="005536EC">
        <w:rPr>
          <w:rStyle w:val="NormalCharacter"/>
          <w:rFonts w:eastAsia="仿宋_GB2312"/>
          <w:sz w:val="32"/>
          <w:szCs w:val="32"/>
        </w:rPr>
        <w:t>阳光</w:t>
      </w:r>
      <w:r w:rsidRPr="005536EC">
        <w:rPr>
          <w:rStyle w:val="NormalCharacter"/>
          <w:rFonts w:eastAsia="仿宋_GB2312"/>
          <w:sz w:val="32"/>
          <w:szCs w:val="32"/>
        </w:rPr>
        <w:t>”</w:t>
      </w:r>
      <w:r w:rsidRPr="005536EC">
        <w:rPr>
          <w:rStyle w:val="NormalCharacter"/>
          <w:rFonts w:eastAsia="仿宋_GB2312"/>
          <w:sz w:val="32"/>
          <w:szCs w:val="32"/>
        </w:rPr>
        <w:t>下进行》为题，在《株洲日报》推介市医保局</w:t>
      </w:r>
      <w:r w:rsidRPr="005536EC">
        <w:rPr>
          <w:rStyle w:val="NormalCharacter"/>
          <w:rFonts w:eastAsia="仿宋_GB2312"/>
          <w:sz w:val="32"/>
          <w:szCs w:val="32"/>
        </w:rPr>
        <w:t>“</w:t>
      </w:r>
      <w:r w:rsidRPr="005536EC">
        <w:rPr>
          <w:rStyle w:val="NormalCharacter"/>
          <w:rFonts w:eastAsia="仿宋_GB2312"/>
          <w:sz w:val="32"/>
          <w:szCs w:val="32"/>
        </w:rPr>
        <w:t>清廉医保</w:t>
      </w:r>
      <w:r w:rsidRPr="005536EC">
        <w:rPr>
          <w:rStyle w:val="NormalCharacter"/>
          <w:rFonts w:eastAsia="仿宋_GB2312"/>
          <w:sz w:val="32"/>
          <w:szCs w:val="32"/>
        </w:rPr>
        <w:t>”</w:t>
      </w:r>
      <w:r w:rsidRPr="005536EC">
        <w:rPr>
          <w:rStyle w:val="NormalCharacter"/>
          <w:rFonts w:eastAsia="仿宋_GB2312"/>
          <w:sz w:val="32"/>
          <w:szCs w:val="32"/>
        </w:rPr>
        <w:t>建设工作。</w:t>
      </w:r>
      <w:r w:rsidRPr="005536EC">
        <w:rPr>
          <w:rFonts w:eastAsia="仿宋_GB2312"/>
          <w:sz w:val="32"/>
          <w:szCs w:val="32"/>
        </w:rPr>
        <w:t>规范修订全市现行医疗服务价格项目</w:t>
      </w:r>
      <w:r w:rsidRPr="005536EC">
        <w:rPr>
          <w:rFonts w:eastAsia="仿宋_GB2312"/>
          <w:sz w:val="32"/>
          <w:szCs w:val="32"/>
        </w:rPr>
        <w:t>92</w:t>
      </w:r>
      <w:r w:rsidRPr="005536EC">
        <w:rPr>
          <w:rFonts w:eastAsia="仿宋_GB2312"/>
          <w:sz w:val="32"/>
          <w:szCs w:val="32"/>
        </w:rPr>
        <w:t>项</w:t>
      </w:r>
      <w:r w:rsidRPr="005536EC">
        <w:rPr>
          <w:rFonts w:eastAsia="仿宋_GB2312"/>
          <w:sz w:val="32"/>
          <w:szCs w:val="32"/>
        </w:rPr>
        <w:t>/</w:t>
      </w:r>
      <w:r w:rsidRPr="005536EC">
        <w:rPr>
          <w:rFonts w:eastAsia="仿宋_GB2312"/>
          <w:sz w:val="32"/>
          <w:szCs w:val="32"/>
        </w:rPr>
        <w:t>类。连续三次下调新冠病毒检测价格，单人单检降低到</w:t>
      </w:r>
      <w:r w:rsidRPr="005536EC">
        <w:rPr>
          <w:rFonts w:eastAsia="仿宋_GB2312"/>
          <w:sz w:val="32"/>
          <w:szCs w:val="32"/>
        </w:rPr>
        <w:t>16</w:t>
      </w:r>
      <w:r w:rsidRPr="005536EC">
        <w:rPr>
          <w:rFonts w:eastAsia="仿宋_GB2312"/>
          <w:sz w:val="32"/>
          <w:szCs w:val="32"/>
        </w:rPr>
        <w:t>元</w:t>
      </w:r>
      <w:r w:rsidRPr="005536EC">
        <w:rPr>
          <w:rFonts w:eastAsia="仿宋_GB2312"/>
          <w:sz w:val="32"/>
          <w:szCs w:val="32"/>
        </w:rPr>
        <w:t>/</w:t>
      </w:r>
      <w:r w:rsidRPr="005536EC">
        <w:rPr>
          <w:rFonts w:eastAsia="仿宋_GB2312"/>
          <w:sz w:val="32"/>
          <w:szCs w:val="32"/>
        </w:rPr>
        <w:t>人次，多人混检降低到</w:t>
      </w:r>
      <w:r w:rsidRPr="005536EC">
        <w:rPr>
          <w:rFonts w:eastAsia="仿宋_GB2312"/>
          <w:sz w:val="32"/>
          <w:szCs w:val="32"/>
        </w:rPr>
        <w:t>4</w:t>
      </w:r>
      <w:r w:rsidRPr="005536EC">
        <w:rPr>
          <w:rFonts w:eastAsia="仿宋_GB2312"/>
          <w:sz w:val="32"/>
          <w:szCs w:val="32"/>
        </w:rPr>
        <w:t>元</w:t>
      </w:r>
      <w:r w:rsidRPr="005536EC">
        <w:rPr>
          <w:rFonts w:eastAsia="仿宋_GB2312"/>
          <w:sz w:val="32"/>
          <w:szCs w:val="32"/>
        </w:rPr>
        <w:t>/</w:t>
      </w:r>
      <w:r w:rsidRPr="005536EC">
        <w:rPr>
          <w:rFonts w:eastAsia="仿宋_GB2312"/>
          <w:sz w:val="32"/>
          <w:szCs w:val="32"/>
        </w:rPr>
        <w:t>人次，政府组织的大规模筛查、常态化检测、多人混检按照不高于</w:t>
      </w:r>
      <w:r w:rsidRPr="005536EC">
        <w:rPr>
          <w:rFonts w:eastAsia="仿宋_GB2312"/>
          <w:sz w:val="32"/>
          <w:szCs w:val="32"/>
        </w:rPr>
        <w:t>3.5</w:t>
      </w:r>
      <w:r w:rsidRPr="005536EC">
        <w:rPr>
          <w:rFonts w:eastAsia="仿宋_GB2312"/>
          <w:sz w:val="32"/>
          <w:szCs w:val="32"/>
        </w:rPr>
        <w:t>元</w:t>
      </w:r>
      <w:r w:rsidRPr="005536EC">
        <w:rPr>
          <w:rFonts w:eastAsia="仿宋_GB2312"/>
          <w:sz w:val="32"/>
          <w:szCs w:val="32"/>
        </w:rPr>
        <w:t>/</w:t>
      </w:r>
      <w:r w:rsidRPr="005536EC">
        <w:rPr>
          <w:rFonts w:eastAsia="仿宋_GB2312"/>
          <w:sz w:val="32"/>
          <w:szCs w:val="32"/>
        </w:rPr>
        <w:t>人次计费。</w:t>
      </w:r>
      <w:r w:rsidRPr="005536EC">
        <w:rPr>
          <w:rFonts w:eastAsia="仿宋_GB2312"/>
          <w:b/>
          <w:bCs/>
          <w:sz w:val="32"/>
          <w:szCs w:val="32"/>
        </w:rPr>
        <w:t>二是全国试点参保人员信息授权查询和使用子系统上线试运行。</w:t>
      </w:r>
      <w:r w:rsidRPr="005536EC">
        <w:rPr>
          <w:rFonts w:eastAsia="仿宋_GB2312"/>
          <w:sz w:val="32"/>
          <w:szCs w:val="32"/>
        </w:rPr>
        <w:t>株洲市为全国</w:t>
      </w:r>
      <w:r w:rsidRPr="005536EC">
        <w:rPr>
          <w:rFonts w:eastAsia="仿宋_GB2312"/>
          <w:sz w:val="32"/>
          <w:szCs w:val="32"/>
        </w:rPr>
        <w:t>12</w:t>
      </w:r>
      <w:r w:rsidRPr="005536EC">
        <w:rPr>
          <w:rFonts w:eastAsia="仿宋_GB2312"/>
          <w:sz w:val="32"/>
          <w:szCs w:val="32"/>
        </w:rPr>
        <w:t>个试点城市之一和全省唯一的试点城市。株洲市医保局按照</w:t>
      </w:r>
      <w:r w:rsidRPr="005536EC">
        <w:rPr>
          <w:rFonts w:eastAsia="仿宋_GB2312"/>
          <w:sz w:val="32"/>
          <w:szCs w:val="32"/>
        </w:rPr>
        <w:t>“</w:t>
      </w:r>
      <w:r w:rsidRPr="005536EC">
        <w:rPr>
          <w:rFonts w:eastAsia="仿宋_GB2312"/>
          <w:sz w:val="32"/>
          <w:szCs w:val="32"/>
        </w:rPr>
        <w:t>制度先行、顶层设计、搭建平台、逐步完善</w:t>
      </w:r>
      <w:r w:rsidRPr="005536EC">
        <w:rPr>
          <w:rFonts w:eastAsia="仿宋_GB2312"/>
          <w:sz w:val="32"/>
          <w:szCs w:val="32"/>
        </w:rPr>
        <w:t>”</w:t>
      </w:r>
      <w:r w:rsidRPr="005536EC">
        <w:rPr>
          <w:rFonts w:eastAsia="仿宋_GB2312"/>
          <w:sz w:val="32"/>
          <w:szCs w:val="32"/>
        </w:rPr>
        <w:t>的总体思路，开展了前期调研、方案论证、专家研讨、功能开发、系统测试等大量深入细致的工作。目前，参保人员个人信息授权查询和使用系统已上线试运行。截至</w:t>
      </w:r>
      <w:r w:rsidRPr="005536EC">
        <w:rPr>
          <w:rFonts w:eastAsia="仿宋_GB2312"/>
          <w:sz w:val="32"/>
          <w:szCs w:val="32"/>
        </w:rPr>
        <w:t>2022</w:t>
      </w:r>
      <w:r w:rsidRPr="005536EC">
        <w:rPr>
          <w:rFonts w:eastAsia="仿宋_GB2312"/>
          <w:sz w:val="32"/>
          <w:szCs w:val="32"/>
        </w:rPr>
        <w:t>年</w:t>
      </w:r>
      <w:r w:rsidRPr="005536EC">
        <w:rPr>
          <w:rFonts w:eastAsia="仿宋_GB2312"/>
          <w:sz w:val="32"/>
          <w:szCs w:val="32"/>
        </w:rPr>
        <w:t>11</w:t>
      </w:r>
      <w:r w:rsidRPr="005536EC">
        <w:rPr>
          <w:rFonts w:eastAsia="仿宋_GB2312"/>
          <w:sz w:val="32"/>
          <w:szCs w:val="32"/>
        </w:rPr>
        <w:t>月</w:t>
      </w:r>
      <w:r w:rsidRPr="005536EC">
        <w:rPr>
          <w:rFonts w:eastAsia="仿宋_GB2312" w:hint="eastAsia"/>
          <w:sz w:val="32"/>
          <w:szCs w:val="32"/>
        </w:rPr>
        <w:t>底</w:t>
      </w:r>
      <w:r w:rsidRPr="005536EC">
        <w:rPr>
          <w:rFonts w:eastAsia="仿宋_GB2312"/>
          <w:sz w:val="32"/>
          <w:szCs w:val="32"/>
        </w:rPr>
        <w:t>，已有</w:t>
      </w:r>
      <w:r w:rsidRPr="005536EC">
        <w:rPr>
          <w:rFonts w:eastAsia="仿宋_GB2312"/>
          <w:sz w:val="32"/>
          <w:szCs w:val="32"/>
        </w:rPr>
        <w:t>6</w:t>
      </w:r>
      <w:r w:rsidRPr="005536EC">
        <w:rPr>
          <w:rFonts w:eastAsia="仿宋_GB2312"/>
          <w:sz w:val="32"/>
          <w:szCs w:val="32"/>
        </w:rPr>
        <w:t>家商保机构完成单位网厅注册登录，系统通过使用产生授权查询操作记录</w:t>
      </w:r>
      <w:r w:rsidRPr="005536EC">
        <w:rPr>
          <w:rFonts w:eastAsia="仿宋_GB2312"/>
          <w:sz w:val="32"/>
          <w:szCs w:val="32"/>
        </w:rPr>
        <w:t>61000</w:t>
      </w:r>
      <w:r w:rsidRPr="005536EC">
        <w:rPr>
          <w:rFonts w:eastAsia="仿宋_GB2312"/>
          <w:sz w:val="32"/>
          <w:szCs w:val="32"/>
        </w:rPr>
        <w:t>多条。国家医疗保障局基金监管司对株洲市试点工</w:t>
      </w:r>
      <w:r w:rsidRPr="005536EC">
        <w:rPr>
          <w:rFonts w:eastAsia="仿宋_GB2312"/>
          <w:sz w:val="32"/>
          <w:szCs w:val="32"/>
        </w:rPr>
        <w:lastRenderedPageBreak/>
        <w:t>作取得的成绩给予充分肯定。</w:t>
      </w:r>
      <w:r w:rsidRPr="005536EC">
        <w:rPr>
          <w:rFonts w:eastAsia="仿宋_GB2312"/>
          <w:b/>
          <w:bCs/>
          <w:sz w:val="32"/>
          <w:szCs w:val="32"/>
        </w:rPr>
        <w:t>三是全省率先推进职工医保门诊共济保障制度改革。</w:t>
      </w:r>
      <w:r w:rsidRPr="005536EC">
        <w:rPr>
          <w:rFonts w:eastAsia="仿宋_GB2312"/>
          <w:sz w:val="32"/>
          <w:szCs w:val="32"/>
        </w:rPr>
        <w:t>严格贯彻落实《湖南省人民政府办公厅关于建立健全职工门诊共济保障机制的实施意见》精神，以市政府名义出台《株洲市职工基本医疗保险门诊共济保障实施细则》，</w:t>
      </w:r>
      <w:r w:rsidRPr="005536EC">
        <w:rPr>
          <w:rFonts w:eastAsia="仿宋_GB2312"/>
          <w:sz w:val="32"/>
          <w:szCs w:val="32"/>
        </w:rPr>
        <w:t>10</w:t>
      </w:r>
      <w:r w:rsidRPr="005536EC">
        <w:rPr>
          <w:rFonts w:eastAsia="仿宋_GB2312"/>
          <w:sz w:val="32"/>
          <w:szCs w:val="32"/>
        </w:rPr>
        <w:t>月</w:t>
      </w:r>
      <w:r w:rsidRPr="005536EC">
        <w:rPr>
          <w:rFonts w:eastAsia="仿宋_GB2312"/>
          <w:sz w:val="32"/>
          <w:szCs w:val="32"/>
        </w:rPr>
        <w:t>1</w:t>
      </w:r>
      <w:r w:rsidRPr="005536EC">
        <w:rPr>
          <w:rFonts w:eastAsia="仿宋_GB2312"/>
          <w:sz w:val="32"/>
          <w:szCs w:val="32"/>
        </w:rPr>
        <w:t>日起我市在全省率先启动职工医保门诊共济保障改革。截至</w:t>
      </w:r>
      <w:r w:rsidRPr="005536EC">
        <w:rPr>
          <w:rFonts w:eastAsia="仿宋_GB2312"/>
          <w:sz w:val="32"/>
          <w:szCs w:val="32"/>
        </w:rPr>
        <w:t>11</w:t>
      </w:r>
      <w:r w:rsidRPr="005536EC">
        <w:rPr>
          <w:rFonts w:eastAsia="仿宋_GB2312"/>
          <w:sz w:val="32"/>
          <w:szCs w:val="32"/>
        </w:rPr>
        <w:t>月底，我市已开通</w:t>
      </w:r>
      <w:r w:rsidRPr="005536EC">
        <w:rPr>
          <w:rFonts w:eastAsia="仿宋_GB2312"/>
          <w:sz w:val="32"/>
          <w:szCs w:val="32"/>
        </w:rPr>
        <w:t>119</w:t>
      </w:r>
      <w:r w:rsidRPr="005536EC">
        <w:rPr>
          <w:rFonts w:eastAsia="仿宋_GB2312"/>
          <w:sz w:val="32"/>
          <w:szCs w:val="32"/>
        </w:rPr>
        <w:t>家医疗机构，结算</w:t>
      </w:r>
      <w:r w:rsidRPr="005536EC">
        <w:rPr>
          <w:rFonts w:eastAsia="仿宋_GB2312"/>
          <w:sz w:val="32"/>
          <w:szCs w:val="32"/>
        </w:rPr>
        <w:t>76888</w:t>
      </w:r>
      <w:r w:rsidRPr="005536EC">
        <w:rPr>
          <w:rFonts w:eastAsia="仿宋_GB2312"/>
          <w:sz w:val="32"/>
          <w:szCs w:val="32"/>
        </w:rPr>
        <w:t>人次，基金支出</w:t>
      </w:r>
      <w:r w:rsidRPr="005536EC">
        <w:rPr>
          <w:rFonts w:eastAsia="仿宋_GB2312"/>
          <w:sz w:val="32"/>
          <w:szCs w:val="32"/>
        </w:rPr>
        <w:t>877.63</w:t>
      </w:r>
      <w:r w:rsidRPr="005536EC">
        <w:rPr>
          <w:rFonts w:eastAsia="仿宋_GB2312"/>
          <w:sz w:val="32"/>
          <w:szCs w:val="32"/>
        </w:rPr>
        <w:t>万元。</w:t>
      </w:r>
      <w:r w:rsidRPr="005536EC">
        <w:rPr>
          <w:rFonts w:eastAsia="仿宋_GB2312"/>
          <w:b/>
          <w:bCs/>
          <w:sz w:val="32"/>
          <w:szCs w:val="32"/>
        </w:rPr>
        <w:t>四是全省率先推进</w:t>
      </w:r>
      <w:r w:rsidRPr="005536EC">
        <w:rPr>
          <w:rFonts w:eastAsia="仿宋_GB2312"/>
          <w:b/>
          <w:bCs/>
          <w:sz w:val="32"/>
          <w:szCs w:val="32"/>
        </w:rPr>
        <w:t>DRG</w:t>
      </w:r>
      <w:r w:rsidRPr="005536EC">
        <w:rPr>
          <w:rFonts w:eastAsia="仿宋_GB2312"/>
          <w:b/>
          <w:bCs/>
          <w:sz w:val="32"/>
          <w:szCs w:val="32"/>
        </w:rPr>
        <w:t>支付方式改革。</w:t>
      </w:r>
      <w:r w:rsidRPr="005536EC">
        <w:rPr>
          <w:rFonts w:eastAsia="仿宋_GB2312"/>
          <w:sz w:val="32"/>
          <w:szCs w:val="32"/>
        </w:rPr>
        <w:t>全市</w:t>
      </w:r>
      <w:r w:rsidRPr="005536EC">
        <w:rPr>
          <w:rFonts w:eastAsia="仿宋_GB2312"/>
          <w:sz w:val="32"/>
          <w:szCs w:val="32"/>
        </w:rPr>
        <w:t>55</w:t>
      </w:r>
      <w:r w:rsidRPr="005536EC">
        <w:rPr>
          <w:rFonts w:eastAsia="仿宋_GB2312"/>
          <w:sz w:val="32"/>
          <w:szCs w:val="32"/>
        </w:rPr>
        <w:t>家二级以上医院符合</w:t>
      </w:r>
      <w:r w:rsidRPr="005536EC">
        <w:rPr>
          <w:rFonts w:eastAsia="仿宋_GB2312"/>
          <w:sz w:val="32"/>
          <w:szCs w:val="32"/>
        </w:rPr>
        <w:t>DRG</w:t>
      </w:r>
      <w:r w:rsidRPr="005536EC">
        <w:rPr>
          <w:rFonts w:eastAsia="仿宋_GB2312"/>
          <w:sz w:val="32"/>
          <w:szCs w:val="32"/>
        </w:rPr>
        <w:t>改革条件，</w:t>
      </w:r>
      <w:r w:rsidRPr="005536EC">
        <w:rPr>
          <w:rFonts w:eastAsia="仿宋_GB2312"/>
          <w:sz w:val="32"/>
          <w:szCs w:val="32"/>
        </w:rPr>
        <w:t>38</w:t>
      </w:r>
      <w:r w:rsidRPr="005536EC">
        <w:rPr>
          <w:rFonts w:eastAsia="仿宋_GB2312"/>
          <w:sz w:val="32"/>
          <w:szCs w:val="32"/>
        </w:rPr>
        <w:t>家医院被确认为首批</w:t>
      </w:r>
      <w:r w:rsidRPr="005536EC">
        <w:rPr>
          <w:rFonts w:eastAsia="仿宋_GB2312"/>
          <w:sz w:val="32"/>
          <w:szCs w:val="32"/>
        </w:rPr>
        <w:t>DRG</w:t>
      </w:r>
      <w:r w:rsidRPr="005536EC">
        <w:rPr>
          <w:rFonts w:eastAsia="仿宋_GB2312"/>
          <w:sz w:val="32"/>
          <w:szCs w:val="32"/>
        </w:rPr>
        <w:t>改革医院，计划从</w:t>
      </w:r>
      <w:r w:rsidRPr="005536EC">
        <w:rPr>
          <w:rFonts w:eastAsia="仿宋_GB2312"/>
          <w:sz w:val="32"/>
          <w:szCs w:val="32"/>
        </w:rPr>
        <w:t>2023</w:t>
      </w:r>
      <w:r w:rsidRPr="005536EC">
        <w:rPr>
          <w:rFonts w:eastAsia="仿宋_GB2312"/>
          <w:sz w:val="32"/>
          <w:szCs w:val="32"/>
        </w:rPr>
        <w:t>年</w:t>
      </w:r>
      <w:r w:rsidRPr="005536EC">
        <w:rPr>
          <w:rFonts w:eastAsia="仿宋_GB2312"/>
          <w:sz w:val="32"/>
          <w:szCs w:val="32"/>
        </w:rPr>
        <w:t>1</w:t>
      </w:r>
      <w:r w:rsidRPr="005536EC">
        <w:rPr>
          <w:rFonts w:eastAsia="仿宋_GB2312"/>
          <w:sz w:val="32"/>
          <w:szCs w:val="32"/>
        </w:rPr>
        <w:t>月开始，开展首批</w:t>
      </w:r>
      <w:r w:rsidRPr="005536EC">
        <w:rPr>
          <w:rFonts w:eastAsia="仿宋_GB2312"/>
          <w:sz w:val="32"/>
          <w:szCs w:val="32"/>
        </w:rPr>
        <w:t>DRG</w:t>
      </w:r>
      <w:r w:rsidRPr="005536EC">
        <w:rPr>
          <w:rFonts w:eastAsia="仿宋_GB2312"/>
          <w:sz w:val="32"/>
          <w:szCs w:val="32"/>
        </w:rPr>
        <w:t>模拟付费，首批模拟付费医院占比</w:t>
      </w:r>
      <w:r w:rsidRPr="005536EC">
        <w:rPr>
          <w:rFonts w:eastAsia="仿宋_GB2312"/>
          <w:sz w:val="32"/>
          <w:szCs w:val="32"/>
        </w:rPr>
        <w:t>69%</w:t>
      </w:r>
      <w:r w:rsidRPr="005536EC">
        <w:rPr>
          <w:rFonts w:eastAsia="仿宋_GB2312"/>
          <w:sz w:val="32"/>
          <w:szCs w:val="32"/>
        </w:rPr>
        <w:t>，整体情况走在全省前列。</w:t>
      </w:r>
    </w:p>
    <w:p w:rsidR="00DE6C60" w:rsidRPr="006E7F38" w:rsidRDefault="00DE6C60" w:rsidP="00F31A6E">
      <w:pPr>
        <w:spacing w:line="560" w:lineRule="exact"/>
        <w:ind w:firstLineChars="200" w:firstLine="643"/>
        <w:rPr>
          <w:rFonts w:eastAsia="仿宋_GB2312"/>
          <w:bCs/>
          <w:sz w:val="32"/>
          <w:szCs w:val="32"/>
        </w:rPr>
      </w:pPr>
      <w:r w:rsidRPr="005536EC">
        <w:rPr>
          <w:rFonts w:eastAsia="楷体_GB2312"/>
          <w:b/>
          <w:bCs/>
          <w:sz w:val="32"/>
          <w:szCs w:val="32"/>
        </w:rPr>
        <w:t>三、聚焦健全制度</w:t>
      </w:r>
      <w:r w:rsidRPr="005536EC">
        <w:rPr>
          <w:rFonts w:eastAsia="楷体_GB2312"/>
          <w:b/>
          <w:bCs/>
          <w:sz w:val="32"/>
          <w:szCs w:val="32"/>
        </w:rPr>
        <w:t>“</w:t>
      </w:r>
      <w:r w:rsidRPr="005536EC">
        <w:rPr>
          <w:rFonts w:eastAsia="楷体_GB2312"/>
          <w:b/>
          <w:bCs/>
          <w:sz w:val="32"/>
          <w:szCs w:val="32"/>
        </w:rPr>
        <w:t>防风险</w:t>
      </w:r>
      <w:r w:rsidRPr="005536EC">
        <w:rPr>
          <w:rFonts w:eastAsia="楷体_GB2312"/>
          <w:b/>
          <w:bCs/>
          <w:sz w:val="32"/>
          <w:szCs w:val="32"/>
        </w:rPr>
        <w:t>”</w:t>
      </w:r>
      <w:r w:rsidRPr="005536EC">
        <w:rPr>
          <w:rFonts w:eastAsia="楷体_GB2312"/>
          <w:b/>
          <w:bCs/>
          <w:sz w:val="32"/>
          <w:szCs w:val="32"/>
        </w:rPr>
        <w:t>，加快完善了医疗保障体系。</w:t>
      </w:r>
      <w:r w:rsidRPr="005536EC">
        <w:rPr>
          <w:rFonts w:eastAsia="仿宋_GB2312"/>
          <w:b/>
          <w:bCs/>
          <w:sz w:val="32"/>
          <w:szCs w:val="32"/>
        </w:rPr>
        <w:t>一是实施医保基金监管</w:t>
      </w:r>
      <w:r w:rsidRPr="005536EC">
        <w:rPr>
          <w:rFonts w:eastAsia="仿宋_GB2312"/>
          <w:b/>
          <w:bCs/>
          <w:sz w:val="32"/>
          <w:szCs w:val="32"/>
        </w:rPr>
        <w:t>“</w:t>
      </w:r>
      <w:r>
        <w:rPr>
          <w:rFonts w:eastAsia="仿宋_GB2312" w:hint="eastAsia"/>
          <w:b/>
          <w:bCs/>
          <w:sz w:val="32"/>
          <w:szCs w:val="32"/>
        </w:rPr>
        <w:t>双</w:t>
      </w:r>
      <w:r w:rsidRPr="005536EC">
        <w:rPr>
          <w:rFonts w:eastAsia="仿宋_GB2312"/>
          <w:b/>
          <w:bCs/>
          <w:sz w:val="32"/>
          <w:szCs w:val="32"/>
        </w:rPr>
        <w:t>闭环</w:t>
      </w:r>
      <w:r w:rsidRPr="005536EC">
        <w:rPr>
          <w:rFonts w:eastAsia="仿宋_GB2312"/>
          <w:b/>
          <w:bCs/>
          <w:sz w:val="32"/>
          <w:szCs w:val="32"/>
        </w:rPr>
        <w:t>”</w:t>
      </w:r>
      <w:r w:rsidRPr="005536EC">
        <w:rPr>
          <w:rFonts w:eastAsia="仿宋_GB2312"/>
          <w:b/>
          <w:bCs/>
          <w:sz w:val="32"/>
          <w:szCs w:val="32"/>
        </w:rPr>
        <w:t>制度。</w:t>
      </w:r>
      <w:r w:rsidRPr="00B029D4">
        <w:rPr>
          <w:rFonts w:eastAsia="仿宋_GB2312" w:hint="eastAsia"/>
          <w:b/>
          <w:bCs/>
          <w:sz w:val="32"/>
          <w:szCs w:val="32"/>
        </w:rPr>
        <w:t>在内控闭环监管方面，</w:t>
      </w:r>
      <w:r w:rsidRPr="00025E92">
        <w:rPr>
          <w:rFonts w:eastAsia="仿宋_GB2312" w:hint="eastAsia"/>
          <w:bCs/>
          <w:sz w:val="32"/>
          <w:szCs w:val="32"/>
        </w:rPr>
        <w:t>严把“制防关”，创新经办流程体系</w:t>
      </w:r>
      <w:r>
        <w:rPr>
          <w:rFonts w:eastAsia="仿宋_GB2312" w:hint="eastAsia"/>
          <w:bCs/>
          <w:sz w:val="32"/>
          <w:szCs w:val="32"/>
        </w:rPr>
        <w:t>，</w:t>
      </w:r>
      <w:r>
        <w:rPr>
          <w:rFonts w:eastAsia="仿宋_GB2312"/>
          <w:sz w:val="32"/>
          <w:szCs w:val="32"/>
        </w:rPr>
        <w:t>加强基金内控管理，对所有经办业务建立相互监督制约体系</w:t>
      </w:r>
      <w:r w:rsidRPr="00025E92">
        <w:rPr>
          <w:rFonts w:eastAsia="仿宋_GB2312" w:hint="eastAsia"/>
          <w:bCs/>
          <w:sz w:val="32"/>
          <w:szCs w:val="32"/>
        </w:rPr>
        <w:t>；强化“技防关”，推进信息系统应用</w:t>
      </w:r>
      <w:r>
        <w:rPr>
          <w:rFonts w:eastAsia="仿宋_GB2312" w:hint="eastAsia"/>
          <w:bCs/>
          <w:sz w:val="32"/>
          <w:szCs w:val="32"/>
        </w:rPr>
        <w:t>，</w:t>
      </w:r>
      <w:r>
        <w:rPr>
          <w:rFonts w:eastAsia="仿宋_GB2312"/>
          <w:sz w:val="32"/>
          <w:szCs w:val="32"/>
        </w:rPr>
        <w:t>纵深推进信息网络安全建设，国家局视频会议系统接通至县市区医保局，湖南省医疗保障信息平台接通至村卫生室，建立健全网络信息建设，有效提升信息化水平</w:t>
      </w:r>
      <w:r w:rsidRPr="00025E92">
        <w:rPr>
          <w:rFonts w:eastAsia="仿宋_GB2312" w:hint="eastAsia"/>
          <w:bCs/>
          <w:sz w:val="32"/>
          <w:szCs w:val="32"/>
        </w:rPr>
        <w:t>；守好“人防关”，优化岗位职</w:t>
      </w:r>
      <w:r>
        <w:rPr>
          <w:rFonts w:eastAsia="仿宋_GB2312" w:hint="eastAsia"/>
          <w:bCs/>
          <w:sz w:val="32"/>
          <w:szCs w:val="32"/>
        </w:rPr>
        <w:t>能</w:t>
      </w:r>
      <w:r w:rsidRPr="00025E92">
        <w:rPr>
          <w:rFonts w:eastAsia="仿宋_GB2312" w:hint="eastAsia"/>
          <w:bCs/>
          <w:sz w:val="32"/>
          <w:szCs w:val="32"/>
        </w:rPr>
        <w:t>职责</w:t>
      </w:r>
      <w:r>
        <w:rPr>
          <w:rFonts w:eastAsia="仿宋_GB2312" w:hint="eastAsia"/>
          <w:bCs/>
          <w:sz w:val="32"/>
          <w:szCs w:val="32"/>
        </w:rPr>
        <w:t>，</w:t>
      </w:r>
      <w:r>
        <w:rPr>
          <w:rFonts w:eastAsia="仿宋_GB2312" w:hint="eastAsia"/>
          <w:sz w:val="32"/>
          <w:szCs w:val="32"/>
        </w:rPr>
        <w:t>市医保中心医审科、基金财务科、结算科和各业务科室</w:t>
      </w:r>
      <w:r>
        <w:rPr>
          <w:rFonts w:eastAsia="仿宋_GB2312"/>
          <w:sz w:val="32"/>
          <w:szCs w:val="32"/>
        </w:rPr>
        <w:t>实行各环节互相监督制约的</w:t>
      </w:r>
      <w:r>
        <w:rPr>
          <w:rFonts w:eastAsia="仿宋_GB2312" w:hint="eastAsia"/>
          <w:sz w:val="32"/>
          <w:szCs w:val="32"/>
        </w:rPr>
        <w:t>“</w:t>
      </w:r>
      <w:r>
        <w:rPr>
          <w:rFonts w:eastAsia="仿宋_GB2312"/>
          <w:sz w:val="32"/>
          <w:szCs w:val="32"/>
        </w:rPr>
        <w:t>双控</w:t>
      </w:r>
      <w:r>
        <w:rPr>
          <w:rFonts w:eastAsia="仿宋_GB2312" w:hint="eastAsia"/>
          <w:sz w:val="32"/>
          <w:szCs w:val="32"/>
        </w:rPr>
        <w:t>”</w:t>
      </w:r>
      <w:r>
        <w:rPr>
          <w:rFonts w:eastAsia="仿宋_GB2312"/>
          <w:sz w:val="32"/>
          <w:szCs w:val="32"/>
        </w:rPr>
        <w:t>机制，经办业务全流程</w:t>
      </w:r>
      <w:r>
        <w:rPr>
          <w:rFonts w:eastAsia="仿宋_GB2312" w:hint="eastAsia"/>
          <w:sz w:val="32"/>
          <w:szCs w:val="32"/>
        </w:rPr>
        <w:t>系统平台</w:t>
      </w:r>
      <w:r>
        <w:rPr>
          <w:rFonts w:eastAsia="仿宋_GB2312"/>
          <w:sz w:val="32"/>
          <w:szCs w:val="32"/>
        </w:rPr>
        <w:t>完成，形成全过程基金监管内控</w:t>
      </w:r>
      <w:r>
        <w:rPr>
          <w:rFonts w:eastAsia="仿宋_GB2312" w:hint="eastAsia"/>
          <w:sz w:val="32"/>
          <w:szCs w:val="32"/>
        </w:rPr>
        <w:t>“</w:t>
      </w:r>
      <w:r>
        <w:rPr>
          <w:rFonts w:eastAsia="仿宋_GB2312"/>
          <w:sz w:val="32"/>
          <w:szCs w:val="32"/>
        </w:rPr>
        <w:t>闭环</w:t>
      </w:r>
      <w:r>
        <w:rPr>
          <w:rFonts w:eastAsia="仿宋_GB2312" w:hint="eastAsia"/>
          <w:sz w:val="32"/>
          <w:szCs w:val="32"/>
        </w:rPr>
        <w:t>”</w:t>
      </w:r>
      <w:r w:rsidRPr="00025E92">
        <w:rPr>
          <w:rFonts w:eastAsia="仿宋_GB2312" w:hint="eastAsia"/>
          <w:bCs/>
          <w:sz w:val="32"/>
          <w:szCs w:val="32"/>
        </w:rPr>
        <w:t>。</w:t>
      </w:r>
      <w:r w:rsidRPr="00B029D4">
        <w:rPr>
          <w:rFonts w:eastAsia="仿宋_GB2312" w:hint="eastAsia"/>
          <w:b/>
          <w:bCs/>
          <w:sz w:val="32"/>
          <w:szCs w:val="32"/>
        </w:rPr>
        <w:t>在外部闭环监管方面，</w:t>
      </w:r>
      <w:r w:rsidRPr="00CA6EE8">
        <w:rPr>
          <w:rFonts w:eastAsia="仿宋_GB2312" w:hint="eastAsia"/>
          <w:sz w:val="32"/>
          <w:szCs w:val="32"/>
        </w:rPr>
        <w:t>全省</w:t>
      </w:r>
      <w:r>
        <w:rPr>
          <w:rFonts w:eastAsia="仿宋_GB2312"/>
          <w:sz w:val="32"/>
          <w:szCs w:val="32"/>
        </w:rPr>
        <w:t>首创城镇职工医保基金总额控制管理办法和以</w:t>
      </w:r>
      <w:r>
        <w:rPr>
          <w:rFonts w:eastAsia="仿宋_GB2312"/>
          <w:sz w:val="32"/>
          <w:szCs w:val="32"/>
        </w:rPr>
        <w:t>“</w:t>
      </w:r>
      <w:r>
        <w:rPr>
          <w:rFonts w:eastAsia="仿宋_GB2312"/>
          <w:sz w:val="32"/>
          <w:szCs w:val="32"/>
        </w:rPr>
        <w:t>健康人头付费</w:t>
      </w:r>
      <w:r>
        <w:rPr>
          <w:rFonts w:eastAsia="仿宋_GB2312"/>
          <w:sz w:val="32"/>
          <w:szCs w:val="32"/>
        </w:rPr>
        <w:t>”</w:t>
      </w:r>
      <w:r>
        <w:rPr>
          <w:rFonts w:eastAsia="仿宋_GB2312"/>
          <w:sz w:val="32"/>
          <w:szCs w:val="32"/>
        </w:rPr>
        <w:t>为基础的总额控制支付方式</w:t>
      </w:r>
      <w:r>
        <w:rPr>
          <w:rFonts w:eastAsia="仿宋_GB2312" w:hint="eastAsia"/>
          <w:sz w:val="32"/>
          <w:szCs w:val="32"/>
        </w:rPr>
        <w:t>株洲模式</w:t>
      </w:r>
      <w:r>
        <w:rPr>
          <w:rFonts w:eastAsia="仿宋_GB2312"/>
          <w:sz w:val="32"/>
          <w:szCs w:val="32"/>
        </w:rPr>
        <w:t>，</w:t>
      </w:r>
      <w:r>
        <w:rPr>
          <w:rFonts w:eastAsia="仿宋_GB2312" w:hint="eastAsia"/>
          <w:sz w:val="32"/>
          <w:szCs w:val="32"/>
        </w:rPr>
        <w:t>“</w:t>
      </w:r>
      <w:r>
        <w:rPr>
          <w:rFonts w:eastAsia="仿宋_GB2312"/>
          <w:sz w:val="32"/>
          <w:szCs w:val="32"/>
        </w:rPr>
        <w:t>事前</w:t>
      </w:r>
      <w:r>
        <w:rPr>
          <w:rFonts w:eastAsia="仿宋_GB2312" w:hint="eastAsia"/>
          <w:sz w:val="32"/>
          <w:szCs w:val="32"/>
        </w:rPr>
        <w:t>”</w:t>
      </w:r>
      <w:r>
        <w:rPr>
          <w:rFonts w:eastAsia="仿宋_GB2312"/>
          <w:sz w:val="32"/>
          <w:szCs w:val="32"/>
        </w:rPr>
        <w:t>推行总额预付</w:t>
      </w:r>
      <w:r>
        <w:rPr>
          <w:rFonts w:eastAsia="仿宋_GB2312" w:hint="eastAsia"/>
          <w:sz w:val="32"/>
          <w:szCs w:val="32"/>
        </w:rPr>
        <w:t>，“</w:t>
      </w:r>
      <w:r>
        <w:rPr>
          <w:rFonts w:eastAsia="仿宋_GB2312"/>
          <w:sz w:val="32"/>
          <w:szCs w:val="32"/>
        </w:rPr>
        <w:t>事中</w:t>
      </w:r>
      <w:r>
        <w:rPr>
          <w:rFonts w:eastAsia="仿宋_GB2312" w:hint="eastAsia"/>
          <w:sz w:val="32"/>
          <w:szCs w:val="32"/>
        </w:rPr>
        <w:t>”</w:t>
      </w:r>
      <w:r>
        <w:rPr>
          <w:rFonts w:eastAsia="仿宋_GB2312"/>
          <w:sz w:val="32"/>
          <w:szCs w:val="32"/>
        </w:rPr>
        <w:t>开展日常稽核</w:t>
      </w:r>
      <w:r>
        <w:rPr>
          <w:rFonts w:eastAsia="仿宋_GB2312" w:hint="eastAsia"/>
          <w:sz w:val="32"/>
          <w:szCs w:val="32"/>
        </w:rPr>
        <w:t>、</w:t>
      </w:r>
      <w:r>
        <w:rPr>
          <w:rFonts w:eastAsia="仿宋_GB2312"/>
          <w:sz w:val="32"/>
          <w:szCs w:val="32"/>
        </w:rPr>
        <w:t>飞行</w:t>
      </w:r>
      <w:r>
        <w:rPr>
          <w:rFonts w:eastAsia="仿宋_GB2312"/>
          <w:sz w:val="32"/>
          <w:szCs w:val="32"/>
        </w:rPr>
        <w:lastRenderedPageBreak/>
        <w:t>检查</w:t>
      </w:r>
      <w:r>
        <w:rPr>
          <w:rFonts w:eastAsia="仿宋_GB2312" w:hint="eastAsia"/>
          <w:sz w:val="32"/>
          <w:szCs w:val="32"/>
        </w:rPr>
        <w:t>、纪检公安大数据分析、</w:t>
      </w:r>
      <w:r>
        <w:rPr>
          <w:rFonts w:eastAsia="仿宋_GB2312"/>
          <w:sz w:val="32"/>
          <w:szCs w:val="32"/>
        </w:rPr>
        <w:t>第三方协助监管打击欺诈骗保</w:t>
      </w:r>
      <w:r>
        <w:rPr>
          <w:rFonts w:eastAsia="仿宋_GB2312" w:hint="eastAsia"/>
          <w:sz w:val="32"/>
          <w:szCs w:val="32"/>
        </w:rPr>
        <w:t>和财政部门中期评估</w:t>
      </w:r>
      <w:r>
        <w:rPr>
          <w:rFonts w:eastAsia="仿宋_GB2312"/>
          <w:sz w:val="32"/>
          <w:szCs w:val="32"/>
        </w:rPr>
        <w:t>，</w:t>
      </w:r>
      <w:r>
        <w:rPr>
          <w:rFonts w:eastAsia="仿宋_GB2312" w:hint="eastAsia"/>
          <w:sz w:val="32"/>
          <w:szCs w:val="32"/>
        </w:rPr>
        <w:t>“</w:t>
      </w:r>
      <w:r>
        <w:rPr>
          <w:rFonts w:eastAsia="仿宋_GB2312"/>
          <w:sz w:val="32"/>
          <w:szCs w:val="32"/>
        </w:rPr>
        <w:t>事后</w:t>
      </w:r>
      <w:r>
        <w:rPr>
          <w:rFonts w:eastAsia="仿宋_GB2312" w:hint="eastAsia"/>
          <w:sz w:val="32"/>
          <w:szCs w:val="32"/>
        </w:rPr>
        <w:t>”</w:t>
      </w:r>
      <w:r>
        <w:rPr>
          <w:rFonts w:eastAsia="仿宋_GB2312"/>
          <w:sz w:val="32"/>
          <w:szCs w:val="32"/>
        </w:rPr>
        <w:t>通过预留金返还、年终决算、信用评价、第三方审计</w:t>
      </w:r>
      <w:r>
        <w:rPr>
          <w:rFonts w:eastAsia="仿宋_GB2312" w:hint="eastAsia"/>
          <w:sz w:val="32"/>
          <w:szCs w:val="32"/>
        </w:rPr>
        <w:t>、财政和审计等部门的</w:t>
      </w:r>
      <w:r>
        <w:rPr>
          <w:rFonts w:eastAsia="仿宋_GB2312"/>
          <w:sz w:val="32"/>
          <w:szCs w:val="32"/>
        </w:rPr>
        <w:t>绩效评价严格考核，形成全方位基金监管外部</w:t>
      </w:r>
      <w:r>
        <w:rPr>
          <w:rFonts w:eastAsia="仿宋_GB2312" w:hint="eastAsia"/>
          <w:sz w:val="32"/>
          <w:szCs w:val="32"/>
        </w:rPr>
        <w:t>“</w:t>
      </w:r>
      <w:r>
        <w:rPr>
          <w:rFonts w:eastAsia="仿宋_GB2312"/>
          <w:sz w:val="32"/>
          <w:szCs w:val="32"/>
        </w:rPr>
        <w:t>闭环</w:t>
      </w:r>
      <w:r>
        <w:rPr>
          <w:rFonts w:eastAsia="仿宋_GB2312" w:hint="eastAsia"/>
          <w:sz w:val="32"/>
          <w:szCs w:val="32"/>
        </w:rPr>
        <w:t>”</w:t>
      </w:r>
      <w:r>
        <w:rPr>
          <w:rFonts w:eastAsia="仿宋_GB2312"/>
          <w:sz w:val="32"/>
          <w:szCs w:val="32"/>
        </w:rPr>
        <w:t>。</w:t>
      </w:r>
      <w:r w:rsidRPr="005536EC">
        <w:rPr>
          <w:rFonts w:eastAsia="仿宋_GB2312"/>
          <w:b/>
          <w:bCs/>
          <w:sz w:val="32"/>
          <w:szCs w:val="32"/>
        </w:rPr>
        <w:t>二是落实医保待遇清单制度。</w:t>
      </w:r>
      <w:r w:rsidRPr="005536EC">
        <w:rPr>
          <w:rFonts w:eastAsia="仿宋_GB2312"/>
          <w:sz w:val="32"/>
          <w:szCs w:val="32"/>
        </w:rPr>
        <w:t>制定贯彻落实医保待遇清单制度计划和清理不合规政策台账，全面完成三重保障制度中各项政策项目设置和名称统一规范，以及待遇清单制度范围外政策的清理。</w:t>
      </w:r>
      <w:r w:rsidRPr="005536EC">
        <w:rPr>
          <w:rFonts w:eastAsia="仿宋_GB2312"/>
          <w:b/>
          <w:bCs/>
          <w:sz w:val="32"/>
          <w:szCs w:val="32"/>
        </w:rPr>
        <w:t>三是执行医保三大目录制度。</w:t>
      </w:r>
      <w:r w:rsidRPr="005536EC">
        <w:rPr>
          <w:rFonts w:eastAsia="仿宋_GB2312"/>
          <w:sz w:val="32"/>
          <w:szCs w:val="32"/>
        </w:rPr>
        <w:t>严格执行全省统一的药品目录、医疗服务项目、医用耗材目录，医疗服务项目目录和医用耗材目录未自行增减项目，未自行调整目录自负比例、限额支付标准和限定支付范围。制定《关于做好医保谈判</w:t>
      </w:r>
      <w:r w:rsidRPr="005536EC">
        <w:rPr>
          <w:rFonts w:eastAsia="仿宋_GB2312"/>
          <w:sz w:val="32"/>
          <w:szCs w:val="32"/>
        </w:rPr>
        <w:t>“</w:t>
      </w:r>
      <w:r w:rsidRPr="005536EC">
        <w:rPr>
          <w:rFonts w:eastAsia="仿宋_GB2312"/>
          <w:sz w:val="32"/>
          <w:szCs w:val="32"/>
        </w:rPr>
        <w:t>双通道</w:t>
      </w:r>
      <w:r w:rsidRPr="005536EC">
        <w:rPr>
          <w:rFonts w:eastAsia="仿宋_GB2312"/>
          <w:sz w:val="32"/>
          <w:szCs w:val="32"/>
        </w:rPr>
        <w:t>”</w:t>
      </w:r>
      <w:r w:rsidRPr="005536EC">
        <w:rPr>
          <w:rFonts w:eastAsia="仿宋_GB2312"/>
          <w:sz w:val="32"/>
          <w:szCs w:val="32"/>
        </w:rPr>
        <w:t>管理工作的通知》，落实</w:t>
      </w:r>
      <w:r w:rsidRPr="005536EC">
        <w:rPr>
          <w:rFonts w:eastAsia="仿宋_GB2312"/>
          <w:sz w:val="32"/>
          <w:szCs w:val="32"/>
        </w:rPr>
        <w:t>“</w:t>
      </w:r>
      <w:r w:rsidRPr="005536EC">
        <w:rPr>
          <w:rFonts w:eastAsia="仿宋_GB2312"/>
          <w:sz w:val="32"/>
          <w:szCs w:val="32"/>
        </w:rPr>
        <w:t>双通道</w:t>
      </w:r>
      <w:r w:rsidRPr="005536EC">
        <w:rPr>
          <w:rFonts w:eastAsia="仿宋_GB2312"/>
          <w:sz w:val="32"/>
          <w:szCs w:val="32"/>
        </w:rPr>
        <w:t>”</w:t>
      </w:r>
      <w:r w:rsidRPr="005536EC">
        <w:rPr>
          <w:rFonts w:eastAsia="仿宋_GB2312"/>
          <w:sz w:val="32"/>
          <w:szCs w:val="32"/>
        </w:rPr>
        <w:t>管理药品待遇，确定</w:t>
      </w:r>
      <w:r w:rsidRPr="005536EC">
        <w:rPr>
          <w:rFonts w:eastAsia="仿宋_GB2312"/>
          <w:sz w:val="32"/>
          <w:szCs w:val="32"/>
        </w:rPr>
        <w:t>“</w:t>
      </w:r>
      <w:r w:rsidRPr="005536EC">
        <w:rPr>
          <w:rFonts w:eastAsia="仿宋_GB2312"/>
          <w:sz w:val="32"/>
          <w:szCs w:val="32"/>
        </w:rPr>
        <w:t>双通道</w:t>
      </w:r>
      <w:r w:rsidRPr="005536EC">
        <w:rPr>
          <w:rFonts w:eastAsia="仿宋_GB2312"/>
          <w:sz w:val="32"/>
          <w:szCs w:val="32"/>
        </w:rPr>
        <w:t>”</w:t>
      </w:r>
      <w:r w:rsidRPr="005536EC">
        <w:rPr>
          <w:rFonts w:eastAsia="仿宋_GB2312"/>
          <w:sz w:val="32"/>
          <w:szCs w:val="32"/>
        </w:rPr>
        <w:t>管理药品定点机构，建立了</w:t>
      </w:r>
      <w:r w:rsidRPr="005536EC">
        <w:rPr>
          <w:rFonts w:eastAsia="仿宋_GB2312"/>
          <w:sz w:val="32"/>
          <w:szCs w:val="32"/>
        </w:rPr>
        <w:t>“</w:t>
      </w:r>
      <w:r w:rsidRPr="005536EC">
        <w:rPr>
          <w:rFonts w:eastAsia="仿宋_GB2312"/>
          <w:sz w:val="32"/>
          <w:szCs w:val="32"/>
        </w:rPr>
        <w:t>双通道</w:t>
      </w:r>
      <w:r w:rsidRPr="005536EC">
        <w:rPr>
          <w:rFonts w:eastAsia="仿宋_GB2312"/>
          <w:sz w:val="32"/>
          <w:szCs w:val="32"/>
        </w:rPr>
        <w:t>”</w:t>
      </w:r>
      <w:r w:rsidRPr="005536EC">
        <w:rPr>
          <w:rFonts w:eastAsia="仿宋_GB2312"/>
          <w:sz w:val="32"/>
          <w:szCs w:val="32"/>
        </w:rPr>
        <w:t>管理药品责任医生库，并加强临床合理使用的监管。</w:t>
      </w:r>
      <w:r w:rsidRPr="005536EC">
        <w:rPr>
          <w:rFonts w:eastAsia="仿宋_GB2312"/>
          <w:b/>
          <w:bCs/>
          <w:sz w:val="32"/>
          <w:szCs w:val="32"/>
        </w:rPr>
        <w:t>四是出台医疗救助制度。</w:t>
      </w:r>
      <w:r w:rsidRPr="005536EC">
        <w:rPr>
          <w:rFonts w:eastAsia="仿宋_GB2312"/>
          <w:sz w:val="32"/>
          <w:szCs w:val="32"/>
        </w:rPr>
        <w:t>以市政府办公室名义印发《株洲市医疗救助实施细则》，统一规范了全市医疗救助制度，妥善解决了县市区政策差异较大、碎片化问题，增强了医疗救助的托底保障能力，对巩固医保脱贫攻坚成果、有效衔接乡村振兴战略具有重大意义。</w:t>
      </w:r>
    </w:p>
    <w:p w:rsidR="00DE6C60" w:rsidRPr="005536EC" w:rsidRDefault="00DE6C60" w:rsidP="00F31A6E">
      <w:pPr>
        <w:spacing w:line="560" w:lineRule="exact"/>
        <w:ind w:firstLineChars="200" w:firstLine="643"/>
        <w:rPr>
          <w:rFonts w:eastAsia="楷体"/>
          <w:b/>
          <w:bCs/>
          <w:sz w:val="32"/>
          <w:szCs w:val="32"/>
        </w:rPr>
      </w:pPr>
      <w:r w:rsidRPr="005536EC">
        <w:rPr>
          <w:rFonts w:eastAsia="楷体_GB2312"/>
          <w:b/>
          <w:bCs/>
          <w:sz w:val="32"/>
          <w:szCs w:val="32"/>
        </w:rPr>
        <w:t>四、聚焦惠民利民</w:t>
      </w:r>
      <w:r w:rsidRPr="005536EC">
        <w:rPr>
          <w:rFonts w:eastAsia="楷体_GB2312"/>
          <w:b/>
          <w:bCs/>
          <w:sz w:val="32"/>
          <w:szCs w:val="32"/>
        </w:rPr>
        <w:t>“</w:t>
      </w:r>
      <w:r w:rsidRPr="005536EC">
        <w:rPr>
          <w:rFonts w:eastAsia="楷体_GB2312"/>
          <w:b/>
          <w:bCs/>
          <w:sz w:val="32"/>
          <w:szCs w:val="32"/>
        </w:rPr>
        <w:t>谋福祉</w:t>
      </w:r>
      <w:r w:rsidRPr="005536EC">
        <w:rPr>
          <w:rFonts w:eastAsia="楷体_GB2312"/>
          <w:b/>
          <w:bCs/>
          <w:sz w:val="32"/>
          <w:szCs w:val="32"/>
        </w:rPr>
        <w:t>”</w:t>
      </w:r>
      <w:r w:rsidRPr="005536EC">
        <w:rPr>
          <w:rFonts w:eastAsia="楷体_GB2312"/>
          <w:b/>
          <w:bCs/>
          <w:sz w:val="32"/>
          <w:szCs w:val="32"/>
        </w:rPr>
        <w:t>，不断提高了医疗保障水平。</w:t>
      </w:r>
      <w:r w:rsidRPr="005536EC">
        <w:rPr>
          <w:rFonts w:eastAsia="仿宋_GB2312"/>
          <w:b/>
          <w:bCs/>
          <w:sz w:val="32"/>
          <w:szCs w:val="32"/>
        </w:rPr>
        <w:t>一是医保经办服务便民利民。</w:t>
      </w:r>
      <w:r w:rsidRPr="005536EC">
        <w:rPr>
          <w:rStyle w:val="NormalCharacter"/>
          <w:rFonts w:eastAsia="仿宋_GB2312"/>
          <w:sz w:val="32"/>
          <w:szCs w:val="32"/>
        </w:rPr>
        <w:t>制定《株洲市</w:t>
      </w:r>
      <w:r w:rsidRPr="005536EC">
        <w:rPr>
          <w:rStyle w:val="NormalCharacter"/>
          <w:rFonts w:eastAsia="仿宋_GB2312"/>
          <w:sz w:val="32"/>
          <w:szCs w:val="32"/>
        </w:rPr>
        <w:t>2022</w:t>
      </w:r>
      <w:r w:rsidRPr="005536EC">
        <w:rPr>
          <w:rStyle w:val="NormalCharacter"/>
          <w:rFonts w:eastAsia="仿宋_GB2312"/>
          <w:sz w:val="32"/>
          <w:szCs w:val="32"/>
        </w:rPr>
        <w:t>年度医保管理服务真抓实干督查激励实施办法》、《株洲市</w:t>
      </w:r>
      <w:r w:rsidRPr="005536EC">
        <w:rPr>
          <w:rStyle w:val="NormalCharacter"/>
          <w:rFonts w:eastAsia="仿宋_GB2312"/>
          <w:sz w:val="32"/>
          <w:szCs w:val="32"/>
        </w:rPr>
        <w:t>2022</w:t>
      </w:r>
      <w:r w:rsidRPr="005536EC">
        <w:rPr>
          <w:rStyle w:val="NormalCharacter"/>
          <w:rFonts w:eastAsia="仿宋_GB2312"/>
          <w:sz w:val="32"/>
          <w:szCs w:val="32"/>
        </w:rPr>
        <w:t>年医疗保障经办管理服务规范年建设工作实施方案》，对优化医保领域便民服务、推进医保经办管理服务体系建设、提升医保规范化管理水平等工作进行定期调度。制定《城区城乡居民基本医疗保险市</w:t>
      </w:r>
      <w:r w:rsidRPr="005536EC">
        <w:rPr>
          <w:rStyle w:val="NormalCharacter"/>
          <w:rFonts w:eastAsia="仿宋_GB2312"/>
          <w:sz w:val="32"/>
          <w:szCs w:val="32"/>
        </w:rPr>
        <w:lastRenderedPageBreak/>
        <w:t>级统筹实施方案》，按照基金统一管理、管理分级负责的原则，建立权利与义务相对应、事权与财权相匹配、激励与约束相结合的市、区两级医保责任分担机制，全面提升经办效率，优化经办服务，实行城乡居民医保业务</w:t>
      </w:r>
      <w:r w:rsidRPr="005536EC">
        <w:rPr>
          <w:rStyle w:val="NormalCharacter"/>
          <w:rFonts w:eastAsia="仿宋_GB2312"/>
          <w:sz w:val="32"/>
          <w:szCs w:val="32"/>
        </w:rPr>
        <w:t>“</w:t>
      </w:r>
      <w:r w:rsidRPr="005536EC">
        <w:rPr>
          <w:rStyle w:val="NormalCharacter"/>
          <w:rFonts w:eastAsia="仿宋_GB2312"/>
          <w:sz w:val="32"/>
          <w:szCs w:val="32"/>
        </w:rPr>
        <w:t>全城通办</w:t>
      </w:r>
      <w:r w:rsidRPr="005536EC">
        <w:rPr>
          <w:rStyle w:val="NormalCharacter"/>
          <w:rFonts w:eastAsia="仿宋_GB2312"/>
          <w:sz w:val="32"/>
          <w:szCs w:val="32"/>
        </w:rPr>
        <w:t>”</w:t>
      </w:r>
      <w:r w:rsidRPr="005536EC">
        <w:rPr>
          <w:rStyle w:val="NormalCharacter"/>
          <w:rFonts w:eastAsia="仿宋_GB2312"/>
          <w:sz w:val="32"/>
          <w:szCs w:val="32"/>
        </w:rPr>
        <w:t>，方便全市参保居民享受医保服务。截至</w:t>
      </w:r>
      <w:r w:rsidRPr="005536EC">
        <w:rPr>
          <w:rStyle w:val="NormalCharacter"/>
          <w:rFonts w:eastAsia="仿宋_GB2312"/>
          <w:sz w:val="32"/>
          <w:szCs w:val="32"/>
        </w:rPr>
        <w:t>11</w:t>
      </w:r>
      <w:r w:rsidRPr="005536EC">
        <w:rPr>
          <w:rStyle w:val="NormalCharacter"/>
          <w:rFonts w:eastAsia="仿宋_GB2312"/>
          <w:sz w:val="32"/>
          <w:szCs w:val="32"/>
        </w:rPr>
        <w:t>月底，全市实现</w:t>
      </w:r>
      <w:r w:rsidRPr="005536EC">
        <w:rPr>
          <w:rStyle w:val="NormalCharacter"/>
          <w:rFonts w:eastAsia="仿宋_GB2312"/>
          <w:sz w:val="32"/>
          <w:szCs w:val="32"/>
        </w:rPr>
        <w:t>107</w:t>
      </w:r>
      <w:r w:rsidRPr="005536EC">
        <w:rPr>
          <w:rStyle w:val="NormalCharacter"/>
          <w:rFonts w:eastAsia="仿宋_GB2312"/>
          <w:sz w:val="32"/>
          <w:szCs w:val="32"/>
        </w:rPr>
        <w:t>个乡镇（街道）提供</w:t>
      </w:r>
      <w:r w:rsidRPr="005536EC">
        <w:rPr>
          <w:rStyle w:val="NormalCharacter"/>
          <w:rFonts w:eastAsia="仿宋_GB2312"/>
          <w:sz w:val="32"/>
          <w:szCs w:val="32"/>
        </w:rPr>
        <w:t>7</w:t>
      </w:r>
      <w:r w:rsidRPr="005536EC">
        <w:rPr>
          <w:rStyle w:val="NormalCharacter"/>
          <w:rFonts w:eastAsia="仿宋_GB2312"/>
          <w:sz w:val="32"/>
          <w:szCs w:val="32"/>
        </w:rPr>
        <w:t>项以上医保服务，</w:t>
      </w:r>
      <w:r w:rsidRPr="005536EC">
        <w:rPr>
          <w:rStyle w:val="NormalCharacter"/>
          <w:rFonts w:eastAsia="仿宋_GB2312"/>
          <w:sz w:val="32"/>
          <w:szCs w:val="32"/>
        </w:rPr>
        <w:t>1384</w:t>
      </w:r>
      <w:r w:rsidRPr="005536EC">
        <w:rPr>
          <w:rStyle w:val="NormalCharacter"/>
          <w:rFonts w:eastAsia="仿宋_GB2312"/>
          <w:sz w:val="32"/>
          <w:szCs w:val="32"/>
        </w:rPr>
        <w:t>个村（社区）医保</w:t>
      </w:r>
      <w:r w:rsidRPr="005536EC">
        <w:rPr>
          <w:rStyle w:val="NormalCharacter"/>
          <w:rFonts w:eastAsia="仿宋_GB2312"/>
          <w:sz w:val="32"/>
          <w:szCs w:val="32"/>
        </w:rPr>
        <w:t>“</w:t>
      </w:r>
      <w:r w:rsidRPr="005536EC">
        <w:rPr>
          <w:rStyle w:val="NormalCharacter"/>
          <w:rFonts w:eastAsia="仿宋_GB2312"/>
          <w:sz w:val="32"/>
          <w:szCs w:val="32"/>
        </w:rPr>
        <w:t>帮代办</w:t>
      </w:r>
      <w:r w:rsidRPr="005536EC">
        <w:rPr>
          <w:rStyle w:val="NormalCharacter"/>
          <w:rFonts w:eastAsia="仿宋_GB2312"/>
          <w:sz w:val="32"/>
          <w:szCs w:val="32"/>
        </w:rPr>
        <w:t>”</w:t>
      </w:r>
      <w:r w:rsidRPr="005536EC">
        <w:rPr>
          <w:rStyle w:val="NormalCharacter"/>
          <w:rFonts w:eastAsia="仿宋_GB2312"/>
          <w:sz w:val="32"/>
          <w:szCs w:val="32"/>
        </w:rPr>
        <w:t>服务，乡镇（街道）</w:t>
      </w:r>
      <w:r w:rsidRPr="005536EC">
        <w:rPr>
          <w:rStyle w:val="NormalCharacter"/>
          <w:rFonts w:eastAsia="仿宋_GB2312" w:hint="eastAsia"/>
          <w:sz w:val="32"/>
          <w:szCs w:val="32"/>
        </w:rPr>
        <w:t>、</w:t>
      </w:r>
      <w:r w:rsidRPr="005536EC">
        <w:rPr>
          <w:rStyle w:val="NormalCharacter"/>
          <w:rFonts w:eastAsia="仿宋_GB2312"/>
          <w:sz w:val="32"/>
          <w:szCs w:val="32"/>
        </w:rPr>
        <w:t>村</w:t>
      </w:r>
      <w:r w:rsidRPr="005536EC">
        <w:rPr>
          <w:rStyle w:val="NormalCharacter"/>
          <w:rFonts w:eastAsia="仿宋_GB2312"/>
          <w:sz w:val="32"/>
          <w:szCs w:val="32"/>
        </w:rPr>
        <w:t xml:space="preserve"> </w:t>
      </w:r>
      <w:r w:rsidRPr="005536EC">
        <w:rPr>
          <w:rStyle w:val="NormalCharacter"/>
          <w:rFonts w:eastAsia="仿宋_GB2312"/>
          <w:sz w:val="32"/>
          <w:szCs w:val="32"/>
        </w:rPr>
        <w:t>（社区）服务覆盖率均达到</w:t>
      </w:r>
      <w:r w:rsidRPr="005536EC">
        <w:rPr>
          <w:rStyle w:val="NormalCharacter"/>
          <w:rFonts w:eastAsia="仿宋_GB2312"/>
          <w:sz w:val="32"/>
          <w:szCs w:val="32"/>
        </w:rPr>
        <w:t>100%</w:t>
      </w:r>
      <w:r w:rsidRPr="005536EC">
        <w:rPr>
          <w:rStyle w:val="NormalCharacter"/>
          <w:rFonts w:eastAsia="仿宋_GB2312"/>
          <w:sz w:val="32"/>
          <w:szCs w:val="32"/>
        </w:rPr>
        <w:t>，全面打造医保</w:t>
      </w:r>
      <w:r w:rsidRPr="005536EC">
        <w:rPr>
          <w:rStyle w:val="NormalCharacter"/>
          <w:rFonts w:eastAsia="仿宋_GB2312"/>
          <w:sz w:val="32"/>
          <w:szCs w:val="32"/>
        </w:rPr>
        <w:t>“15</w:t>
      </w:r>
      <w:r w:rsidRPr="005536EC">
        <w:rPr>
          <w:rStyle w:val="NormalCharacter"/>
          <w:rFonts w:eastAsia="仿宋_GB2312"/>
          <w:sz w:val="32"/>
          <w:szCs w:val="32"/>
        </w:rPr>
        <w:t>分钟服务圈</w:t>
      </w:r>
      <w:r w:rsidRPr="005536EC">
        <w:rPr>
          <w:rStyle w:val="NormalCharacter"/>
          <w:rFonts w:eastAsia="仿宋_GB2312"/>
          <w:sz w:val="32"/>
          <w:szCs w:val="32"/>
        </w:rPr>
        <w:t>”</w:t>
      </w:r>
      <w:r w:rsidRPr="005536EC">
        <w:rPr>
          <w:rStyle w:val="NormalCharacter"/>
          <w:rFonts w:eastAsia="仿宋_GB2312"/>
          <w:sz w:val="32"/>
          <w:szCs w:val="32"/>
        </w:rPr>
        <w:t>。</w:t>
      </w:r>
      <w:r w:rsidRPr="005536EC">
        <w:rPr>
          <w:rFonts w:eastAsia="仿宋_GB2312"/>
          <w:b/>
          <w:bCs/>
          <w:sz w:val="32"/>
          <w:szCs w:val="32"/>
        </w:rPr>
        <w:t>二是医保信息化建设稳步提升。</w:t>
      </w:r>
      <w:r w:rsidRPr="005536EC">
        <w:rPr>
          <w:rFonts w:eastAsia="仿宋_GB2312"/>
          <w:sz w:val="32"/>
          <w:szCs w:val="32"/>
        </w:rPr>
        <w:t>聚焦医保个人账户</w:t>
      </w:r>
      <w:r w:rsidRPr="005536EC">
        <w:rPr>
          <w:rFonts w:eastAsia="仿宋_GB2312"/>
          <w:sz w:val="32"/>
          <w:szCs w:val="32"/>
        </w:rPr>
        <w:t>“</w:t>
      </w:r>
      <w:r w:rsidRPr="005536EC">
        <w:rPr>
          <w:rFonts w:eastAsia="仿宋_GB2312"/>
          <w:sz w:val="32"/>
          <w:szCs w:val="32"/>
        </w:rPr>
        <w:t>热点</w:t>
      </w:r>
      <w:r w:rsidRPr="005536EC">
        <w:rPr>
          <w:rFonts w:eastAsia="仿宋_GB2312"/>
          <w:sz w:val="32"/>
          <w:szCs w:val="32"/>
        </w:rPr>
        <w:t>”“</w:t>
      </w:r>
      <w:r w:rsidRPr="005536EC">
        <w:rPr>
          <w:rFonts w:eastAsia="仿宋_GB2312"/>
          <w:sz w:val="32"/>
          <w:szCs w:val="32"/>
        </w:rPr>
        <w:t>难点</w:t>
      </w:r>
      <w:r w:rsidRPr="005536EC">
        <w:rPr>
          <w:rFonts w:eastAsia="仿宋_GB2312"/>
          <w:sz w:val="32"/>
          <w:szCs w:val="32"/>
        </w:rPr>
        <w:t>”</w:t>
      </w:r>
      <w:r w:rsidRPr="005536EC">
        <w:rPr>
          <w:rFonts w:eastAsia="仿宋_GB2312"/>
          <w:sz w:val="32"/>
          <w:szCs w:val="32"/>
        </w:rPr>
        <w:t>问题，通过推进个人账户异地购药、异地安置人员个人账户金网上返还和个人账户金省内互转三项</w:t>
      </w:r>
      <w:r w:rsidRPr="005536EC">
        <w:rPr>
          <w:rFonts w:eastAsia="仿宋_GB2312"/>
          <w:sz w:val="32"/>
          <w:szCs w:val="32"/>
        </w:rPr>
        <w:t>“</w:t>
      </w:r>
      <w:r w:rsidRPr="005536EC">
        <w:rPr>
          <w:rFonts w:eastAsia="仿宋_GB2312"/>
          <w:sz w:val="32"/>
          <w:szCs w:val="32"/>
        </w:rPr>
        <w:t>微改革</w:t>
      </w:r>
      <w:r w:rsidRPr="005536EC">
        <w:rPr>
          <w:rFonts w:eastAsia="仿宋_GB2312"/>
          <w:sz w:val="32"/>
          <w:szCs w:val="32"/>
        </w:rPr>
        <w:t>”</w:t>
      </w:r>
      <w:r w:rsidRPr="005536EC">
        <w:rPr>
          <w:rFonts w:eastAsia="仿宋_GB2312"/>
          <w:sz w:val="32"/>
          <w:szCs w:val="32"/>
        </w:rPr>
        <w:t>，为参保群众身体健康保驾护航，进一步提升参保群众医保服务获得感、幸福感。</w:t>
      </w:r>
      <w:r w:rsidRPr="005536EC">
        <w:rPr>
          <w:rFonts w:eastAsia="仿宋_GB2312"/>
          <w:sz w:val="32"/>
          <w:szCs w:val="32"/>
        </w:rPr>
        <w:t>6</w:t>
      </w:r>
      <w:r w:rsidRPr="005536EC">
        <w:rPr>
          <w:rFonts w:eastAsia="仿宋_GB2312"/>
          <w:sz w:val="32"/>
          <w:szCs w:val="32"/>
        </w:rPr>
        <w:t>月</w:t>
      </w:r>
      <w:r w:rsidRPr="005536EC">
        <w:rPr>
          <w:rFonts w:eastAsia="仿宋_GB2312"/>
          <w:sz w:val="32"/>
          <w:szCs w:val="32"/>
        </w:rPr>
        <w:t>22</w:t>
      </w:r>
      <w:r w:rsidRPr="005536EC">
        <w:rPr>
          <w:rFonts w:eastAsia="仿宋_GB2312"/>
          <w:sz w:val="32"/>
          <w:szCs w:val="32"/>
        </w:rPr>
        <w:t>日，株洲市在全省率先上线医保移动支付业务，参保群众只需现场绑定医保电子凭证，就可以在手机端完成挂号、就诊、支付、取药、结算、取报告等全流程服务，目前全市有</w:t>
      </w:r>
      <w:r w:rsidRPr="005536EC">
        <w:rPr>
          <w:rFonts w:eastAsia="仿宋_GB2312"/>
          <w:sz w:val="32"/>
          <w:szCs w:val="32"/>
        </w:rPr>
        <w:t>13</w:t>
      </w:r>
      <w:r w:rsidRPr="005536EC">
        <w:rPr>
          <w:rFonts w:eastAsia="仿宋_GB2312"/>
          <w:sz w:val="32"/>
          <w:szCs w:val="32"/>
        </w:rPr>
        <w:t>家医疗机构正在申请开通移动支付。</w:t>
      </w:r>
      <w:r w:rsidRPr="005536EC">
        <w:rPr>
          <w:rFonts w:eastAsia="仿宋_GB2312"/>
          <w:sz w:val="32"/>
          <w:szCs w:val="32"/>
        </w:rPr>
        <w:t>9</w:t>
      </w:r>
      <w:r w:rsidRPr="005536EC">
        <w:rPr>
          <w:rFonts w:eastAsia="仿宋_GB2312"/>
          <w:sz w:val="32"/>
          <w:szCs w:val="32"/>
        </w:rPr>
        <w:t>月</w:t>
      </w:r>
      <w:r w:rsidRPr="005536EC">
        <w:rPr>
          <w:rFonts w:eastAsia="仿宋_GB2312"/>
          <w:sz w:val="32"/>
          <w:szCs w:val="32"/>
        </w:rPr>
        <w:t>18</w:t>
      </w:r>
      <w:r w:rsidRPr="005536EC">
        <w:rPr>
          <w:rFonts w:eastAsia="仿宋_GB2312"/>
          <w:sz w:val="32"/>
          <w:szCs w:val="32"/>
        </w:rPr>
        <w:t>日，株洲市在全省率先开通个人账户家庭共济业务，实现职工医保与职工医保、职工医保与城乡居民医保家庭成员之间的共济。截至</w:t>
      </w:r>
      <w:r w:rsidRPr="005536EC">
        <w:rPr>
          <w:rFonts w:eastAsia="仿宋_GB2312"/>
          <w:sz w:val="32"/>
          <w:szCs w:val="32"/>
        </w:rPr>
        <w:t>11</w:t>
      </w:r>
      <w:r w:rsidRPr="005536EC">
        <w:rPr>
          <w:rFonts w:eastAsia="仿宋_GB2312"/>
          <w:sz w:val="32"/>
          <w:szCs w:val="32"/>
        </w:rPr>
        <w:t>月底，个人账户家庭共享业务共结算</w:t>
      </w:r>
      <w:r w:rsidRPr="005536EC">
        <w:rPr>
          <w:rFonts w:eastAsia="仿宋_GB2312"/>
          <w:sz w:val="32"/>
          <w:szCs w:val="32"/>
        </w:rPr>
        <w:t>10420</w:t>
      </w:r>
      <w:r w:rsidRPr="005536EC">
        <w:rPr>
          <w:rFonts w:eastAsia="仿宋_GB2312"/>
          <w:sz w:val="32"/>
          <w:szCs w:val="32"/>
        </w:rPr>
        <w:t>人次，个人账户结算金额达</w:t>
      </w:r>
      <w:r w:rsidRPr="005536EC">
        <w:rPr>
          <w:rFonts w:eastAsia="仿宋_GB2312"/>
          <w:sz w:val="32"/>
          <w:szCs w:val="32"/>
        </w:rPr>
        <w:t>37.59</w:t>
      </w:r>
      <w:r w:rsidRPr="005536EC">
        <w:rPr>
          <w:rFonts w:eastAsia="仿宋_GB2312"/>
          <w:sz w:val="32"/>
          <w:szCs w:val="32"/>
        </w:rPr>
        <w:t>万元。积极探索医保电子凭证激活新渠道、新办法，通过绑定亲情账户、开通自助机激活等方式，加快医保电子凭证激活及使用。</w:t>
      </w:r>
      <w:r w:rsidRPr="005536EC">
        <w:rPr>
          <w:rFonts w:eastAsia="仿宋_GB2312"/>
          <w:b/>
          <w:bCs/>
          <w:sz w:val="32"/>
          <w:szCs w:val="32"/>
        </w:rPr>
        <w:t>三是医保民生实事全面落实。</w:t>
      </w:r>
      <w:r w:rsidRPr="005536EC">
        <w:rPr>
          <w:rStyle w:val="NormalCharacter"/>
          <w:rFonts w:eastAsia="仿宋_GB2312"/>
          <w:sz w:val="32"/>
          <w:szCs w:val="32"/>
        </w:rPr>
        <w:t>全面落实省、市重点民生实事，截至</w:t>
      </w:r>
      <w:r w:rsidRPr="005536EC">
        <w:rPr>
          <w:rStyle w:val="NormalCharacter"/>
          <w:rFonts w:eastAsia="仿宋_GB2312"/>
          <w:sz w:val="32"/>
          <w:szCs w:val="32"/>
        </w:rPr>
        <w:t>11</w:t>
      </w:r>
      <w:r w:rsidRPr="005536EC">
        <w:rPr>
          <w:rStyle w:val="NormalCharacter"/>
          <w:rFonts w:eastAsia="仿宋_GB2312"/>
          <w:sz w:val="32"/>
          <w:szCs w:val="32"/>
        </w:rPr>
        <w:t>月底，省、市重点民生实事均提前超额完成，</w:t>
      </w:r>
      <w:r w:rsidRPr="005536EC">
        <w:rPr>
          <w:rStyle w:val="NormalCharacter"/>
          <w:rFonts w:eastAsia="仿宋_GB2312"/>
          <w:sz w:val="32"/>
          <w:szCs w:val="32"/>
        </w:rPr>
        <w:t>9</w:t>
      </w:r>
      <w:r w:rsidRPr="005536EC">
        <w:rPr>
          <w:rStyle w:val="NormalCharacter"/>
          <w:rFonts w:eastAsia="仿宋_GB2312"/>
          <w:sz w:val="32"/>
          <w:szCs w:val="32"/>
        </w:rPr>
        <w:t>个统筹区</w:t>
      </w:r>
      <w:r w:rsidRPr="005536EC">
        <w:rPr>
          <w:rStyle w:val="NormalCharacter"/>
          <w:rFonts w:eastAsia="仿宋_GB2312"/>
          <w:sz w:val="32"/>
          <w:szCs w:val="32"/>
        </w:rPr>
        <w:t>187</w:t>
      </w:r>
      <w:r w:rsidRPr="005536EC">
        <w:rPr>
          <w:rStyle w:val="NormalCharacter"/>
          <w:rFonts w:eastAsia="仿宋_GB2312"/>
          <w:sz w:val="32"/>
          <w:szCs w:val="32"/>
        </w:rPr>
        <w:t>家定点医疗机构实现普通门诊医疗费用跨省直接结算；</w:t>
      </w:r>
      <w:r w:rsidRPr="005536EC">
        <w:rPr>
          <w:rStyle w:val="NormalCharacter"/>
          <w:rFonts w:eastAsia="仿宋_GB2312"/>
          <w:sz w:val="32"/>
          <w:szCs w:val="32"/>
        </w:rPr>
        <w:t>43</w:t>
      </w:r>
      <w:r w:rsidRPr="005536EC">
        <w:rPr>
          <w:rStyle w:val="NormalCharacter"/>
          <w:rFonts w:eastAsia="仿宋_GB2312"/>
          <w:sz w:val="32"/>
          <w:szCs w:val="32"/>
        </w:rPr>
        <w:t>家医疗机构实现</w:t>
      </w:r>
      <w:r w:rsidRPr="005536EC">
        <w:rPr>
          <w:rStyle w:val="NormalCharacter"/>
          <w:rFonts w:eastAsia="仿宋_GB2312"/>
          <w:sz w:val="32"/>
          <w:szCs w:val="32"/>
        </w:rPr>
        <w:t>5</w:t>
      </w:r>
      <w:r w:rsidRPr="005536EC">
        <w:rPr>
          <w:rStyle w:val="NormalCharacter"/>
          <w:rFonts w:eastAsia="仿宋_GB2312"/>
          <w:sz w:val="32"/>
          <w:szCs w:val="32"/>
        </w:rPr>
        <w:t>个门</w:t>
      </w:r>
      <w:r w:rsidRPr="005536EC">
        <w:rPr>
          <w:rStyle w:val="NormalCharacter"/>
          <w:rFonts w:eastAsia="仿宋_GB2312"/>
          <w:sz w:val="32"/>
          <w:szCs w:val="32"/>
        </w:rPr>
        <w:lastRenderedPageBreak/>
        <w:t>诊慢特病治疗费用跨省直接结算，每个区县至少完成</w:t>
      </w:r>
      <w:r w:rsidRPr="005536EC">
        <w:rPr>
          <w:rStyle w:val="NormalCharacter"/>
          <w:rFonts w:eastAsia="仿宋_GB2312"/>
          <w:sz w:val="32"/>
          <w:szCs w:val="32"/>
        </w:rPr>
        <w:t>2</w:t>
      </w:r>
      <w:r w:rsidRPr="005536EC">
        <w:rPr>
          <w:rStyle w:val="NormalCharacter"/>
          <w:rFonts w:eastAsia="仿宋_GB2312"/>
          <w:sz w:val="32"/>
          <w:szCs w:val="32"/>
        </w:rPr>
        <w:t>家。市重点民生实事城乡居民</w:t>
      </w:r>
      <w:r w:rsidRPr="005536EC">
        <w:rPr>
          <w:rStyle w:val="NormalCharacter"/>
          <w:rFonts w:eastAsia="仿宋_GB2312"/>
          <w:sz w:val="32"/>
          <w:szCs w:val="32"/>
        </w:rPr>
        <w:t>“</w:t>
      </w:r>
      <w:r w:rsidRPr="005536EC">
        <w:rPr>
          <w:rStyle w:val="NormalCharacter"/>
          <w:rFonts w:eastAsia="仿宋_GB2312"/>
          <w:sz w:val="32"/>
          <w:szCs w:val="32"/>
        </w:rPr>
        <w:t>两病</w:t>
      </w:r>
      <w:r w:rsidRPr="005536EC">
        <w:rPr>
          <w:rStyle w:val="NormalCharacter"/>
          <w:rFonts w:eastAsia="仿宋_GB2312"/>
          <w:sz w:val="32"/>
          <w:szCs w:val="32"/>
        </w:rPr>
        <w:t>”</w:t>
      </w:r>
      <w:r w:rsidRPr="005536EC">
        <w:rPr>
          <w:rStyle w:val="NormalCharacter"/>
          <w:rFonts w:eastAsia="仿宋_GB2312"/>
          <w:sz w:val="32"/>
          <w:szCs w:val="32"/>
        </w:rPr>
        <w:t>门诊用药保障享受人次为</w:t>
      </w:r>
      <w:r w:rsidRPr="005536EC">
        <w:rPr>
          <w:rStyle w:val="NormalCharacter"/>
          <w:rFonts w:eastAsia="仿宋_GB2312"/>
          <w:sz w:val="32"/>
          <w:szCs w:val="32"/>
        </w:rPr>
        <w:t>39.33</w:t>
      </w:r>
      <w:r w:rsidRPr="005536EC">
        <w:rPr>
          <w:rStyle w:val="NormalCharacter"/>
          <w:rFonts w:eastAsia="仿宋_GB2312"/>
          <w:sz w:val="32"/>
          <w:szCs w:val="32"/>
        </w:rPr>
        <w:t>万人次，完成全年目标任务的</w:t>
      </w:r>
      <w:r w:rsidRPr="005536EC">
        <w:rPr>
          <w:rStyle w:val="NormalCharacter"/>
          <w:rFonts w:eastAsia="仿宋_GB2312"/>
          <w:sz w:val="32"/>
          <w:szCs w:val="32"/>
        </w:rPr>
        <w:t>196.65%</w:t>
      </w:r>
      <w:r w:rsidRPr="005536EC">
        <w:rPr>
          <w:rStyle w:val="NormalCharacter"/>
          <w:rFonts w:eastAsia="仿宋_GB2312"/>
          <w:sz w:val="32"/>
          <w:szCs w:val="32"/>
        </w:rPr>
        <w:t>。</w:t>
      </w:r>
      <w:r w:rsidRPr="005536EC">
        <w:rPr>
          <w:rFonts w:eastAsia="仿宋_GB2312"/>
          <w:sz w:val="32"/>
          <w:szCs w:val="32"/>
        </w:rPr>
        <w:t>《株洲市推进</w:t>
      </w:r>
      <w:r w:rsidRPr="005536EC">
        <w:rPr>
          <w:rFonts w:eastAsia="仿宋_GB2312"/>
          <w:sz w:val="32"/>
          <w:szCs w:val="32"/>
        </w:rPr>
        <w:t>“</w:t>
      </w:r>
      <w:r w:rsidRPr="005536EC">
        <w:rPr>
          <w:rFonts w:eastAsia="仿宋_GB2312"/>
          <w:sz w:val="32"/>
          <w:szCs w:val="32"/>
        </w:rPr>
        <w:t>两病</w:t>
      </w:r>
      <w:r w:rsidRPr="005536EC">
        <w:rPr>
          <w:rFonts w:eastAsia="仿宋_GB2312"/>
          <w:sz w:val="32"/>
          <w:szCs w:val="32"/>
        </w:rPr>
        <w:t>”</w:t>
      </w:r>
      <w:r w:rsidRPr="005536EC">
        <w:rPr>
          <w:rFonts w:eastAsia="仿宋_GB2312"/>
          <w:sz w:val="32"/>
          <w:szCs w:val="32"/>
        </w:rPr>
        <w:t>门诊用药保障的实践》获《中国医疗保险》杂志（总第</w:t>
      </w:r>
      <w:r w:rsidRPr="005536EC">
        <w:rPr>
          <w:rFonts w:eastAsia="仿宋_GB2312"/>
          <w:sz w:val="32"/>
          <w:szCs w:val="32"/>
        </w:rPr>
        <w:t>162</w:t>
      </w:r>
      <w:r w:rsidRPr="005536EC">
        <w:rPr>
          <w:rFonts w:eastAsia="仿宋_GB2312"/>
          <w:sz w:val="32"/>
          <w:szCs w:val="32"/>
        </w:rPr>
        <w:t>期）刊发。</w:t>
      </w:r>
    </w:p>
    <w:p w:rsidR="00C27119" w:rsidRDefault="00C27119">
      <w:pPr>
        <w:ind w:firstLineChars="200" w:firstLine="640"/>
        <w:rPr>
          <w:rFonts w:ascii="黑体" w:eastAsia="黑体" w:hAnsi="黑体"/>
          <w:sz w:val="32"/>
          <w:szCs w:val="32"/>
        </w:rPr>
      </w:pPr>
      <w:r>
        <w:rPr>
          <w:rFonts w:ascii="黑体" w:eastAsia="黑体" w:hAnsi="黑体" w:hint="eastAsia"/>
          <w:sz w:val="32"/>
          <w:szCs w:val="32"/>
        </w:rPr>
        <w:t>五、存在的问题和不足</w:t>
      </w:r>
    </w:p>
    <w:p w:rsidR="00C27119" w:rsidRDefault="00C27119">
      <w:pPr>
        <w:spacing w:line="560" w:lineRule="exact"/>
        <w:ind w:firstLineChars="200" w:firstLine="640"/>
        <w:rPr>
          <w:rFonts w:ascii="仿宋_GB2312" w:eastAsia="仿宋_GB2312"/>
          <w:sz w:val="32"/>
          <w:szCs w:val="32"/>
        </w:rPr>
      </w:pPr>
      <w:r>
        <w:rPr>
          <w:rFonts w:ascii="仿宋_GB2312" w:eastAsia="仿宋_GB2312" w:hint="eastAsia"/>
          <w:sz w:val="32"/>
          <w:szCs w:val="32"/>
        </w:rPr>
        <w:t>虽然我市医疗保障事业发展势头良好，但在发展环境、政策体系、制度建设等方面仍面临不少困难和问题，主要表现在</w:t>
      </w:r>
      <w:r w:rsidR="00DE6C60">
        <w:rPr>
          <w:rFonts w:ascii="仿宋_GB2312" w:eastAsia="仿宋_GB2312" w:hint="eastAsia"/>
          <w:sz w:val="32"/>
          <w:szCs w:val="32"/>
        </w:rPr>
        <w:t>六</w:t>
      </w:r>
      <w:r>
        <w:rPr>
          <w:rFonts w:ascii="仿宋_GB2312" w:eastAsia="仿宋_GB2312" w:hint="eastAsia"/>
          <w:sz w:val="32"/>
          <w:szCs w:val="32"/>
        </w:rPr>
        <w:t>个方面：</w:t>
      </w:r>
    </w:p>
    <w:p w:rsidR="00DE6C60" w:rsidRPr="005536EC" w:rsidRDefault="00DE6C60" w:rsidP="00DE6C60">
      <w:pPr>
        <w:spacing w:line="560" w:lineRule="exact"/>
        <w:ind w:firstLine="640"/>
        <w:rPr>
          <w:rFonts w:eastAsia="仿宋_GB2312"/>
          <w:sz w:val="32"/>
          <w:szCs w:val="32"/>
        </w:rPr>
      </w:pPr>
      <w:r w:rsidRPr="005536EC">
        <w:rPr>
          <w:rFonts w:eastAsia="楷体_GB2312"/>
          <w:sz w:val="32"/>
          <w:szCs w:val="32"/>
        </w:rPr>
        <w:t>1.</w:t>
      </w:r>
      <w:r w:rsidRPr="005536EC">
        <w:rPr>
          <w:rFonts w:eastAsia="楷体_GB2312"/>
          <w:sz w:val="32"/>
          <w:szCs w:val="32"/>
        </w:rPr>
        <w:t>医保基金风险隐患初步显现。</w:t>
      </w:r>
      <w:r w:rsidRPr="005536EC">
        <w:rPr>
          <w:rFonts w:eastAsia="仿宋_GB2312"/>
          <w:sz w:val="32"/>
          <w:szCs w:val="32"/>
        </w:rPr>
        <w:t>全市基金运行总体平稳，但个别地方基金风险比较突出。城镇职工医保方面，按账面结余分析，全市</w:t>
      </w:r>
      <w:r w:rsidRPr="005536EC">
        <w:rPr>
          <w:rFonts w:eastAsia="仿宋_GB2312"/>
          <w:sz w:val="32"/>
          <w:szCs w:val="32"/>
        </w:rPr>
        <w:t>6</w:t>
      </w:r>
      <w:r w:rsidRPr="005536EC">
        <w:rPr>
          <w:rFonts w:eastAsia="仿宋_GB2312"/>
          <w:sz w:val="32"/>
          <w:szCs w:val="32"/>
        </w:rPr>
        <w:t>个统筹区中有</w:t>
      </w:r>
      <w:r w:rsidRPr="005536EC">
        <w:rPr>
          <w:rFonts w:eastAsia="仿宋_GB2312"/>
          <w:sz w:val="32"/>
          <w:szCs w:val="32"/>
        </w:rPr>
        <w:t>3</w:t>
      </w:r>
      <w:r w:rsidRPr="005536EC">
        <w:rPr>
          <w:rFonts w:eastAsia="仿宋_GB2312"/>
          <w:sz w:val="32"/>
          <w:szCs w:val="32"/>
        </w:rPr>
        <w:t>个统筹区基金可支付月数低于</w:t>
      </w:r>
      <w:r w:rsidRPr="005536EC">
        <w:rPr>
          <w:rFonts w:eastAsia="仿宋_GB2312"/>
          <w:sz w:val="32"/>
          <w:szCs w:val="32"/>
        </w:rPr>
        <w:t>9</w:t>
      </w:r>
      <w:r w:rsidRPr="005536EC">
        <w:rPr>
          <w:rFonts w:eastAsia="仿宋_GB2312"/>
          <w:sz w:val="32"/>
          <w:szCs w:val="32"/>
        </w:rPr>
        <w:t>个月；城乡居民医保方面，按账面结余分析，全市</w:t>
      </w:r>
      <w:r w:rsidRPr="005536EC">
        <w:rPr>
          <w:rFonts w:eastAsia="仿宋_GB2312"/>
          <w:sz w:val="32"/>
          <w:szCs w:val="32"/>
        </w:rPr>
        <w:t>11</w:t>
      </w:r>
      <w:r w:rsidRPr="005536EC">
        <w:rPr>
          <w:rFonts w:eastAsia="仿宋_GB2312"/>
          <w:sz w:val="32"/>
          <w:szCs w:val="32"/>
        </w:rPr>
        <w:t>个统筹区中，由于历史欠账等原因，茶陵县、攸县城乡居民医保基金可支撑月数低于</w:t>
      </w:r>
      <w:r w:rsidRPr="005536EC">
        <w:rPr>
          <w:rFonts w:eastAsia="仿宋_GB2312"/>
          <w:sz w:val="32"/>
          <w:szCs w:val="32"/>
        </w:rPr>
        <w:t>3</w:t>
      </w:r>
      <w:r w:rsidRPr="005536EC">
        <w:rPr>
          <w:rFonts w:eastAsia="仿宋_GB2312"/>
          <w:sz w:val="32"/>
          <w:szCs w:val="32"/>
        </w:rPr>
        <w:t>个月的预警线。</w:t>
      </w:r>
    </w:p>
    <w:p w:rsidR="00DE6C60" w:rsidRPr="005536EC" w:rsidRDefault="00DE6C60" w:rsidP="00DE6C60">
      <w:pPr>
        <w:pStyle w:val="5"/>
        <w:adjustRightInd w:val="0"/>
        <w:snapToGrid w:val="0"/>
        <w:spacing w:line="560" w:lineRule="exact"/>
        <w:ind w:left="0" w:firstLineChars="200" w:firstLine="640"/>
        <w:rPr>
          <w:rFonts w:ascii="Times New Roman" w:eastAsia="楷体_GB2312" w:hAnsi="Times New Roman"/>
          <w:b/>
          <w:bCs/>
          <w:sz w:val="32"/>
          <w:szCs w:val="32"/>
        </w:rPr>
      </w:pPr>
      <w:r w:rsidRPr="005536EC">
        <w:rPr>
          <w:rFonts w:ascii="Times New Roman" w:eastAsia="楷体_GB2312" w:hAnsi="Times New Roman"/>
          <w:sz w:val="32"/>
          <w:szCs w:val="32"/>
        </w:rPr>
        <w:t>2.</w:t>
      </w:r>
      <w:r w:rsidRPr="005536EC">
        <w:rPr>
          <w:rFonts w:ascii="Times New Roman" w:eastAsia="楷体_GB2312" w:hAnsi="Times New Roman"/>
          <w:sz w:val="32"/>
          <w:szCs w:val="32"/>
        </w:rPr>
        <w:t>人少事多经费紧张的矛盾非常突出。</w:t>
      </w:r>
      <w:r w:rsidRPr="005536EC">
        <w:rPr>
          <w:rFonts w:ascii="Times New Roman" w:eastAsia="仿宋_GB2312" w:hAnsi="Times New Roman"/>
          <w:sz w:val="32"/>
          <w:szCs w:val="32"/>
        </w:rPr>
        <w:t>全市医疗保障系统人员编制非常紧张，专业性干部人才相对缺乏，严重制约全市医疗保障事业发展。近年来，全局项目经费和行政运行经费持续大幅压缩，医保重点改革工作经费不足，影响改革进程。</w:t>
      </w:r>
    </w:p>
    <w:p w:rsidR="00DE6C60" w:rsidRPr="005536EC" w:rsidRDefault="00DE6C60" w:rsidP="00DE6C60">
      <w:pPr>
        <w:spacing w:line="560" w:lineRule="exact"/>
        <w:ind w:firstLine="640"/>
        <w:rPr>
          <w:rFonts w:eastAsia="仿宋_GB2312"/>
          <w:sz w:val="32"/>
          <w:szCs w:val="32"/>
        </w:rPr>
      </w:pPr>
      <w:r w:rsidRPr="005536EC">
        <w:rPr>
          <w:rFonts w:eastAsia="楷体_GB2312"/>
          <w:sz w:val="32"/>
          <w:szCs w:val="32"/>
        </w:rPr>
        <w:t>3.</w:t>
      </w:r>
      <w:r w:rsidRPr="005536EC">
        <w:rPr>
          <w:rFonts w:eastAsia="楷体_GB2312"/>
          <w:sz w:val="32"/>
          <w:szCs w:val="32"/>
        </w:rPr>
        <w:t>多层次医疗保障体系发展不均衡。</w:t>
      </w:r>
      <w:r w:rsidRPr="005536EC">
        <w:rPr>
          <w:rFonts w:eastAsia="仿宋_GB2312"/>
          <w:sz w:val="32"/>
          <w:szCs w:val="32"/>
        </w:rPr>
        <w:t>一方面，基本医疗保障作为主体制度安排，在覆盖范围、保障功能等方面都承担了更多责任，逐渐出现了政府</w:t>
      </w:r>
      <w:r w:rsidRPr="005536EC">
        <w:rPr>
          <w:rFonts w:eastAsia="仿宋_GB2312"/>
          <w:sz w:val="32"/>
          <w:szCs w:val="32"/>
        </w:rPr>
        <w:t>“</w:t>
      </w:r>
      <w:r w:rsidRPr="005536EC">
        <w:rPr>
          <w:rFonts w:eastAsia="仿宋_GB2312"/>
          <w:sz w:val="32"/>
          <w:szCs w:val="32"/>
        </w:rPr>
        <w:t>无限责任</w:t>
      </w:r>
      <w:r w:rsidRPr="005536EC">
        <w:rPr>
          <w:rFonts w:eastAsia="仿宋_GB2312"/>
          <w:sz w:val="32"/>
          <w:szCs w:val="32"/>
        </w:rPr>
        <w:t>”</w:t>
      </w:r>
      <w:r w:rsidRPr="005536EC">
        <w:rPr>
          <w:rFonts w:eastAsia="仿宋_GB2312"/>
          <w:sz w:val="32"/>
          <w:szCs w:val="32"/>
        </w:rPr>
        <w:t>的倾向，多元化诉求都寄希望由社会保险解决。另一方面，商业健康保险发展缓慢，慈善捐助等多元补充保障没有发挥应有的作用。</w:t>
      </w:r>
    </w:p>
    <w:p w:rsidR="00DE6C60" w:rsidRPr="005536EC" w:rsidRDefault="00DE6C60" w:rsidP="00DE6C60">
      <w:pPr>
        <w:spacing w:line="560" w:lineRule="exact"/>
        <w:ind w:firstLine="640"/>
        <w:rPr>
          <w:rFonts w:eastAsia="仿宋_GB2312"/>
          <w:sz w:val="32"/>
          <w:szCs w:val="32"/>
        </w:rPr>
      </w:pPr>
      <w:r w:rsidRPr="005536EC">
        <w:rPr>
          <w:rFonts w:eastAsia="楷体_GB2312"/>
          <w:sz w:val="32"/>
          <w:szCs w:val="32"/>
        </w:rPr>
        <w:lastRenderedPageBreak/>
        <w:t>4.</w:t>
      </w:r>
      <w:r w:rsidRPr="005536EC">
        <w:rPr>
          <w:rFonts w:eastAsia="楷体_GB2312"/>
          <w:sz w:val="32"/>
          <w:szCs w:val="32"/>
        </w:rPr>
        <w:t>基金监管</w:t>
      </w:r>
      <w:r w:rsidRPr="005536EC">
        <w:rPr>
          <w:rFonts w:eastAsia="楷体_GB2312" w:hint="eastAsia"/>
          <w:sz w:val="32"/>
          <w:szCs w:val="32"/>
        </w:rPr>
        <w:t>依然任重道远</w:t>
      </w:r>
      <w:r w:rsidRPr="005536EC">
        <w:rPr>
          <w:rFonts w:eastAsia="楷体_GB2312"/>
          <w:sz w:val="32"/>
          <w:szCs w:val="32"/>
        </w:rPr>
        <w:t>。</w:t>
      </w:r>
      <w:r w:rsidRPr="005536EC">
        <w:rPr>
          <w:rFonts w:eastAsia="仿宋_GB2312"/>
          <w:sz w:val="32"/>
          <w:szCs w:val="32"/>
        </w:rPr>
        <w:t>监管的高压态势还不够强大，医疗机构运行机制还有薄弱环节，监管稍有松懈欺诈骗保就可能发生。虚假票据、不合理收费等违规行为还时有发生。医保付费科学性、精准性还有待提高。</w:t>
      </w:r>
    </w:p>
    <w:p w:rsidR="00C27119" w:rsidRPr="00DE6C60" w:rsidRDefault="00DE6C60" w:rsidP="00DE6C60">
      <w:pPr>
        <w:spacing w:line="560" w:lineRule="exact"/>
        <w:ind w:firstLineChars="200" w:firstLine="640"/>
        <w:rPr>
          <w:rFonts w:eastAsia="仿宋_GB2312"/>
          <w:sz w:val="32"/>
          <w:szCs w:val="32"/>
        </w:rPr>
      </w:pPr>
      <w:r w:rsidRPr="00DE6C60">
        <w:rPr>
          <w:rFonts w:eastAsia="仿宋_GB2312" w:hint="eastAsia"/>
          <w:sz w:val="32"/>
          <w:szCs w:val="32"/>
        </w:rPr>
        <w:t>5.</w:t>
      </w:r>
      <w:r w:rsidR="00C27119" w:rsidRPr="00DE6C60">
        <w:rPr>
          <w:rFonts w:eastAsia="仿宋_GB2312" w:hint="eastAsia"/>
          <w:sz w:val="32"/>
          <w:szCs w:val="32"/>
        </w:rPr>
        <w:t>财务信息化程度有待提高</w:t>
      </w:r>
      <w:r w:rsidR="00C27119" w:rsidRPr="00DE6C60">
        <w:rPr>
          <w:rFonts w:eastAsia="仿宋_GB2312"/>
          <w:sz w:val="32"/>
          <w:szCs w:val="32"/>
        </w:rPr>
        <w:t>。</w:t>
      </w:r>
      <w:r w:rsidR="00C27119" w:rsidRPr="00DE6C60">
        <w:rPr>
          <w:rFonts w:eastAsia="仿宋_GB2312" w:hint="eastAsia"/>
          <w:sz w:val="32"/>
          <w:szCs w:val="32"/>
        </w:rPr>
        <w:t>根据省市要求，今年</w:t>
      </w:r>
      <w:r w:rsidR="00C27119" w:rsidRPr="00DE6C60">
        <w:rPr>
          <w:rFonts w:eastAsia="仿宋_GB2312" w:hint="eastAsia"/>
          <w:sz w:val="32"/>
          <w:szCs w:val="32"/>
        </w:rPr>
        <w:t>9</w:t>
      </w:r>
      <w:r w:rsidR="00C27119" w:rsidRPr="00DE6C60">
        <w:rPr>
          <w:rFonts w:eastAsia="仿宋_GB2312" w:hint="eastAsia"/>
          <w:sz w:val="32"/>
          <w:szCs w:val="32"/>
        </w:rPr>
        <w:t>月国家医保信息平台</w:t>
      </w:r>
      <w:r w:rsidR="00C27119" w:rsidRPr="00DE6C60">
        <w:rPr>
          <w:rFonts w:eastAsia="仿宋_GB2312" w:hint="eastAsia"/>
          <w:sz w:val="32"/>
          <w:szCs w:val="32"/>
        </w:rPr>
        <w:t>9</w:t>
      </w:r>
      <w:r w:rsidR="00C27119" w:rsidRPr="00DE6C60">
        <w:rPr>
          <w:rFonts w:eastAsia="仿宋_GB2312" w:hint="eastAsia"/>
          <w:sz w:val="32"/>
          <w:szCs w:val="32"/>
        </w:rPr>
        <w:t>月正式上线，对我市的基金财务工作新要求，无论是工作量还是工作流程以及对县市区财务监督指导工作都有新高度。但目前财务软件尚未完善，部分核算功能尚未完善，给财务工作带来较大困难。</w:t>
      </w:r>
    </w:p>
    <w:p w:rsidR="00C27119" w:rsidRDefault="00C27119">
      <w:pPr>
        <w:spacing w:line="560" w:lineRule="exact"/>
        <w:rPr>
          <w:rFonts w:ascii="仿宋_GB2312" w:eastAsia="仿宋_GB2312"/>
          <w:sz w:val="32"/>
          <w:szCs w:val="32"/>
        </w:rPr>
      </w:pPr>
      <w:r>
        <w:rPr>
          <w:rFonts w:ascii="仿宋_GB2312" w:eastAsia="仿宋_GB2312" w:hint="eastAsia"/>
          <w:sz w:val="32"/>
          <w:szCs w:val="32"/>
        </w:rPr>
        <w:t xml:space="preserve">  </w:t>
      </w:r>
      <w:r w:rsidR="00DE6C60">
        <w:rPr>
          <w:rFonts w:ascii="仿宋_GB2312" w:eastAsia="仿宋_GB2312" w:hint="eastAsia"/>
          <w:sz w:val="32"/>
          <w:szCs w:val="32"/>
        </w:rPr>
        <w:t xml:space="preserve"> </w:t>
      </w:r>
      <w:r w:rsidR="00DE6C60" w:rsidRPr="00DE6C60">
        <w:rPr>
          <w:rFonts w:eastAsia="仿宋_GB2312" w:hint="eastAsia"/>
          <w:sz w:val="32"/>
          <w:szCs w:val="32"/>
        </w:rPr>
        <w:t xml:space="preserve"> 6.</w:t>
      </w:r>
      <w:r w:rsidRPr="00DE6C60">
        <w:rPr>
          <w:rFonts w:eastAsia="仿宋_GB2312" w:hint="eastAsia"/>
          <w:sz w:val="32"/>
          <w:szCs w:val="32"/>
        </w:rPr>
        <w:t>医保费征管职责还未理顺。</w:t>
      </w:r>
      <w:r>
        <w:rPr>
          <w:rFonts w:ascii="仿宋_GB2312" w:eastAsia="仿宋_GB2312" w:hint="eastAsia"/>
          <w:sz w:val="32"/>
          <w:szCs w:val="32"/>
        </w:rPr>
        <w:t>目前，我市医保征缴工作已完全移交税务，但税务、人民银行、财政和医保部门之间未建立对账机制，未明确数据传送规则、对账截止时点和资金划拨规则，导致医保基金暂时性少收短收。</w:t>
      </w:r>
    </w:p>
    <w:p w:rsidR="00C27119" w:rsidRDefault="00C27119">
      <w:pPr>
        <w:spacing w:line="560" w:lineRule="exact"/>
        <w:ind w:firstLineChars="200" w:firstLine="640"/>
        <w:rPr>
          <w:rFonts w:ascii="黑体" w:eastAsia="黑体" w:hAnsi="黑体"/>
          <w:sz w:val="32"/>
          <w:szCs w:val="32"/>
        </w:rPr>
      </w:pPr>
      <w:r>
        <w:rPr>
          <w:rFonts w:ascii="黑体" w:eastAsia="黑体" w:hAnsi="黑体" w:hint="eastAsia"/>
          <w:sz w:val="32"/>
          <w:szCs w:val="32"/>
        </w:rPr>
        <w:t>六、意见及下一步计划</w:t>
      </w:r>
    </w:p>
    <w:p w:rsidR="00DE6C60" w:rsidRPr="005536EC" w:rsidRDefault="00DE6C60" w:rsidP="00DE6C60">
      <w:pPr>
        <w:tabs>
          <w:tab w:val="left" w:pos="0"/>
        </w:tabs>
        <w:spacing w:line="560" w:lineRule="exact"/>
        <w:ind w:firstLineChars="200" w:firstLine="640"/>
        <w:jc w:val="left"/>
        <w:textAlignment w:val="baseline"/>
        <w:rPr>
          <w:rFonts w:eastAsia="仿宋_GB2312"/>
          <w:sz w:val="32"/>
          <w:szCs w:val="32"/>
        </w:rPr>
      </w:pPr>
      <w:r w:rsidRPr="005536EC">
        <w:rPr>
          <w:rFonts w:eastAsia="仿宋_GB2312"/>
          <w:sz w:val="32"/>
          <w:szCs w:val="32"/>
        </w:rPr>
        <w:t>2023</w:t>
      </w:r>
      <w:r w:rsidRPr="005536EC">
        <w:rPr>
          <w:rFonts w:eastAsia="仿宋_GB2312"/>
          <w:sz w:val="32"/>
          <w:szCs w:val="32"/>
        </w:rPr>
        <w:t>年，株洲市医保局将以党的二十大精神为指引，始终坚持以人民为中心的发展思想，决心以</w:t>
      </w:r>
      <w:r w:rsidRPr="005536EC">
        <w:rPr>
          <w:rFonts w:eastAsia="仿宋_GB2312"/>
          <w:sz w:val="32"/>
          <w:szCs w:val="32"/>
        </w:rPr>
        <w:t>“</w:t>
      </w:r>
      <w:r w:rsidRPr="005536EC">
        <w:rPr>
          <w:rFonts w:eastAsia="仿宋_GB2312"/>
          <w:sz w:val="32"/>
          <w:szCs w:val="32"/>
        </w:rPr>
        <w:t>医保</w:t>
      </w:r>
      <w:r w:rsidRPr="005536EC">
        <w:rPr>
          <w:rFonts w:eastAsia="仿宋_GB2312"/>
          <w:sz w:val="32"/>
          <w:szCs w:val="32"/>
        </w:rPr>
        <w:t>”</w:t>
      </w:r>
      <w:r w:rsidRPr="005536EC">
        <w:rPr>
          <w:rFonts w:eastAsia="仿宋_GB2312"/>
          <w:sz w:val="32"/>
          <w:szCs w:val="32"/>
        </w:rPr>
        <w:t>守民心，让百姓有</w:t>
      </w:r>
      <w:r w:rsidRPr="005536EC">
        <w:rPr>
          <w:rFonts w:eastAsia="仿宋_GB2312"/>
          <w:sz w:val="32"/>
          <w:szCs w:val="32"/>
        </w:rPr>
        <w:t>“</w:t>
      </w:r>
      <w:r w:rsidRPr="005536EC">
        <w:rPr>
          <w:rFonts w:eastAsia="仿宋_GB2312"/>
          <w:sz w:val="32"/>
          <w:szCs w:val="32"/>
        </w:rPr>
        <w:t>医靠</w:t>
      </w:r>
      <w:r w:rsidRPr="005536EC">
        <w:rPr>
          <w:rFonts w:eastAsia="仿宋_GB2312"/>
          <w:sz w:val="32"/>
          <w:szCs w:val="32"/>
        </w:rPr>
        <w:t>”</w:t>
      </w:r>
      <w:r w:rsidRPr="005536EC">
        <w:rPr>
          <w:rFonts w:eastAsia="仿宋_GB2312"/>
          <w:sz w:val="32"/>
          <w:szCs w:val="32"/>
        </w:rPr>
        <w:t>，按照</w:t>
      </w:r>
      <w:r w:rsidRPr="005536EC">
        <w:rPr>
          <w:rFonts w:eastAsia="仿宋_GB2312"/>
          <w:sz w:val="32"/>
          <w:szCs w:val="32"/>
        </w:rPr>
        <w:t>“</w:t>
      </w:r>
      <w:r w:rsidRPr="005536EC">
        <w:rPr>
          <w:rFonts w:eastAsia="仿宋_GB2312"/>
          <w:sz w:val="32"/>
          <w:szCs w:val="32"/>
        </w:rPr>
        <w:t>健全覆盖全民、统筹城乡、公平统一、安全规范、可持续的多层次社会保障体系</w:t>
      </w:r>
      <w:r w:rsidRPr="005536EC">
        <w:rPr>
          <w:rFonts w:eastAsia="仿宋_GB2312"/>
          <w:sz w:val="32"/>
          <w:szCs w:val="32"/>
        </w:rPr>
        <w:t>”</w:t>
      </w:r>
      <w:r w:rsidRPr="005536EC">
        <w:rPr>
          <w:rFonts w:eastAsia="仿宋_GB2312"/>
          <w:sz w:val="32"/>
          <w:szCs w:val="32"/>
        </w:rPr>
        <w:t>的总要求，不断健全医疗保障体系，守护好老百姓的</w:t>
      </w:r>
      <w:r w:rsidRPr="005536EC">
        <w:rPr>
          <w:rFonts w:eastAsia="仿宋_GB2312"/>
          <w:sz w:val="32"/>
          <w:szCs w:val="32"/>
        </w:rPr>
        <w:t>“</w:t>
      </w:r>
      <w:r w:rsidRPr="005536EC">
        <w:rPr>
          <w:rFonts w:eastAsia="仿宋_GB2312"/>
          <w:sz w:val="32"/>
          <w:szCs w:val="32"/>
        </w:rPr>
        <w:t>看病钱</w:t>
      </w:r>
      <w:r w:rsidRPr="005536EC">
        <w:rPr>
          <w:rFonts w:eastAsia="仿宋_GB2312"/>
          <w:sz w:val="32"/>
          <w:szCs w:val="32"/>
        </w:rPr>
        <w:t>”“</w:t>
      </w:r>
      <w:r w:rsidRPr="005536EC">
        <w:rPr>
          <w:rFonts w:eastAsia="仿宋_GB2312"/>
          <w:sz w:val="32"/>
          <w:szCs w:val="32"/>
        </w:rPr>
        <w:t>救命钱</w:t>
      </w:r>
      <w:r w:rsidRPr="005536EC">
        <w:rPr>
          <w:rFonts w:eastAsia="仿宋_GB2312"/>
          <w:sz w:val="32"/>
          <w:szCs w:val="32"/>
        </w:rPr>
        <w:t>”</w:t>
      </w:r>
      <w:r w:rsidRPr="005536EC">
        <w:rPr>
          <w:rFonts w:eastAsia="仿宋_GB2312"/>
          <w:sz w:val="32"/>
          <w:szCs w:val="32"/>
        </w:rPr>
        <w:t>，进一步提升全市医疗保障服务水平，着力打造医药带量采购、</w:t>
      </w:r>
      <w:r w:rsidRPr="005536EC">
        <w:rPr>
          <w:rFonts w:eastAsia="仿宋_GB2312"/>
          <w:sz w:val="32"/>
          <w:szCs w:val="32"/>
        </w:rPr>
        <w:t>“</w:t>
      </w:r>
      <w:r w:rsidRPr="005536EC">
        <w:rPr>
          <w:rFonts w:eastAsia="仿宋_GB2312"/>
          <w:sz w:val="32"/>
          <w:szCs w:val="32"/>
        </w:rPr>
        <w:t>两病</w:t>
      </w:r>
      <w:r w:rsidRPr="005536EC">
        <w:rPr>
          <w:rFonts w:eastAsia="仿宋_GB2312"/>
          <w:sz w:val="32"/>
          <w:szCs w:val="32"/>
        </w:rPr>
        <w:t>”</w:t>
      </w:r>
      <w:r w:rsidRPr="005536EC">
        <w:rPr>
          <w:rFonts w:eastAsia="仿宋_GB2312"/>
          <w:sz w:val="32"/>
          <w:szCs w:val="32"/>
        </w:rPr>
        <w:t>用药保障、参保人信息查询三大全国试点城市品牌，切实提高人民群众的获得感、幸福感、安全感，守民心，增福祉，为培育制造名城、建设幸福株洲作出医保新贡献。</w:t>
      </w:r>
    </w:p>
    <w:p w:rsidR="00DE6C60" w:rsidRPr="005536EC" w:rsidRDefault="00DE6C60" w:rsidP="00DE6C60">
      <w:pPr>
        <w:spacing w:line="560" w:lineRule="exact"/>
        <w:ind w:firstLineChars="200" w:firstLine="640"/>
        <w:rPr>
          <w:rFonts w:eastAsia="仿宋_GB2312"/>
          <w:sz w:val="32"/>
          <w:szCs w:val="32"/>
        </w:rPr>
      </w:pPr>
      <w:r w:rsidRPr="005536EC">
        <w:rPr>
          <w:rFonts w:eastAsia="楷体_GB2312"/>
          <w:sz w:val="32"/>
          <w:szCs w:val="32"/>
        </w:rPr>
        <w:t>1.</w:t>
      </w:r>
      <w:r w:rsidRPr="005536EC">
        <w:rPr>
          <w:rFonts w:eastAsia="楷体_GB2312" w:hint="eastAsia"/>
          <w:sz w:val="32"/>
          <w:szCs w:val="32"/>
        </w:rPr>
        <w:t>全面加强党对医保工作的领导。</w:t>
      </w:r>
      <w:r>
        <w:rPr>
          <w:rFonts w:eastAsia="仿宋_GB2312" w:hint="eastAsia"/>
          <w:sz w:val="32"/>
          <w:szCs w:val="32"/>
        </w:rPr>
        <w:t>通过</w:t>
      </w:r>
      <w:r w:rsidRPr="00676AE7">
        <w:rPr>
          <w:rFonts w:eastAsia="仿宋_GB2312" w:hint="eastAsia"/>
          <w:sz w:val="32"/>
          <w:szCs w:val="32"/>
        </w:rPr>
        <w:t>切实抓好学习培训</w:t>
      </w:r>
      <w:r>
        <w:rPr>
          <w:rFonts w:eastAsia="仿宋_GB2312" w:hint="eastAsia"/>
          <w:sz w:val="32"/>
          <w:szCs w:val="32"/>
        </w:rPr>
        <w:t>、</w:t>
      </w:r>
      <w:r w:rsidRPr="00676AE7">
        <w:rPr>
          <w:rFonts w:eastAsia="仿宋_GB2312" w:hint="eastAsia"/>
          <w:sz w:val="32"/>
          <w:szCs w:val="32"/>
        </w:rPr>
        <w:lastRenderedPageBreak/>
        <w:t>集中开展宣讲活动</w:t>
      </w:r>
      <w:r>
        <w:rPr>
          <w:rFonts w:eastAsia="仿宋_GB2312" w:hint="eastAsia"/>
          <w:sz w:val="32"/>
          <w:szCs w:val="32"/>
        </w:rPr>
        <w:t>、</w:t>
      </w:r>
      <w:r w:rsidRPr="00676AE7">
        <w:rPr>
          <w:rFonts w:eastAsia="仿宋_GB2312" w:hint="eastAsia"/>
          <w:sz w:val="32"/>
          <w:szCs w:val="32"/>
        </w:rPr>
        <w:t>精心组织新闻宣传</w:t>
      </w:r>
      <w:r>
        <w:rPr>
          <w:rFonts w:eastAsia="仿宋_GB2312" w:hint="eastAsia"/>
          <w:sz w:val="32"/>
          <w:szCs w:val="32"/>
        </w:rPr>
        <w:t>、</w:t>
      </w:r>
      <w:r w:rsidRPr="00676AE7">
        <w:rPr>
          <w:rFonts w:eastAsia="仿宋_GB2312" w:hint="eastAsia"/>
          <w:sz w:val="32"/>
          <w:szCs w:val="32"/>
        </w:rPr>
        <w:t>深入开展研究阐释</w:t>
      </w:r>
      <w:r>
        <w:rPr>
          <w:rFonts w:eastAsia="仿宋_GB2312" w:hint="eastAsia"/>
          <w:sz w:val="32"/>
          <w:szCs w:val="32"/>
        </w:rPr>
        <w:t>等举措，深入学习宣传贯彻党的二十大精神，</w:t>
      </w:r>
      <w:r w:rsidRPr="00676AE7">
        <w:rPr>
          <w:rFonts w:eastAsia="仿宋_GB2312" w:hint="eastAsia"/>
          <w:sz w:val="32"/>
          <w:szCs w:val="32"/>
        </w:rPr>
        <w:t>立足</w:t>
      </w:r>
      <w:r>
        <w:rPr>
          <w:rFonts w:eastAsia="仿宋_GB2312" w:hint="eastAsia"/>
          <w:sz w:val="32"/>
          <w:szCs w:val="32"/>
        </w:rPr>
        <w:t>我市医保事业</w:t>
      </w:r>
      <w:r w:rsidRPr="00676AE7">
        <w:rPr>
          <w:rFonts w:eastAsia="仿宋_GB2312" w:hint="eastAsia"/>
          <w:sz w:val="32"/>
          <w:szCs w:val="32"/>
        </w:rPr>
        <w:t>发展、党的建设实际，坚持学思用贯通、知信行统一，把党的二十大精神落实到</w:t>
      </w:r>
      <w:r>
        <w:rPr>
          <w:rFonts w:eastAsia="仿宋_GB2312" w:hint="eastAsia"/>
          <w:sz w:val="32"/>
          <w:szCs w:val="32"/>
        </w:rPr>
        <w:t>医疗保障工作</w:t>
      </w:r>
      <w:r w:rsidRPr="00676AE7">
        <w:rPr>
          <w:rFonts w:eastAsia="仿宋_GB2312" w:hint="eastAsia"/>
          <w:sz w:val="32"/>
          <w:szCs w:val="32"/>
        </w:rPr>
        <w:t>各方面。</w:t>
      </w:r>
      <w:r w:rsidRPr="005536EC">
        <w:rPr>
          <w:rFonts w:eastAsia="仿宋_GB2312"/>
          <w:sz w:val="32"/>
          <w:szCs w:val="32"/>
        </w:rPr>
        <w:t>旗帜鲜明讲政治，坚定不移加强党的全面领导，把党的领导贯穿到</w:t>
      </w:r>
      <w:r w:rsidRPr="005536EC">
        <w:rPr>
          <w:rFonts w:eastAsia="仿宋_GB2312" w:hint="eastAsia"/>
          <w:sz w:val="32"/>
          <w:szCs w:val="32"/>
        </w:rPr>
        <w:t>全市医保</w:t>
      </w:r>
      <w:r w:rsidRPr="005536EC">
        <w:rPr>
          <w:rFonts w:eastAsia="仿宋_GB2312"/>
          <w:sz w:val="32"/>
          <w:szCs w:val="32"/>
        </w:rPr>
        <w:t>改革发展全过程。认真贯彻落实习近平新时代中国特色社会主义思想，牢固树立</w:t>
      </w:r>
      <w:r w:rsidRPr="005536EC">
        <w:rPr>
          <w:rFonts w:eastAsia="仿宋_GB2312"/>
          <w:sz w:val="32"/>
          <w:szCs w:val="32"/>
        </w:rPr>
        <w:t>“</w:t>
      </w:r>
      <w:r w:rsidRPr="005536EC">
        <w:rPr>
          <w:rFonts w:eastAsia="仿宋_GB2312"/>
          <w:sz w:val="32"/>
          <w:szCs w:val="32"/>
        </w:rPr>
        <w:t>四个意识</w:t>
      </w:r>
      <w:r w:rsidRPr="005536EC">
        <w:rPr>
          <w:rFonts w:eastAsia="仿宋_GB2312"/>
          <w:sz w:val="32"/>
          <w:szCs w:val="32"/>
        </w:rPr>
        <w:t>”</w:t>
      </w:r>
      <w:r w:rsidRPr="005536EC">
        <w:rPr>
          <w:rFonts w:eastAsia="仿宋_GB2312"/>
          <w:sz w:val="32"/>
          <w:szCs w:val="32"/>
        </w:rPr>
        <w:t>，坚定</w:t>
      </w:r>
      <w:r w:rsidRPr="005536EC">
        <w:rPr>
          <w:rFonts w:eastAsia="仿宋_GB2312"/>
          <w:sz w:val="32"/>
          <w:szCs w:val="32"/>
        </w:rPr>
        <w:t>“</w:t>
      </w:r>
      <w:bookmarkStart w:id="0" w:name="_GoBack"/>
      <w:r w:rsidRPr="005536EC">
        <w:rPr>
          <w:rFonts w:eastAsia="仿宋_GB2312"/>
          <w:sz w:val="32"/>
          <w:szCs w:val="32"/>
        </w:rPr>
        <w:t>四个自信</w:t>
      </w:r>
      <w:bookmarkEnd w:id="0"/>
      <w:r w:rsidRPr="005536EC">
        <w:rPr>
          <w:rFonts w:eastAsia="仿宋_GB2312"/>
          <w:sz w:val="32"/>
          <w:szCs w:val="32"/>
        </w:rPr>
        <w:t>”</w:t>
      </w:r>
      <w:r w:rsidR="00236BB9">
        <w:rPr>
          <w:rFonts w:eastAsia="仿宋_GB2312" w:hint="eastAsia"/>
          <w:sz w:val="32"/>
          <w:szCs w:val="32"/>
        </w:rPr>
        <w:t>、</w:t>
      </w:r>
      <w:r w:rsidRPr="005536EC">
        <w:rPr>
          <w:rFonts w:eastAsia="仿宋_GB2312"/>
          <w:sz w:val="32"/>
          <w:szCs w:val="32"/>
        </w:rPr>
        <w:t>做到</w:t>
      </w:r>
      <w:r w:rsidRPr="005536EC">
        <w:rPr>
          <w:rFonts w:eastAsia="仿宋_GB2312"/>
          <w:sz w:val="32"/>
          <w:szCs w:val="32"/>
        </w:rPr>
        <w:t>“</w:t>
      </w:r>
      <w:r w:rsidRPr="005536EC">
        <w:rPr>
          <w:rFonts w:eastAsia="仿宋_GB2312"/>
          <w:sz w:val="32"/>
          <w:szCs w:val="32"/>
        </w:rPr>
        <w:t>两个维护</w:t>
      </w:r>
      <w:r w:rsidRPr="005536EC">
        <w:rPr>
          <w:rFonts w:eastAsia="仿宋_GB2312"/>
          <w:sz w:val="32"/>
          <w:szCs w:val="32"/>
        </w:rPr>
        <w:t>”</w:t>
      </w:r>
      <w:r w:rsidRPr="005536EC">
        <w:rPr>
          <w:rFonts w:eastAsia="仿宋_GB2312"/>
          <w:sz w:val="32"/>
          <w:szCs w:val="32"/>
        </w:rPr>
        <w:t>，坚决落实全面从严治党主体责任，不折不扣落实</w:t>
      </w:r>
      <w:r w:rsidRPr="005536EC">
        <w:rPr>
          <w:rFonts w:eastAsia="仿宋_GB2312" w:hint="eastAsia"/>
          <w:sz w:val="32"/>
          <w:szCs w:val="32"/>
        </w:rPr>
        <w:t>国家、省市</w:t>
      </w:r>
      <w:r w:rsidRPr="005536EC">
        <w:rPr>
          <w:rFonts w:eastAsia="仿宋_GB2312"/>
          <w:sz w:val="32"/>
          <w:szCs w:val="32"/>
        </w:rPr>
        <w:t>关于医疗保障改革的决策部署。以党建统领医保业务，做到党建工作和中心工作</w:t>
      </w:r>
      <w:r w:rsidRPr="005536EC">
        <w:rPr>
          <w:rFonts w:eastAsia="仿宋_GB2312"/>
          <w:sz w:val="32"/>
          <w:szCs w:val="32"/>
        </w:rPr>
        <w:t>“</w:t>
      </w:r>
      <w:r w:rsidRPr="005536EC">
        <w:rPr>
          <w:rFonts w:eastAsia="仿宋_GB2312"/>
          <w:sz w:val="32"/>
          <w:szCs w:val="32"/>
        </w:rPr>
        <w:t>两手抓、两手硬</w:t>
      </w:r>
      <w:r w:rsidRPr="005536EC">
        <w:rPr>
          <w:rFonts w:eastAsia="仿宋_GB2312"/>
          <w:sz w:val="32"/>
          <w:szCs w:val="32"/>
        </w:rPr>
        <w:t>”</w:t>
      </w:r>
      <w:r w:rsidRPr="005536EC">
        <w:rPr>
          <w:rFonts w:eastAsia="仿宋_GB2312"/>
          <w:sz w:val="32"/>
          <w:szCs w:val="32"/>
        </w:rPr>
        <w:t>，围绕中心抓党建，抓好党建促中心，着力解决医保领域群众最急最忧最盼的问题。</w:t>
      </w:r>
    </w:p>
    <w:p w:rsidR="00DE6C60" w:rsidRPr="005536EC" w:rsidRDefault="00DE6C60" w:rsidP="00DE6C60">
      <w:pPr>
        <w:spacing w:line="560" w:lineRule="exact"/>
        <w:ind w:firstLineChars="200" w:firstLine="640"/>
        <w:rPr>
          <w:rFonts w:eastAsia="仿宋_GB2312"/>
          <w:sz w:val="32"/>
          <w:szCs w:val="32"/>
        </w:rPr>
      </w:pPr>
      <w:r w:rsidRPr="005536EC">
        <w:rPr>
          <w:rFonts w:eastAsia="楷体_GB2312" w:hint="eastAsia"/>
          <w:sz w:val="32"/>
          <w:szCs w:val="32"/>
        </w:rPr>
        <w:t>2.</w:t>
      </w:r>
      <w:r w:rsidRPr="005536EC">
        <w:rPr>
          <w:rFonts w:eastAsia="楷体_GB2312"/>
          <w:sz w:val="32"/>
          <w:szCs w:val="32"/>
        </w:rPr>
        <w:t>深化医药服务供给侧改革。</w:t>
      </w:r>
      <w:r w:rsidRPr="005536EC">
        <w:rPr>
          <w:rFonts w:eastAsia="仿宋_GB2312"/>
          <w:sz w:val="32"/>
          <w:szCs w:val="32"/>
        </w:rPr>
        <w:t>坚持医疗、医保、医药</w:t>
      </w:r>
      <w:r w:rsidRPr="005536EC">
        <w:rPr>
          <w:rFonts w:eastAsia="仿宋_GB2312"/>
          <w:sz w:val="32"/>
          <w:szCs w:val="32"/>
        </w:rPr>
        <w:t>“</w:t>
      </w:r>
      <w:r w:rsidRPr="005536EC">
        <w:rPr>
          <w:rFonts w:eastAsia="仿宋_GB2312"/>
          <w:sz w:val="32"/>
          <w:szCs w:val="32"/>
        </w:rPr>
        <w:t>三医联动</w:t>
      </w:r>
      <w:r w:rsidRPr="005536EC">
        <w:rPr>
          <w:rFonts w:eastAsia="仿宋_GB2312"/>
          <w:sz w:val="32"/>
          <w:szCs w:val="32"/>
        </w:rPr>
        <w:t>”</w:t>
      </w:r>
      <w:r w:rsidRPr="005536EC">
        <w:rPr>
          <w:rFonts w:eastAsia="仿宋_GB2312"/>
          <w:sz w:val="32"/>
          <w:szCs w:val="32"/>
        </w:rPr>
        <w:t>，始终将解决人民群众</w:t>
      </w:r>
      <w:r w:rsidRPr="005536EC">
        <w:rPr>
          <w:rFonts w:eastAsia="仿宋_GB2312"/>
          <w:sz w:val="32"/>
          <w:szCs w:val="32"/>
        </w:rPr>
        <w:t>“</w:t>
      </w:r>
      <w:r w:rsidRPr="005536EC">
        <w:rPr>
          <w:rFonts w:eastAsia="仿宋_GB2312"/>
          <w:sz w:val="32"/>
          <w:szCs w:val="32"/>
        </w:rPr>
        <w:t>看病难、看病贵</w:t>
      </w:r>
      <w:r w:rsidRPr="005536EC">
        <w:rPr>
          <w:rFonts w:eastAsia="仿宋_GB2312"/>
          <w:sz w:val="32"/>
          <w:szCs w:val="32"/>
        </w:rPr>
        <w:t>”</w:t>
      </w:r>
      <w:r w:rsidRPr="005536EC">
        <w:rPr>
          <w:rFonts w:eastAsia="仿宋_GB2312"/>
          <w:sz w:val="32"/>
          <w:szCs w:val="32"/>
        </w:rPr>
        <w:t>和药价虚高问题作为重要课题，进一步扩大</w:t>
      </w:r>
      <w:r w:rsidRPr="005536EC">
        <w:rPr>
          <w:rFonts w:eastAsia="仿宋_GB2312"/>
          <w:sz w:val="32"/>
          <w:szCs w:val="32"/>
        </w:rPr>
        <w:t>“</w:t>
      </w:r>
      <w:r w:rsidRPr="005536EC">
        <w:rPr>
          <w:rFonts w:eastAsia="仿宋_GB2312"/>
          <w:sz w:val="32"/>
          <w:szCs w:val="32"/>
        </w:rPr>
        <w:t>株洲联盟</w:t>
      </w:r>
      <w:r w:rsidRPr="005536EC">
        <w:rPr>
          <w:rFonts w:eastAsia="仿宋_GB2312"/>
          <w:sz w:val="32"/>
          <w:szCs w:val="32"/>
        </w:rPr>
        <w:t>”</w:t>
      </w:r>
      <w:r w:rsidRPr="005536EC">
        <w:rPr>
          <w:rFonts w:eastAsia="仿宋_GB2312"/>
          <w:sz w:val="32"/>
          <w:szCs w:val="32"/>
        </w:rPr>
        <w:t>的</w:t>
      </w:r>
      <w:r w:rsidRPr="005536EC">
        <w:rPr>
          <w:rFonts w:eastAsia="仿宋_GB2312"/>
          <w:sz w:val="32"/>
          <w:szCs w:val="32"/>
        </w:rPr>
        <w:t>“</w:t>
      </w:r>
      <w:r w:rsidRPr="005536EC">
        <w:rPr>
          <w:rFonts w:eastAsia="仿宋_GB2312"/>
          <w:sz w:val="32"/>
          <w:szCs w:val="32"/>
        </w:rPr>
        <w:t>朋友圈</w:t>
      </w:r>
      <w:r w:rsidRPr="005536EC">
        <w:rPr>
          <w:rFonts w:eastAsia="仿宋_GB2312"/>
          <w:sz w:val="32"/>
          <w:szCs w:val="32"/>
        </w:rPr>
        <w:t>”</w:t>
      </w:r>
      <w:r w:rsidRPr="005536EC">
        <w:rPr>
          <w:rFonts w:eastAsia="仿宋_GB2312"/>
          <w:sz w:val="32"/>
          <w:szCs w:val="32"/>
        </w:rPr>
        <w:t>，积极做好第二批低值医用耗材带量采购工作</w:t>
      </w:r>
      <w:r w:rsidRPr="005536EC">
        <w:rPr>
          <w:rFonts w:eastAsia="仿宋_GB2312"/>
          <w:bCs/>
          <w:sz w:val="32"/>
          <w:szCs w:val="32"/>
        </w:rPr>
        <w:t>。</w:t>
      </w:r>
      <w:r w:rsidRPr="005536EC">
        <w:rPr>
          <w:rFonts w:eastAsia="仿宋_GB2312"/>
          <w:sz w:val="32"/>
          <w:szCs w:val="32"/>
        </w:rPr>
        <w:t>严格落实国家、省际联盟、省级集采药品和耗材政策，推进落实带量采购医保资金结余留用激励机制，引导全市公立医疗机构规范用药，让公立医院回归公益本质、医生回归看病角色、药品回归治病功能。</w:t>
      </w:r>
    </w:p>
    <w:p w:rsidR="00DE6C60" w:rsidRPr="005536EC" w:rsidRDefault="00DE6C60" w:rsidP="00DE6C60">
      <w:pPr>
        <w:pStyle w:val="aa"/>
        <w:spacing w:line="560" w:lineRule="exact"/>
        <w:ind w:firstLineChars="200" w:firstLine="640"/>
        <w:rPr>
          <w:rFonts w:ascii="Times New Roman" w:eastAsia="仿宋_GB2312" w:hAnsi="Times New Roman"/>
          <w:sz w:val="32"/>
          <w:szCs w:val="32"/>
        </w:rPr>
      </w:pPr>
      <w:r w:rsidRPr="005536EC">
        <w:rPr>
          <w:rFonts w:ascii="Times New Roman" w:eastAsia="楷体_GB2312" w:hAnsi="Times New Roman" w:hint="eastAsia"/>
          <w:sz w:val="32"/>
          <w:szCs w:val="32"/>
        </w:rPr>
        <w:t>3</w:t>
      </w:r>
      <w:r w:rsidRPr="005536EC">
        <w:rPr>
          <w:rFonts w:ascii="Times New Roman" w:eastAsia="楷体_GB2312" w:hAnsi="Times New Roman"/>
          <w:sz w:val="32"/>
          <w:szCs w:val="32"/>
        </w:rPr>
        <w:t>.</w:t>
      </w:r>
      <w:r w:rsidRPr="005536EC">
        <w:rPr>
          <w:rFonts w:ascii="Times New Roman" w:eastAsia="楷体_GB2312" w:hAnsi="Times New Roman"/>
          <w:sz w:val="32"/>
          <w:szCs w:val="32"/>
        </w:rPr>
        <w:t>深化医保支付方式改革。</w:t>
      </w:r>
      <w:r w:rsidRPr="005536EC">
        <w:rPr>
          <w:rFonts w:ascii="Times New Roman" w:eastAsia="仿宋_GB2312" w:hAnsi="Times New Roman"/>
          <w:sz w:val="32"/>
          <w:szCs w:val="32"/>
        </w:rPr>
        <w:t>加强医疗保险基金预算管理，健全医疗保障经办机构与医疗机构之间协商谈判机制，全面推行以总额控制为主，按病种付费、按人头付费、按床日付费等多种付费方式相结合的复合式医保支付方式改革，建立</w:t>
      </w:r>
      <w:r w:rsidRPr="005536EC">
        <w:rPr>
          <w:rFonts w:ascii="Times New Roman" w:eastAsia="仿宋_GB2312" w:hAnsi="Times New Roman"/>
          <w:sz w:val="32"/>
          <w:szCs w:val="32"/>
        </w:rPr>
        <w:t>“</w:t>
      </w:r>
      <w:r w:rsidRPr="005536EC">
        <w:rPr>
          <w:rFonts w:ascii="Times New Roman" w:eastAsia="仿宋_GB2312" w:hAnsi="Times New Roman"/>
          <w:sz w:val="32"/>
          <w:szCs w:val="32"/>
        </w:rPr>
        <w:t>总额预付、结余留用、合理超支分担</w:t>
      </w:r>
      <w:r w:rsidRPr="005536EC">
        <w:rPr>
          <w:rFonts w:ascii="Times New Roman" w:eastAsia="仿宋_GB2312" w:hAnsi="Times New Roman"/>
          <w:sz w:val="32"/>
          <w:szCs w:val="32"/>
        </w:rPr>
        <w:t>”</w:t>
      </w:r>
      <w:r w:rsidRPr="005536EC">
        <w:rPr>
          <w:rFonts w:ascii="Times New Roman" w:eastAsia="仿宋_GB2312" w:hAnsi="Times New Roman"/>
          <w:sz w:val="32"/>
          <w:szCs w:val="32"/>
        </w:rPr>
        <w:t>的激励和风险分担机制。加快推进</w:t>
      </w:r>
      <w:r w:rsidRPr="005536EC">
        <w:rPr>
          <w:rFonts w:ascii="Times New Roman" w:eastAsia="仿宋_GB2312" w:hAnsi="Times New Roman"/>
          <w:sz w:val="32"/>
          <w:szCs w:val="32"/>
        </w:rPr>
        <w:t>DRG</w:t>
      </w:r>
      <w:r w:rsidRPr="005536EC">
        <w:rPr>
          <w:rFonts w:ascii="Times New Roman" w:eastAsia="仿宋_GB2312" w:hAnsi="Times New Roman"/>
          <w:sz w:val="32"/>
          <w:szCs w:val="32"/>
        </w:rPr>
        <w:t>支付方式改革，建立本地化分组方案，并对本地分组结果</w:t>
      </w:r>
      <w:r w:rsidRPr="005536EC">
        <w:rPr>
          <w:rFonts w:ascii="Times New Roman" w:eastAsia="仿宋_GB2312" w:hAnsi="Times New Roman"/>
          <w:sz w:val="32"/>
          <w:szCs w:val="32"/>
        </w:rPr>
        <w:lastRenderedPageBreak/>
        <w:t>进行测算，与过往基金收支、医院盈亏进行校对行分析，对</w:t>
      </w:r>
      <w:r w:rsidRPr="005536EC">
        <w:rPr>
          <w:rFonts w:ascii="Times New Roman" w:eastAsia="仿宋_GB2312" w:hAnsi="Times New Roman"/>
          <w:sz w:val="32"/>
          <w:szCs w:val="32"/>
        </w:rPr>
        <w:t>DRG</w:t>
      </w:r>
      <w:r w:rsidRPr="005536EC">
        <w:rPr>
          <w:rFonts w:ascii="Times New Roman" w:eastAsia="仿宋_GB2312" w:hAnsi="Times New Roman"/>
          <w:sz w:val="32"/>
          <w:szCs w:val="32"/>
        </w:rPr>
        <w:t>改革医院工作推进情况进行督导，为模拟付费的顺利推进打好基础。积极应对老龄化，推进安宁疗护支付方式改革。</w:t>
      </w:r>
    </w:p>
    <w:p w:rsidR="00DE6C60" w:rsidRPr="005536EC" w:rsidRDefault="00DE6C60" w:rsidP="00DE6C60">
      <w:pPr>
        <w:spacing w:line="560" w:lineRule="exact"/>
        <w:ind w:firstLineChars="200" w:firstLine="640"/>
        <w:rPr>
          <w:rFonts w:eastAsia="仿宋_GB2312"/>
          <w:sz w:val="32"/>
          <w:szCs w:val="32"/>
        </w:rPr>
      </w:pPr>
      <w:r w:rsidRPr="005536EC">
        <w:rPr>
          <w:rFonts w:eastAsia="楷体_GB2312" w:hint="eastAsia"/>
          <w:sz w:val="32"/>
          <w:szCs w:val="32"/>
        </w:rPr>
        <w:t>4</w:t>
      </w:r>
      <w:r w:rsidRPr="005536EC">
        <w:rPr>
          <w:rFonts w:eastAsia="楷体_GB2312"/>
          <w:sz w:val="32"/>
          <w:szCs w:val="32"/>
        </w:rPr>
        <w:t>.</w:t>
      </w:r>
      <w:r w:rsidRPr="005536EC">
        <w:rPr>
          <w:rFonts w:eastAsia="楷体_GB2312"/>
          <w:sz w:val="32"/>
          <w:szCs w:val="32"/>
        </w:rPr>
        <w:t>支持常态化疫情防控。</w:t>
      </w:r>
      <w:r w:rsidRPr="005536EC">
        <w:rPr>
          <w:rFonts w:eastAsia="仿宋_GB2312"/>
          <w:sz w:val="32"/>
          <w:szCs w:val="32"/>
        </w:rPr>
        <w:t>按照市委、市政府常态化疫情防控的决策部署，全面发挥医疗保障对疫情防控的支持作用，为保障人民生命安全和身体健康、经济社会发展贡献力量。</w:t>
      </w:r>
    </w:p>
    <w:p w:rsidR="00DE6C60" w:rsidRPr="005536EC" w:rsidRDefault="00DE6C60" w:rsidP="00DE6C60">
      <w:pPr>
        <w:spacing w:line="560" w:lineRule="exact"/>
        <w:ind w:firstLineChars="200" w:firstLine="640"/>
        <w:rPr>
          <w:rFonts w:eastAsia="楷体_GB2312"/>
          <w:sz w:val="32"/>
          <w:szCs w:val="32"/>
        </w:rPr>
      </w:pPr>
      <w:r w:rsidRPr="005536EC">
        <w:rPr>
          <w:rFonts w:eastAsia="楷体_GB2312" w:hint="eastAsia"/>
          <w:sz w:val="32"/>
          <w:szCs w:val="32"/>
        </w:rPr>
        <w:t>5.</w:t>
      </w:r>
      <w:r w:rsidRPr="005536EC">
        <w:rPr>
          <w:rFonts w:eastAsia="楷体_GB2312" w:hint="eastAsia"/>
          <w:sz w:val="32"/>
          <w:szCs w:val="32"/>
        </w:rPr>
        <w:t>持续推进应保尽保。</w:t>
      </w:r>
      <w:r w:rsidRPr="005536EC">
        <w:rPr>
          <w:rFonts w:eastAsia="仿宋_GB2312" w:hint="eastAsia"/>
          <w:sz w:val="32"/>
          <w:szCs w:val="32"/>
        </w:rPr>
        <w:t>坚持线上线下“双向”发力，通过多渠道、多形式开展参保缴费宣传，不断强化企业和群众参保一是，提高参保缴费的积极性。加强与税务、公安等部门协作，形成多方联动，精准锁定特困人员、低保对象、返贫致贫等人员，针对不同人群，多方发力，切实做到不漏一户、不差一人。创新灵活就业人员参保缴费方式，确保灵活就业人员全面参保。对于老年人、残疾人等特殊人群开通“帮办、代办、代缴”绿色通道，打通参保缴费“最后一公里”。</w:t>
      </w:r>
    </w:p>
    <w:p w:rsidR="00DE6C60" w:rsidRPr="005536EC" w:rsidRDefault="00DE6C60" w:rsidP="00DE6C60">
      <w:pPr>
        <w:spacing w:line="560" w:lineRule="exact"/>
        <w:ind w:firstLineChars="200" w:firstLine="640"/>
        <w:rPr>
          <w:rFonts w:eastAsia="楷体_GB2312"/>
          <w:sz w:val="32"/>
          <w:szCs w:val="32"/>
        </w:rPr>
      </w:pPr>
      <w:r w:rsidRPr="005536EC">
        <w:rPr>
          <w:rFonts w:eastAsia="楷体_GB2312" w:hint="eastAsia"/>
          <w:sz w:val="32"/>
          <w:szCs w:val="32"/>
        </w:rPr>
        <w:t>6</w:t>
      </w:r>
      <w:r w:rsidRPr="005536EC">
        <w:rPr>
          <w:rFonts w:eastAsia="楷体_GB2312"/>
          <w:sz w:val="32"/>
          <w:szCs w:val="32"/>
        </w:rPr>
        <w:t>.</w:t>
      </w:r>
      <w:r w:rsidRPr="005536EC">
        <w:rPr>
          <w:rFonts w:eastAsia="楷体_GB2312"/>
          <w:sz w:val="32"/>
          <w:szCs w:val="32"/>
        </w:rPr>
        <w:t>健全方案化解因病致贫因病返贫长效机制。</w:t>
      </w:r>
      <w:r w:rsidRPr="005536EC">
        <w:rPr>
          <w:rFonts w:eastAsia="仿宋_GB2312"/>
          <w:sz w:val="32"/>
          <w:szCs w:val="32"/>
        </w:rPr>
        <w:t>按照市委、市政府巩固</w:t>
      </w:r>
      <w:r w:rsidR="002206DC">
        <w:rPr>
          <w:rFonts w:eastAsia="仿宋_GB2312" w:hint="eastAsia"/>
          <w:sz w:val="32"/>
          <w:szCs w:val="32"/>
        </w:rPr>
        <w:t>拓展</w:t>
      </w:r>
      <w:r w:rsidRPr="005536EC">
        <w:rPr>
          <w:rFonts w:eastAsia="仿宋_GB2312"/>
          <w:sz w:val="32"/>
          <w:szCs w:val="32"/>
        </w:rPr>
        <w:t>脱贫攻坚成果有效衔接乡村振兴战略的决策部署，进一步减轻困难群众和大病患者医疗费用负担，做好过渡期内扶贫倾斜政策优化调整，确保待遇平稳过渡。</w:t>
      </w:r>
    </w:p>
    <w:p w:rsidR="00DE6C60" w:rsidRPr="005536EC" w:rsidRDefault="00DE6C60" w:rsidP="00DE6C60">
      <w:pPr>
        <w:spacing w:line="560" w:lineRule="exact"/>
        <w:ind w:firstLineChars="200" w:firstLine="640"/>
        <w:rPr>
          <w:rFonts w:eastAsia="仿宋_GB2312"/>
          <w:sz w:val="32"/>
          <w:szCs w:val="32"/>
        </w:rPr>
      </w:pPr>
      <w:r w:rsidRPr="005536EC">
        <w:rPr>
          <w:rFonts w:eastAsia="楷体_GB2312" w:hint="eastAsia"/>
          <w:sz w:val="32"/>
          <w:szCs w:val="32"/>
        </w:rPr>
        <w:t>7</w:t>
      </w:r>
      <w:r w:rsidRPr="005536EC">
        <w:rPr>
          <w:rFonts w:eastAsia="楷体_GB2312"/>
          <w:sz w:val="32"/>
          <w:szCs w:val="32"/>
        </w:rPr>
        <w:t>.</w:t>
      </w:r>
      <w:r w:rsidRPr="005536EC">
        <w:rPr>
          <w:rFonts w:eastAsia="楷体_GB2312"/>
          <w:sz w:val="32"/>
          <w:szCs w:val="32"/>
        </w:rPr>
        <w:t>完善多层次医疗保障体系。</w:t>
      </w:r>
      <w:r w:rsidRPr="005536EC">
        <w:rPr>
          <w:rFonts w:eastAsia="仿宋_GB2312"/>
          <w:sz w:val="32"/>
          <w:szCs w:val="32"/>
        </w:rPr>
        <w:t>要充分发挥基本医保、大病保险、医疗救助综合保障作用，以基本医保为主体，医疗救助为托底，补充医疗保险、商业健康保险等共同发展的多层次医疗保障体系，更好满足人民群众多元化医疗保障需求。同时，要积极探索与基本医保紧密衔接的普惠性商业保险，更好覆盖基本医保不予支付的费用。</w:t>
      </w:r>
    </w:p>
    <w:p w:rsidR="00DE6C60" w:rsidRPr="005536EC" w:rsidRDefault="00DE6C60" w:rsidP="00DE6C60">
      <w:pPr>
        <w:spacing w:line="560" w:lineRule="exact"/>
        <w:ind w:firstLineChars="200" w:firstLine="640"/>
        <w:rPr>
          <w:rFonts w:ascii="仿宋_GB2312" w:eastAsia="仿宋_GB2312" w:hAnsi="仿宋_GB2312" w:cs="仿宋_GB2312"/>
          <w:sz w:val="32"/>
          <w:szCs w:val="32"/>
        </w:rPr>
      </w:pPr>
      <w:r w:rsidRPr="005536EC">
        <w:rPr>
          <w:rFonts w:eastAsia="楷体_GB2312" w:hint="eastAsia"/>
          <w:sz w:val="32"/>
          <w:szCs w:val="32"/>
        </w:rPr>
        <w:lastRenderedPageBreak/>
        <w:t>8</w:t>
      </w:r>
      <w:r w:rsidRPr="005536EC">
        <w:rPr>
          <w:rFonts w:eastAsia="楷体_GB2312"/>
          <w:sz w:val="32"/>
          <w:szCs w:val="32"/>
        </w:rPr>
        <w:t>.</w:t>
      </w:r>
      <w:r w:rsidRPr="005536EC">
        <w:rPr>
          <w:rFonts w:eastAsia="楷体_GB2312"/>
          <w:sz w:val="32"/>
          <w:szCs w:val="32"/>
        </w:rPr>
        <w:t>确保基金安全可持续。</w:t>
      </w:r>
      <w:r w:rsidRPr="005536EC">
        <w:rPr>
          <w:rFonts w:eastAsia="仿宋_GB2312"/>
          <w:sz w:val="32"/>
          <w:szCs w:val="32"/>
        </w:rPr>
        <w:t>要科学编制医保基金收支预算，加强精算管理，建立绩效评价指标体系，分级分类强化绩效监控、风险评估预警和结果运用，保持职工医保统筹基金和居民医保统筹基金可支付月数处于合理区间。</w:t>
      </w:r>
    </w:p>
    <w:p w:rsidR="00DE6C60" w:rsidRPr="005536EC" w:rsidRDefault="00DE6C60" w:rsidP="00DE6C60">
      <w:pPr>
        <w:pStyle w:val="aa"/>
        <w:spacing w:line="560" w:lineRule="exact"/>
        <w:ind w:firstLineChars="200" w:firstLine="640"/>
        <w:rPr>
          <w:rFonts w:ascii="仿宋_GB2312" w:eastAsia="仿宋_GB2312" w:hAnsi="仿宋_GB2312" w:cs="仿宋_GB2312"/>
          <w:sz w:val="32"/>
          <w:szCs w:val="32"/>
        </w:rPr>
      </w:pPr>
      <w:r w:rsidRPr="005536EC">
        <w:rPr>
          <w:rFonts w:ascii="Times New Roman" w:eastAsia="楷体_GB2312" w:hAnsi="Times New Roman" w:hint="eastAsia"/>
          <w:sz w:val="32"/>
          <w:szCs w:val="32"/>
        </w:rPr>
        <w:t>9.</w:t>
      </w:r>
      <w:r w:rsidRPr="005536EC">
        <w:rPr>
          <w:rFonts w:ascii="Times New Roman" w:eastAsia="楷体_GB2312" w:hAnsi="Times New Roman" w:hint="eastAsia"/>
          <w:sz w:val="32"/>
          <w:szCs w:val="32"/>
        </w:rPr>
        <w:t>持续优化医保经办服务。</w:t>
      </w:r>
      <w:r w:rsidRPr="005536EC">
        <w:rPr>
          <w:rFonts w:ascii="仿宋_GB2312" w:eastAsia="仿宋_GB2312" w:hAnsi="仿宋_GB2312" w:cs="仿宋_GB2312" w:hint="eastAsia"/>
          <w:sz w:val="32"/>
          <w:szCs w:val="32"/>
        </w:rPr>
        <w:t>大力推进医保经办便民服务，进一步优化异地就医直接结算服务。按照“四最”（即服务质量最优、所需材料最少、办理时限最短、办事流程最简）、“六统一”（即统一事项名称、统一事项编码、统一办理材料、统一办理时限、统一办理环节、统一服务标准）的要求，努力解决医保民生领域“难点、堵点、痛点”问题，有效提高群众办事效率。</w:t>
      </w:r>
    </w:p>
    <w:p w:rsidR="00C27119" w:rsidRDefault="00DE6C60" w:rsidP="00DE6C60">
      <w:pPr>
        <w:adjustRightInd w:val="0"/>
        <w:spacing w:line="580" w:lineRule="exact"/>
        <w:ind w:firstLineChars="150" w:firstLine="480"/>
        <w:rPr>
          <w:rFonts w:ascii="仿宋_GB2312" w:eastAsia="仿宋_GB2312"/>
          <w:sz w:val="32"/>
          <w:szCs w:val="32"/>
        </w:rPr>
      </w:pPr>
      <w:r w:rsidRPr="00DE6C60">
        <w:rPr>
          <w:rFonts w:eastAsia="楷体_GB2312" w:hint="eastAsia"/>
          <w:sz w:val="32"/>
          <w:szCs w:val="32"/>
        </w:rPr>
        <w:t>10.</w:t>
      </w:r>
      <w:r w:rsidR="00C27119" w:rsidRPr="00DE6C60">
        <w:rPr>
          <w:rFonts w:eastAsia="楷体_GB2312" w:hint="eastAsia"/>
          <w:sz w:val="32"/>
          <w:szCs w:val="32"/>
        </w:rPr>
        <w:t>提升内控管理。</w:t>
      </w:r>
      <w:r w:rsidR="00C27119">
        <w:rPr>
          <w:rFonts w:ascii="仿宋_GB2312" w:eastAsia="仿宋_GB2312" w:hint="eastAsia"/>
          <w:sz w:val="32"/>
          <w:szCs w:val="32"/>
        </w:rPr>
        <w:t>一是加强基础工作，在简化办事手续的同时，进一步规范业务流程，夯实内控基础。二是加强业务资料的整理、归档。三是加强统计基础工作，及时传递上报各项业务数据。四是保证基金安全，通过批量拨付，简化工作流程，加强基金监督。</w:t>
      </w:r>
    </w:p>
    <w:p w:rsidR="00C27119" w:rsidRDefault="00DE6C60" w:rsidP="00DE6C60">
      <w:pPr>
        <w:spacing w:line="560" w:lineRule="exact"/>
        <w:ind w:firstLineChars="100" w:firstLine="320"/>
        <w:rPr>
          <w:rFonts w:ascii="仿宋_GB2312" w:eastAsia="仿宋_GB2312"/>
          <w:sz w:val="32"/>
          <w:szCs w:val="32"/>
        </w:rPr>
      </w:pPr>
      <w:r w:rsidRPr="00DE6C60">
        <w:rPr>
          <w:rFonts w:eastAsia="楷体_GB2312" w:hint="eastAsia"/>
          <w:sz w:val="32"/>
          <w:szCs w:val="32"/>
        </w:rPr>
        <w:t>11.</w:t>
      </w:r>
      <w:r w:rsidR="00C27119" w:rsidRPr="00DE6C60">
        <w:rPr>
          <w:rFonts w:eastAsia="楷体_GB2312" w:hint="eastAsia"/>
          <w:sz w:val="32"/>
          <w:szCs w:val="32"/>
        </w:rPr>
        <w:t>理顺医保费征管职责。</w:t>
      </w:r>
      <w:r w:rsidR="00C27119">
        <w:rPr>
          <w:rFonts w:ascii="仿宋_GB2312" w:eastAsia="仿宋_GB2312" w:hint="eastAsia"/>
          <w:sz w:val="32"/>
          <w:szCs w:val="32"/>
        </w:rPr>
        <w:t>建立对账机制，明确数据传送规则、对账截止时点和资金划拨规则，稳步推进医保费征缴职责划转。与税务部门共同做好征缴移交工作，确保在移交过程中工作不断、政策不变，不影响群众参保缴费和待遇享受。</w:t>
      </w:r>
    </w:p>
    <w:p w:rsidR="00C27119" w:rsidRDefault="00C27119" w:rsidP="00425476">
      <w:pPr>
        <w:adjustRightInd w:val="0"/>
        <w:spacing w:line="580" w:lineRule="exact"/>
        <w:rPr>
          <w:rFonts w:ascii="仿宋_GB2312" w:eastAsia="仿宋_GB2312"/>
          <w:sz w:val="32"/>
          <w:szCs w:val="32"/>
        </w:rPr>
      </w:pPr>
    </w:p>
    <w:p w:rsidR="00C27119" w:rsidRDefault="00C27119">
      <w:pPr>
        <w:spacing w:line="600" w:lineRule="exact"/>
        <w:jc w:val="right"/>
        <w:rPr>
          <w:rFonts w:ascii="仿宋_GB2312" w:eastAsia="仿宋_GB2312"/>
          <w:sz w:val="32"/>
          <w:szCs w:val="32"/>
        </w:rPr>
      </w:pPr>
      <w:r>
        <w:rPr>
          <w:rFonts w:ascii="仿宋_GB2312" w:eastAsia="仿宋_GB2312" w:hint="eastAsia"/>
          <w:sz w:val="32"/>
          <w:szCs w:val="32"/>
        </w:rPr>
        <w:t>株洲市医疗保障事务中心                                                                                             202</w:t>
      </w:r>
      <w:r w:rsidR="00DE6C60">
        <w:rPr>
          <w:rFonts w:ascii="仿宋_GB2312" w:eastAsia="仿宋_GB2312" w:hint="eastAsia"/>
          <w:sz w:val="32"/>
          <w:szCs w:val="32"/>
        </w:rPr>
        <w:t>3</w:t>
      </w:r>
      <w:r>
        <w:rPr>
          <w:rFonts w:ascii="仿宋_GB2312" w:eastAsia="仿宋_GB2312" w:hint="eastAsia"/>
          <w:sz w:val="32"/>
          <w:szCs w:val="32"/>
        </w:rPr>
        <w:t>年0</w:t>
      </w:r>
      <w:r w:rsidR="00DE6C60">
        <w:rPr>
          <w:rFonts w:ascii="仿宋_GB2312" w:eastAsia="仿宋_GB2312" w:hint="eastAsia"/>
          <w:sz w:val="32"/>
          <w:szCs w:val="32"/>
        </w:rPr>
        <w:t>2</w:t>
      </w:r>
      <w:r>
        <w:rPr>
          <w:rFonts w:ascii="仿宋_GB2312" w:eastAsia="仿宋_GB2312" w:hint="eastAsia"/>
          <w:sz w:val="32"/>
          <w:szCs w:val="32"/>
        </w:rPr>
        <w:t>月20日</w:t>
      </w:r>
    </w:p>
    <w:sectPr w:rsidR="00C27119" w:rsidSect="00F01B26">
      <w:footerReference w:type="default" r:id="rId21"/>
      <w:pgSz w:w="11906" w:h="16838"/>
      <w:pgMar w:top="1440" w:right="1418"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A87" w:rsidRDefault="00D66A87">
      <w:r>
        <w:separator/>
      </w:r>
    </w:p>
  </w:endnote>
  <w:endnote w:type="continuationSeparator" w:id="0">
    <w:p w:rsidR="00D66A87" w:rsidRDefault="00D6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2F" w:rsidRDefault="00FB142F">
    <w:pPr>
      <w:jc w:val="center"/>
    </w:pPr>
    <w:r>
      <w:rPr>
        <w:lang w:val="zh-CN"/>
      </w:rPr>
      <w:t xml:space="preserve"> </w:t>
    </w:r>
    <w:r w:rsidR="00F07550">
      <w:rPr>
        <w:b/>
        <w:sz w:val="24"/>
      </w:rPr>
      <w:fldChar w:fldCharType="begin"/>
    </w:r>
    <w:r>
      <w:rPr>
        <w:b/>
      </w:rPr>
      <w:instrText>PAGE</w:instrText>
    </w:r>
    <w:r w:rsidR="00F07550">
      <w:rPr>
        <w:b/>
        <w:sz w:val="24"/>
      </w:rPr>
      <w:fldChar w:fldCharType="separate"/>
    </w:r>
    <w:r w:rsidR="00236BB9">
      <w:rPr>
        <w:b/>
        <w:noProof/>
      </w:rPr>
      <w:t>23</w:t>
    </w:r>
    <w:r w:rsidR="00F07550">
      <w:rPr>
        <w:b/>
        <w:sz w:val="24"/>
      </w:rPr>
      <w:fldChar w:fldCharType="end"/>
    </w:r>
    <w:r>
      <w:rPr>
        <w:lang w:val="zh-CN"/>
      </w:rPr>
      <w:t xml:space="preserve"> / </w:t>
    </w:r>
    <w:r w:rsidR="00F07550">
      <w:rPr>
        <w:b/>
        <w:sz w:val="24"/>
      </w:rPr>
      <w:fldChar w:fldCharType="begin"/>
    </w:r>
    <w:r>
      <w:rPr>
        <w:b/>
      </w:rPr>
      <w:instrText>NUMPAGES</w:instrText>
    </w:r>
    <w:r w:rsidR="00F07550">
      <w:rPr>
        <w:b/>
        <w:sz w:val="24"/>
      </w:rPr>
      <w:fldChar w:fldCharType="separate"/>
    </w:r>
    <w:r w:rsidR="00236BB9">
      <w:rPr>
        <w:b/>
        <w:noProof/>
      </w:rPr>
      <w:t>25</w:t>
    </w:r>
    <w:r w:rsidR="00F07550">
      <w:rPr>
        <w:b/>
        <w:sz w:val="24"/>
      </w:rPr>
      <w:fldChar w:fldCharType="end"/>
    </w:r>
  </w:p>
  <w:p w:rsidR="00FB142F" w:rsidRDefault="00FB14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A87" w:rsidRDefault="00D66A87">
      <w:r>
        <w:separator/>
      </w:r>
    </w:p>
  </w:footnote>
  <w:footnote w:type="continuationSeparator" w:id="0">
    <w:p w:rsidR="00D66A87" w:rsidRDefault="00D66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D1685"/>
    <w:multiLevelType w:val="singleLevel"/>
    <w:tmpl w:val="562D1685"/>
    <w:lvl w:ilvl="0">
      <w:start w:val="2"/>
      <w:numFmt w:val="chineseCounting"/>
      <w:suff w:val="nothing"/>
      <w:lvlText w:val="（%1）"/>
      <w:lvlJc w:val="left"/>
      <w:rPr>
        <w:rFonts w:hint="eastAsia"/>
        <w:b/>
        <w:bCs/>
      </w:rPr>
    </w:lvl>
  </w:abstractNum>
  <w:abstractNum w:abstractNumId="1" w15:restartNumberingAfterBreak="0">
    <w:nsid w:val="61DE873E"/>
    <w:multiLevelType w:val="singleLevel"/>
    <w:tmpl w:val="61DE873E"/>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5B7F"/>
    <w:rsid w:val="0000407D"/>
    <w:rsid w:val="00006689"/>
    <w:rsid w:val="00007006"/>
    <w:rsid w:val="00012201"/>
    <w:rsid w:val="00014D90"/>
    <w:rsid w:val="0001630F"/>
    <w:rsid w:val="00017087"/>
    <w:rsid w:val="00017562"/>
    <w:rsid w:val="00020746"/>
    <w:rsid w:val="00022867"/>
    <w:rsid w:val="00022FEA"/>
    <w:rsid w:val="00023191"/>
    <w:rsid w:val="000232B9"/>
    <w:rsid w:val="0002365D"/>
    <w:rsid w:val="00024665"/>
    <w:rsid w:val="0002689E"/>
    <w:rsid w:val="00026C76"/>
    <w:rsid w:val="00030609"/>
    <w:rsid w:val="00032C5A"/>
    <w:rsid w:val="000376D9"/>
    <w:rsid w:val="00042E1E"/>
    <w:rsid w:val="00043D36"/>
    <w:rsid w:val="0004443E"/>
    <w:rsid w:val="00044B1B"/>
    <w:rsid w:val="000506CA"/>
    <w:rsid w:val="000518FC"/>
    <w:rsid w:val="00051D46"/>
    <w:rsid w:val="00054610"/>
    <w:rsid w:val="00056CFF"/>
    <w:rsid w:val="00061DE3"/>
    <w:rsid w:val="000626F4"/>
    <w:rsid w:val="0006481C"/>
    <w:rsid w:val="0006580D"/>
    <w:rsid w:val="00070DFA"/>
    <w:rsid w:val="0007204F"/>
    <w:rsid w:val="00072103"/>
    <w:rsid w:val="00073396"/>
    <w:rsid w:val="000734FD"/>
    <w:rsid w:val="000739AB"/>
    <w:rsid w:val="00081DD7"/>
    <w:rsid w:val="00081F1F"/>
    <w:rsid w:val="000829AB"/>
    <w:rsid w:val="00083377"/>
    <w:rsid w:val="00084CE4"/>
    <w:rsid w:val="00084FD4"/>
    <w:rsid w:val="00086457"/>
    <w:rsid w:val="00090258"/>
    <w:rsid w:val="00091622"/>
    <w:rsid w:val="00092335"/>
    <w:rsid w:val="000930E6"/>
    <w:rsid w:val="00096E84"/>
    <w:rsid w:val="00096EEF"/>
    <w:rsid w:val="00097CBE"/>
    <w:rsid w:val="000A50AA"/>
    <w:rsid w:val="000A5C02"/>
    <w:rsid w:val="000A6AF5"/>
    <w:rsid w:val="000B0AD7"/>
    <w:rsid w:val="000B0CD8"/>
    <w:rsid w:val="000B164A"/>
    <w:rsid w:val="000B4BE0"/>
    <w:rsid w:val="000B4F86"/>
    <w:rsid w:val="000B5E53"/>
    <w:rsid w:val="000B6D30"/>
    <w:rsid w:val="000C051E"/>
    <w:rsid w:val="000C0FB6"/>
    <w:rsid w:val="000C2C42"/>
    <w:rsid w:val="000C42B7"/>
    <w:rsid w:val="000C4DDC"/>
    <w:rsid w:val="000C6483"/>
    <w:rsid w:val="000C6505"/>
    <w:rsid w:val="000C7F90"/>
    <w:rsid w:val="000D2FD0"/>
    <w:rsid w:val="000D395C"/>
    <w:rsid w:val="000D6453"/>
    <w:rsid w:val="000E0589"/>
    <w:rsid w:val="000E11BA"/>
    <w:rsid w:val="000E2746"/>
    <w:rsid w:val="000E38FD"/>
    <w:rsid w:val="000E3EA2"/>
    <w:rsid w:val="000E4CD5"/>
    <w:rsid w:val="000E5F53"/>
    <w:rsid w:val="000E6E07"/>
    <w:rsid w:val="000F1366"/>
    <w:rsid w:val="000F19FB"/>
    <w:rsid w:val="000F2AB8"/>
    <w:rsid w:val="000F44EE"/>
    <w:rsid w:val="000F5C60"/>
    <w:rsid w:val="000F6969"/>
    <w:rsid w:val="00101D13"/>
    <w:rsid w:val="001024DD"/>
    <w:rsid w:val="00102F89"/>
    <w:rsid w:val="00104269"/>
    <w:rsid w:val="00106391"/>
    <w:rsid w:val="00107126"/>
    <w:rsid w:val="00110658"/>
    <w:rsid w:val="00114036"/>
    <w:rsid w:val="00114535"/>
    <w:rsid w:val="001151A9"/>
    <w:rsid w:val="00115512"/>
    <w:rsid w:val="00115767"/>
    <w:rsid w:val="0012099C"/>
    <w:rsid w:val="00121006"/>
    <w:rsid w:val="00127C94"/>
    <w:rsid w:val="00131A02"/>
    <w:rsid w:val="00132899"/>
    <w:rsid w:val="00132C25"/>
    <w:rsid w:val="00135972"/>
    <w:rsid w:val="001401D9"/>
    <w:rsid w:val="00141289"/>
    <w:rsid w:val="00144626"/>
    <w:rsid w:val="0015030B"/>
    <w:rsid w:val="001543CD"/>
    <w:rsid w:val="0015522D"/>
    <w:rsid w:val="00155A0A"/>
    <w:rsid w:val="00156AB0"/>
    <w:rsid w:val="00163E54"/>
    <w:rsid w:val="001656A5"/>
    <w:rsid w:val="00167E49"/>
    <w:rsid w:val="0017631F"/>
    <w:rsid w:val="001775DD"/>
    <w:rsid w:val="00177E70"/>
    <w:rsid w:val="001803E3"/>
    <w:rsid w:val="00181F52"/>
    <w:rsid w:val="00183CEB"/>
    <w:rsid w:val="0018725B"/>
    <w:rsid w:val="00187305"/>
    <w:rsid w:val="0019097C"/>
    <w:rsid w:val="0019113C"/>
    <w:rsid w:val="00191592"/>
    <w:rsid w:val="00194A17"/>
    <w:rsid w:val="0019578E"/>
    <w:rsid w:val="00196562"/>
    <w:rsid w:val="001B2CC8"/>
    <w:rsid w:val="001B4C05"/>
    <w:rsid w:val="001B63B0"/>
    <w:rsid w:val="001B65DE"/>
    <w:rsid w:val="001B6892"/>
    <w:rsid w:val="001C2019"/>
    <w:rsid w:val="001C2F1D"/>
    <w:rsid w:val="001C31C1"/>
    <w:rsid w:val="001C3604"/>
    <w:rsid w:val="001C5B7F"/>
    <w:rsid w:val="001C6638"/>
    <w:rsid w:val="001D2B47"/>
    <w:rsid w:val="001D3C3B"/>
    <w:rsid w:val="001D4B80"/>
    <w:rsid w:val="001D6798"/>
    <w:rsid w:val="001D743C"/>
    <w:rsid w:val="001D7EB5"/>
    <w:rsid w:val="001E13F9"/>
    <w:rsid w:val="001E19B0"/>
    <w:rsid w:val="001E23A0"/>
    <w:rsid w:val="001E356C"/>
    <w:rsid w:val="001E7038"/>
    <w:rsid w:val="001F034D"/>
    <w:rsid w:val="001F04CC"/>
    <w:rsid w:val="001F3FC3"/>
    <w:rsid w:val="001F4DBB"/>
    <w:rsid w:val="002013E3"/>
    <w:rsid w:val="00202006"/>
    <w:rsid w:val="00203220"/>
    <w:rsid w:val="002045AC"/>
    <w:rsid w:val="00215BA2"/>
    <w:rsid w:val="002206DC"/>
    <w:rsid w:val="00220DF8"/>
    <w:rsid w:val="00223BA7"/>
    <w:rsid w:val="002241A4"/>
    <w:rsid w:val="0022733D"/>
    <w:rsid w:val="00231DBC"/>
    <w:rsid w:val="002333FB"/>
    <w:rsid w:val="00233A1D"/>
    <w:rsid w:val="00234F46"/>
    <w:rsid w:val="00235426"/>
    <w:rsid w:val="00236BB9"/>
    <w:rsid w:val="00236EB2"/>
    <w:rsid w:val="002379E3"/>
    <w:rsid w:val="0024038D"/>
    <w:rsid w:val="0024186E"/>
    <w:rsid w:val="00242D0E"/>
    <w:rsid w:val="00244CB7"/>
    <w:rsid w:val="00250026"/>
    <w:rsid w:val="00253691"/>
    <w:rsid w:val="002538FC"/>
    <w:rsid w:val="00254407"/>
    <w:rsid w:val="00255E74"/>
    <w:rsid w:val="0026053C"/>
    <w:rsid w:val="002610E0"/>
    <w:rsid w:val="0026239F"/>
    <w:rsid w:val="00262F56"/>
    <w:rsid w:val="00263462"/>
    <w:rsid w:val="0026575E"/>
    <w:rsid w:val="00265852"/>
    <w:rsid w:val="00266BB4"/>
    <w:rsid w:val="00267F67"/>
    <w:rsid w:val="002705B2"/>
    <w:rsid w:val="00270B84"/>
    <w:rsid w:val="00272B05"/>
    <w:rsid w:val="0027442F"/>
    <w:rsid w:val="002748FE"/>
    <w:rsid w:val="00276147"/>
    <w:rsid w:val="00280F59"/>
    <w:rsid w:val="00281911"/>
    <w:rsid w:val="00283D2B"/>
    <w:rsid w:val="0028463C"/>
    <w:rsid w:val="00285C62"/>
    <w:rsid w:val="00286B19"/>
    <w:rsid w:val="00290C43"/>
    <w:rsid w:val="00294476"/>
    <w:rsid w:val="00294F46"/>
    <w:rsid w:val="00296662"/>
    <w:rsid w:val="002A0C0C"/>
    <w:rsid w:val="002A0EAD"/>
    <w:rsid w:val="002A36F5"/>
    <w:rsid w:val="002A4722"/>
    <w:rsid w:val="002A4969"/>
    <w:rsid w:val="002A640C"/>
    <w:rsid w:val="002A6850"/>
    <w:rsid w:val="002A7EF5"/>
    <w:rsid w:val="002B122F"/>
    <w:rsid w:val="002B3457"/>
    <w:rsid w:val="002B5852"/>
    <w:rsid w:val="002B59E8"/>
    <w:rsid w:val="002C0F76"/>
    <w:rsid w:val="002C3FE9"/>
    <w:rsid w:val="002C4FB5"/>
    <w:rsid w:val="002C5790"/>
    <w:rsid w:val="002D2B5A"/>
    <w:rsid w:val="002D48D7"/>
    <w:rsid w:val="002D4EAF"/>
    <w:rsid w:val="002E02B4"/>
    <w:rsid w:val="002E3123"/>
    <w:rsid w:val="002E41F2"/>
    <w:rsid w:val="002E5668"/>
    <w:rsid w:val="002F19F7"/>
    <w:rsid w:val="002F1B70"/>
    <w:rsid w:val="002F5774"/>
    <w:rsid w:val="002F7823"/>
    <w:rsid w:val="002F7DFA"/>
    <w:rsid w:val="00300C52"/>
    <w:rsid w:val="0030139F"/>
    <w:rsid w:val="00302C31"/>
    <w:rsid w:val="00303F7E"/>
    <w:rsid w:val="00307446"/>
    <w:rsid w:val="0030775F"/>
    <w:rsid w:val="00307E13"/>
    <w:rsid w:val="00310A69"/>
    <w:rsid w:val="00310D39"/>
    <w:rsid w:val="00311F97"/>
    <w:rsid w:val="00312A93"/>
    <w:rsid w:val="00314AC6"/>
    <w:rsid w:val="00315099"/>
    <w:rsid w:val="00317253"/>
    <w:rsid w:val="00317310"/>
    <w:rsid w:val="00317726"/>
    <w:rsid w:val="00317AD0"/>
    <w:rsid w:val="00332E06"/>
    <w:rsid w:val="00336674"/>
    <w:rsid w:val="003473FB"/>
    <w:rsid w:val="003500EF"/>
    <w:rsid w:val="003516F0"/>
    <w:rsid w:val="003521AD"/>
    <w:rsid w:val="00353611"/>
    <w:rsid w:val="00353888"/>
    <w:rsid w:val="0035591C"/>
    <w:rsid w:val="0035699B"/>
    <w:rsid w:val="00360506"/>
    <w:rsid w:val="003609F8"/>
    <w:rsid w:val="00361BE7"/>
    <w:rsid w:val="00364322"/>
    <w:rsid w:val="003649E2"/>
    <w:rsid w:val="00365679"/>
    <w:rsid w:val="003668FA"/>
    <w:rsid w:val="00371B25"/>
    <w:rsid w:val="00372A60"/>
    <w:rsid w:val="0037323A"/>
    <w:rsid w:val="00376BDD"/>
    <w:rsid w:val="00377665"/>
    <w:rsid w:val="00380CE6"/>
    <w:rsid w:val="0038564D"/>
    <w:rsid w:val="00386036"/>
    <w:rsid w:val="0038714D"/>
    <w:rsid w:val="00390F97"/>
    <w:rsid w:val="00392094"/>
    <w:rsid w:val="00392504"/>
    <w:rsid w:val="00394E8A"/>
    <w:rsid w:val="003961A4"/>
    <w:rsid w:val="00397EC3"/>
    <w:rsid w:val="003A1737"/>
    <w:rsid w:val="003A4A7E"/>
    <w:rsid w:val="003A6320"/>
    <w:rsid w:val="003A7264"/>
    <w:rsid w:val="003A75C9"/>
    <w:rsid w:val="003A7C50"/>
    <w:rsid w:val="003B092E"/>
    <w:rsid w:val="003B0975"/>
    <w:rsid w:val="003B0A00"/>
    <w:rsid w:val="003C165A"/>
    <w:rsid w:val="003C1CE3"/>
    <w:rsid w:val="003C2740"/>
    <w:rsid w:val="003C27FF"/>
    <w:rsid w:val="003C3733"/>
    <w:rsid w:val="003D022A"/>
    <w:rsid w:val="003D0DE6"/>
    <w:rsid w:val="003D63E9"/>
    <w:rsid w:val="003D6E93"/>
    <w:rsid w:val="003D72EF"/>
    <w:rsid w:val="003E65CE"/>
    <w:rsid w:val="003E73C2"/>
    <w:rsid w:val="003F23DA"/>
    <w:rsid w:val="003F2D14"/>
    <w:rsid w:val="003F6E3F"/>
    <w:rsid w:val="003F7E21"/>
    <w:rsid w:val="00402CF7"/>
    <w:rsid w:val="00411D3D"/>
    <w:rsid w:val="00414232"/>
    <w:rsid w:val="004143E2"/>
    <w:rsid w:val="004147F5"/>
    <w:rsid w:val="00417F48"/>
    <w:rsid w:val="00420BCC"/>
    <w:rsid w:val="00420C4A"/>
    <w:rsid w:val="00420D6E"/>
    <w:rsid w:val="0042395F"/>
    <w:rsid w:val="004250B4"/>
    <w:rsid w:val="00425476"/>
    <w:rsid w:val="004304D0"/>
    <w:rsid w:val="00436F46"/>
    <w:rsid w:val="00437C3C"/>
    <w:rsid w:val="00440BF0"/>
    <w:rsid w:val="0044222A"/>
    <w:rsid w:val="0044345A"/>
    <w:rsid w:val="00444E99"/>
    <w:rsid w:val="004472CB"/>
    <w:rsid w:val="00447DE7"/>
    <w:rsid w:val="00451997"/>
    <w:rsid w:val="00452BEE"/>
    <w:rsid w:val="00455A0E"/>
    <w:rsid w:val="004577D4"/>
    <w:rsid w:val="00457B9B"/>
    <w:rsid w:val="00461B6B"/>
    <w:rsid w:val="004652A3"/>
    <w:rsid w:val="00466210"/>
    <w:rsid w:val="0046769F"/>
    <w:rsid w:val="00472B09"/>
    <w:rsid w:val="00472E58"/>
    <w:rsid w:val="004731E2"/>
    <w:rsid w:val="00476E13"/>
    <w:rsid w:val="004823CB"/>
    <w:rsid w:val="00482D84"/>
    <w:rsid w:val="00486AEA"/>
    <w:rsid w:val="004870ED"/>
    <w:rsid w:val="00490537"/>
    <w:rsid w:val="004921A6"/>
    <w:rsid w:val="004930E3"/>
    <w:rsid w:val="00493697"/>
    <w:rsid w:val="004969FC"/>
    <w:rsid w:val="00496F55"/>
    <w:rsid w:val="00497672"/>
    <w:rsid w:val="004A1C6E"/>
    <w:rsid w:val="004B1014"/>
    <w:rsid w:val="004B42F6"/>
    <w:rsid w:val="004B5140"/>
    <w:rsid w:val="004B7C9A"/>
    <w:rsid w:val="004C5744"/>
    <w:rsid w:val="004C63FB"/>
    <w:rsid w:val="004C7280"/>
    <w:rsid w:val="004D0971"/>
    <w:rsid w:val="004D494A"/>
    <w:rsid w:val="004E0858"/>
    <w:rsid w:val="004E5056"/>
    <w:rsid w:val="004E5592"/>
    <w:rsid w:val="004E615E"/>
    <w:rsid w:val="004F06DB"/>
    <w:rsid w:val="004F2007"/>
    <w:rsid w:val="004F4326"/>
    <w:rsid w:val="004F5833"/>
    <w:rsid w:val="004F6CDD"/>
    <w:rsid w:val="004F7211"/>
    <w:rsid w:val="00500B9E"/>
    <w:rsid w:val="005039B6"/>
    <w:rsid w:val="005055B0"/>
    <w:rsid w:val="005079FE"/>
    <w:rsid w:val="0051185E"/>
    <w:rsid w:val="00512820"/>
    <w:rsid w:val="005141BF"/>
    <w:rsid w:val="00514D97"/>
    <w:rsid w:val="00515989"/>
    <w:rsid w:val="005221BC"/>
    <w:rsid w:val="00522976"/>
    <w:rsid w:val="00534D0C"/>
    <w:rsid w:val="0053558F"/>
    <w:rsid w:val="005416A3"/>
    <w:rsid w:val="00541BCA"/>
    <w:rsid w:val="005424E6"/>
    <w:rsid w:val="0054266E"/>
    <w:rsid w:val="0054406D"/>
    <w:rsid w:val="0054557E"/>
    <w:rsid w:val="0054580C"/>
    <w:rsid w:val="00547366"/>
    <w:rsid w:val="0055058B"/>
    <w:rsid w:val="00551B1B"/>
    <w:rsid w:val="00552B27"/>
    <w:rsid w:val="005575AE"/>
    <w:rsid w:val="005607D1"/>
    <w:rsid w:val="00567D3D"/>
    <w:rsid w:val="005750A2"/>
    <w:rsid w:val="00580B2F"/>
    <w:rsid w:val="0058185D"/>
    <w:rsid w:val="00582462"/>
    <w:rsid w:val="0058482F"/>
    <w:rsid w:val="0058531E"/>
    <w:rsid w:val="0059364B"/>
    <w:rsid w:val="0059478E"/>
    <w:rsid w:val="00594B2A"/>
    <w:rsid w:val="00595594"/>
    <w:rsid w:val="005A369A"/>
    <w:rsid w:val="005A4330"/>
    <w:rsid w:val="005A6729"/>
    <w:rsid w:val="005A7952"/>
    <w:rsid w:val="005B10B7"/>
    <w:rsid w:val="005B239A"/>
    <w:rsid w:val="005B245F"/>
    <w:rsid w:val="005B77D1"/>
    <w:rsid w:val="005C1571"/>
    <w:rsid w:val="005C70F4"/>
    <w:rsid w:val="005C7622"/>
    <w:rsid w:val="005C7752"/>
    <w:rsid w:val="005C790F"/>
    <w:rsid w:val="005D35D0"/>
    <w:rsid w:val="005D361C"/>
    <w:rsid w:val="005D5E1E"/>
    <w:rsid w:val="005E2D60"/>
    <w:rsid w:val="005E4527"/>
    <w:rsid w:val="005E45F7"/>
    <w:rsid w:val="005F09DF"/>
    <w:rsid w:val="005F2161"/>
    <w:rsid w:val="005F2463"/>
    <w:rsid w:val="005F3EA0"/>
    <w:rsid w:val="005F5616"/>
    <w:rsid w:val="005F61E1"/>
    <w:rsid w:val="005F79A4"/>
    <w:rsid w:val="0060092F"/>
    <w:rsid w:val="00604295"/>
    <w:rsid w:val="0060523E"/>
    <w:rsid w:val="006064EC"/>
    <w:rsid w:val="006069BD"/>
    <w:rsid w:val="00606EE2"/>
    <w:rsid w:val="00607A14"/>
    <w:rsid w:val="00610B10"/>
    <w:rsid w:val="00611CE7"/>
    <w:rsid w:val="00612351"/>
    <w:rsid w:val="00616484"/>
    <w:rsid w:val="00616692"/>
    <w:rsid w:val="0061707F"/>
    <w:rsid w:val="00620718"/>
    <w:rsid w:val="00620785"/>
    <w:rsid w:val="00621179"/>
    <w:rsid w:val="0062258B"/>
    <w:rsid w:val="0062365F"/>
    <w:rsid w:val="006245D6"/>
    <w:rsid w:val="0062597C"/>
    <w:rsid w:val="0062756D"/>
    <w:rsid w:val="00630D38"/>
    <w:rsid w:val="00635495"/>
    <w:rsid w:val="006358BD"/>
    <w:rsid w:val="00636BFC"/>
    <w:rsid w:val="0064051F"/>
    <w:rsid w:val="006415F8"/>
    <w:rsid w:val="00641E77"/>
    <w:rsid w:val="0064255D"/>
    <w:rsid w:val="00645E98"/>
    <w:rsid w:val="006463C2"/>
    <w:rsid w:val="006527AB"/>
    <w:rsid w:val="00657634"/>
    <w:rsid w:val="00661E19"/>
    <w:rsid w:val="006626AD"/>
    <w:rsid w:val="00662AC1"/>
    <w:rsid w:val="00666A4A"/>
    <w:rsid w:val="006700F1"/>
    <w:rsid w:val="006734E5"/>
    <w:rsid w:val="00674CD7"/>
    <w:rsid w:val="00675EB1"/>
    <w:rsid w:val="0068384D"/>
    <w:rsid w:val="0069153B"/>
    <w:rsid w:val="00695D33"/>
    <w:rsid w:val="00697DAB"/>
    <w:rsid w:val="006A14E0"/>
    <w:rsid w:val="006A44F5"/>
    <w:rsid w:val="006A68B0"/>
    <w:rsid w:val="006B03A1"/>
    <w:rsid w:val="006B2A5D"/>
    <w:rsid w:val="006C0840"/>
    <w:rsid w:val="006C1A1A"/>
    <w:rsid w:val="006C3319"/>
    <w:rsid w:val="006C4D8F"/>
    <w:rsid w:val="006C5074"/>
    <w:rsid w:val="006C7B7B"/>
    <w:rsid w:val="006D3044"/>
    <w:rsid w:val="006D4049"/>
    <w:rsid w:val="006D4144"/>
    <w:rsid w:val="006D7A38"/>
    <w:rsid w:val="006E0135"/>
    <w:rsid w:val="006E46BE"/>
    <w:rsid w:val="006E5CD9"/>
    <w:rsid w:val="006F2A09"/>
    <w:rsid w:val="00702B0C"/>
    <w:rsid w:val="00703015"/>
    <w:rsid w:val="00703767"/>
    <w:rsid w:val="007037DE"/>
    <w:rsid w:val="0070486A"/>
    <w:rsid w:val="007051EA"/>
    <w:rsid w:val="007065A3"/>
    <w:rsid w:val="007068DE"/>
    <w:rsid w:val="00707F07"/>
    <w:rsid w:val="00710E5A"/>
    <w:rsid w:val="007169D6"/>
    <w:rsid w:val="00721544"/>
    <w:rsid w:val="0072216B"/>
    <w:rsid w:val="0072260F"/>
    <w:rsid w:val="00726D79"/>
    <w:rsid w:val="007321A0"/>
    <w:rsid w:val="00733995"/>
    <w:rsid w:val="00734B0C"/>
    <w:rsid w:val="007417A1"/>
    <w:rsid w:val="00741AC3"/>
    <w:rsid w:val="00743E4E"/>
    <w:rsid w:val="00745816"/>
    <w:rsid w:val="00746228"/>
    <w:rsid w:val="00750627"/>
    <w:rsid w:val="007509CF"/>
    <w:rsid w:val="007509F3"/>
    <w:rsid w:val="00753D44"/>
    <w:rsid w:val="00755EA5"/>
    <w:rsid w:val="0075607A"/>
    <w:rsid w:val="007610EA"/>
    <w:rsid w:val="00762800"/>
    <w:rsid w:val="00763247"/>
    <w:rsid w:val="00764ED7"/>
    <w:rsid w:val="0076669B"/>
    <w:rsid w:val="007669CC"/>
    <w:rsid w:val="00770EDC"/>
    <w:rsid w:val="0077195E"/>
    <w:rsid w:val="00771C19"/>
    <w:rsid w:val="00776F02"/>
    <w:rsid w:val="0078028E"/>
    <w:rsid w:val="00781EDA"/>
    <w:rsid w:val="007873C4"/>
    <w:rsid w:val="00787FB3"/>
    <w:rsid w:val="007903B9"/>
    <w:rsid w:val="00790CBA"/>
    <w:rsid w:val="0079246B"/>
    <w:rsid w:val="00792B53"/>
    <w:rsid w:val="007952C5"/>
    <w:rsid w:val="00797657"/>
    <w:rsid w:val="007A146D"/>
    <w:rsid w:val="007A1ABA"/>
    <w:rsid w:val="007A21F9"/>
    <w:rsid w:val="007A2B1E"/>
    <w:rsid w:val="007A60F0"/>
    <w:rsid w:val="007A65A6"/>
    <w:rsid w:val="007A6F4D"/>
    <w:rsid w:val="007B2070"/>
    <w:rsid w:val="007B2761"/>
    <w:rsid w:val="007B351F"/>
    <w:rsid w:val="007B4E4D"/>
    <w:rsid w:val="007B4E51"/>
    <w:rsid w:val="007B5DF0"/>
    <w:rsid w:val="007C2279"/>
    <w:rsid w:val="007C65C0"/>
    <w:rsid w:val="007C7F9C"/>
    <w:rsid w:val="007D0426"/>
    <w:rsid w:val="007D577E"/>
    <w:rsid w:val="007D784E"/>
    <w:rsid w:val="007E29E6"/>
    <w:rsid w:val="007E5789"/>
    <w:rsid w:val="007F0999"/>
    <w:rsid w:val="007F0DF5"/>
    <w:rsid w:val="007F6202"/>
    <w:rsid w:val="007F6A30"/>
    <w:rsid w:val="00801886"/>
    <w:rsid w:val="00804518"/>
    <w:rsid w:val="00807765"/>
    <w:rsid w:val="00807F82"/>
    <w:rsid w:val="00810714"/>
    <w:rsid w:val="00811B17"/>
    <w:rsid w:val="008120BE"/>
    <w:rsid w:val="0081316C"/>
    <w:rsid w:val="008138DC"/>
    <w:rsid w:val="00816DFB"/>
    <w:rsid w:val="00821574"/>
    <w:rsid w:val="008244F8"/>
    <w:rsid w:val="00830F60"/>
    <w:rsid w:val="008371D7"/>
    <w:rsid w:val="00837314"/>
    <w:rsid w:val="00837C77"/>
    <w:rsid w:val="008416BF"/>
    <w:rsid w:val="0084255B"/>
    <w:rsid w:val="00842E73"/>
    <w:rsid w:val="00843D28"/>
    <w:rsid w:val="00846BED"/>
    <w:rsid w:val="008472D2"/>
    <w:rsid w:val="008506B5"/>
    <w:rsid w:val="00851E01"/>
    <w:rsid w:val="00855339"/>
    <w:rsid w:val="008621F7"/>
    <w:rsid w:val="008628B0"/>
    <w:rsid w:val="00864FD9"/>
    <w:rsid w:val="00866D0B"/>
    <w:rsid w:val="0086738E"/>
    <w:rsid w:val="008755B0"/>
    <w:rsid w:val="008806C5"/>
    <w:rsid w:val="00881680"/>
    <w:rsid w:val="00882D41"/>
    <w:rsid w:val="008844A4"/>
    <w:rsid w:val="0089148B"/>
    <w:rsid w:val="00892C9C"/>
    <w:rsid w:val="008934C4"/>
    <w:rsid w:val="008977EB"/>
    <w:rsid w:val="008A16B0"/>
    <w:rsid w:val="008A321A"/>
    <w:rsid w:val="008A3A93"/>
    <w:rsid w:val="008A5AB0"/>
    <w:rsid w:val="008A662C"/>
    <w:rsid w:val="008A6B09"/>
    <w:rsid w:val="008A6FB6"/>
    <w:rsid w:val="008B0F3A"/>
    <w:rsid w:val="008B137C"/>
    <w:rsid w:val="008B1401"/>
    <w:rsid w:val="008B3CFD"/>
    <w:rsid w:val="008B4CFB"/>
    <w:rsid w:val="008B6735"/>
    <w:rsid w:val="008C3C06"/>
    <w:rsid w:val="008D18C1"/>
    <w:rsid w:val="008D37C4"/>
    <w:rsid w:val="008D4977"/>
    <w:rsid w:val="008D6434"/>
    <w:rsid w:val="008D6DCD"/>
    <w:rsid w:val="008D6FCA"/>
    <w:rsid w:val="008E570F"/>
    <w:rsid w:val="008E6E25"/>
    <w:rsid w:val="008F144D"/>
    <w:rsid w:val="008F5945"/>
    <w:rsid w:val="00902A2C"/>
    <w:rsid w:val="0090313A"/>
    <w:rsid w:val="00903A09"/>
    <w:rsid w:val="00905196"/>
    <w:rsid w:val="00905D84"/>
    <w:rsid w:val="00907518"/>
    <w:rsid w:val="009104D6"/>
    <w:rsid w:val="00911A19"/>
    <w:rsid w:val="009131F4"/>
    <w:rsid w:val="00917393"/>
    <w:rsid w:val="00920794"/>
    <w:rsid w:val="00920BA9"/>
    <w:rsid w:val="009219FF"/>
    <w:rsid w:val="00922002"/>
    <w:rsid w:val="00922AD6"/>
    <w:rsid w:val="00926F54"/>
    <w:rsid w:val="009334BC"/>
    <w:rsid w:val="00933CEC"/>
    <w:rsid w:val="009378E9"/>
    <w:rsid w:val="00945B19"/>
    <w:rsid w:val="00946E5C"/>
    <w:rsid w:val="00952E31"/>
    <w:rsid w:val="009533C1"/>
    <w:rsid w:val="009571CB"/>
    <w:rsid w:val="009571D2"/>
    <w:rsid w:val="009629B3"/>
    <w:rsid w:val="0096564B"/>
    <w:rsid w:val="009677DF"/>
    <w:rsid w:val="0097483B"/>
    <w:rsid w:val="00977E6B"/>
    <w:rsid w:val="0098078F"/>
    <w:rsid w:val="00980A91"/>
    <w:rsid w:val="00984C48"/>
    <w:rsid w:val="00985C18"/>
    <w:rsid w:val="009864E6"/>
    <w:rsid w:val="00987F11"/>
    <w:rsid w:val="0099722B"/>
    <w:rsid w:val="009A25F5"/>
    <w:rsid w:val="009A4D52"/>
    <w:rsid w:val="009A5FD3"/>
    <w:rsid w:val="009A603A"/>
    <w:rsid w:val="009A7E5C"/>
    <w:rsid w:val="009B0543"/>
    <w:rsid w:val="009B1905"/>
    <w:rsid w:val="009B2CD0"/>
    <w:rsid w:val="009B55B3"/>
    <w:rsid w:val="009B7600"/>
    <w:rsid w:val="009C62A9"/>
    <w:rsid w:val="009C7EB5"/>
    <w:rsid w:val="009D1150"/>
    <w:rsid w:val="009D3E60"/>
    <w:rsid w:val="009D43AD"/>
    <w:rsid w:val="009D5E19"/>
    <w:rsid w:val="009D7D54"/>
    <w:rsid w:val="009E20C4"/>
    <w:rsid w:val="009E54B1"/>
    <w:rsid w:val="009E7087"/>
    <w:rsid w:val="009E77C4"/>
    <w:rsid w:val="009F025C"/>
    <w:rsid w:val="009F09D5"/>
    <w:rsid w:val="009F1E41"/>
    <w:rsid w:val="009F5BD3"/>
    <w:rsid w:val="009F6BC3"/>
    <w:rsid w:val="009F7D62"/>
    <w:rsid w:val="00A020B6"/>
    <w:rsid w:val="00A06484"/>
    <w:rsid w:val="00A15D59"/>
    <w:rsid w:val="00A215C0"/>
    <w:rsid w:val="00A21DC7"/>
    <w:rsid w:val="00A23AE3"/>
    <w:rsid w:val="00A25DBB"/>
    <w:rsid w:val="00A31BA5"/>
    <w:rsid w:val="00A40B6C"/>
    <w:rsid w:val="00A4142A"/>
    <w:rsid w:val="00A4253A"/>
    <w:rsid w:val="00A42F0C"/>
    <w:rsid w:val="00A46719"/>
    <w:rsid w:val="00A473DF"/>
    <w:rsid w:val="00A519FC"/>
    <w:rsid w:val="00A52F64"/>
    <w:rsid w:val="00A539DB"/>
    <w:rsid w:val="00A53E00"/>
    <w:rsid w:val="00A54F38"/>
    <w:rsid w:val="00A575ED"/>
    <w:rsid w:val="00A6300D"/>
    <w:rsid w:val="00A64FAA"/>
    <w:rsid w:val="00A66B0B"/>
    <w:rsid w:val="00A66DBB"/>
    <w:rsid w:val="00A757E3"/>
    <w:rsid w:val="00A75CEA"/>
    <w:rsid w:val="00A80193"/>
    <w:rsid w:val="00A801EF"/>
    <w:rsid w:val="00A817F3"/>
    <w:rsid w:val="00A81908"/>
    <w:rsid w:val="00A836E6"/>
    <w:rsid w:val="00A83DCB"/>
    <w:rsid w:val="00A91236"/>
    <w:rsid w:val="00A947AF"/>
    <w:rsid w:val="00A95999"/>
    <w:rsid w:val="00A971DA"/>
    <w:rsid w:val="00AA1FED"/>
    <w:rsid w:val="00AA3F92"/>
    <w:rsid w:val="00AA45B8"/>
    <w:rsid w:val="00AB2082"/>
    <w:rsid w:val="00AB2A1D"/>
    <w:rsid w:val="00AB6DCB"/>
    <w:rsid w:val="00AC0224"/>
    <w:rsid w:val="00AC2312"/>
    <w:rsid w:val="00AD34B7"/>
    <w:rsid w:val="00AD483B"/>
    <w:rsid w:val="00AD49C0"/>
    <w:rsid w:val="00AD541F"/>
    <w:rsid w:val="00AD7599"/>
    <w:rsid w:val="00AD7ECB"/>
    <w:rsid w:val="00AE0FAF"/>
    <w:rsid w:val="00AE294B"/>
    <w:rsid w:val="00AE2C61"/>
    <w:rsid w:val="00AE3D47"/>
    <w:rsid w:val="00AE3E74"/>
    <w:rsid w:val="00AE3ED4"/>
    <w:rsid w:val="00AE4532"/>
    <w:rsid w:val="00AE4726"/>
    <w:rsid w:val="00AF60BC"/>
    <w:rsid w:val="00AF792B"/>
    <w:rsid w:val="00B00893"/>
    <w:rsid w:val="00B00A4D"/>
    <w:rsid w:val="00B019FC"/>
    <w:rsid w:val="00B033D8"/>
    <w:rsid w:val="00B06778"/>
    <w:rsid w:val="00B10EA0"/>
    <w:rsid w:val="00B11E05"/>
    <w:rsid w:val="00B12942"/>
    <w:rsid w:val="00B14A2C"/>
    <w:rsid w:val="00B15743"/>
    <w:rsid w:val="00B15B26"/>
    <w:rsid w:val="00B235B5"/>
    <w:rsid w:val="00B25C44"/>
    <w:rsid w:val="00B26DD8"/>
    <w:rsid w:val="00B30AC7"/>
    <w:rsid w:val="00B32256"/>
    <w:rsid w:val="00B33358"/>
    <w:rsid w:val="00B34302"/>
    <w:rsid w:val="00B34D32"/>
    <w:rsid w:val="00B4068D"/>
    <w:rsid w:val="00B40AAC"/>
    <w:rsid w:val="00B4242E"/>
    <w:rsid w:val="00B44AEB"/>
    <w:rsid w:val="00B46430"/>
    <w:rsid w:val="00B506AD"/>
    <w:rsid w:val="00B53598"/>
    <w:rsid w:val="00B53A3E"/>
    <w:rsid w:val="00B5423A"/>
    <w:rsid w:val="00B5555D"/>
    <w:rsid w:val="00B55A59"/>
    <w:rsid w:val="00B57DB3"/>
    <w:rsid w:val="00B57F87"/>
    <w:rsid w:val="00B67AAF"/>
    <w:rsid w:val="00B72AC0"/>
    <w:rsid w:val="00B7382C"/>
    <w:rsid w:val="00B75063"/>
    <w:rsid w:val="00B80A2D"/>
    <w:rsid w:val="00B81B6B"/>
    <w:rsid w:val="00B83BCC"/>
    <w:rsid w:val="00B846DA"/>
    <w:rsid w:val="00B8649B"/>
    <w:rsid w:val="00B92757"/>
    <w:rsid w:val="00B93102"/>
    <w:rsid w:val="00B93A14"/>
    <w:rsid w:val="00B95B62"/>
    <w:rsid w:val="00B97CE1"/>
    <w:rsid w:val="00BA0A98"/>
    <w:rsid w:val="00BA149C"/>
    <w:rsid w:val="00BA50D5"/>
    <w:rsid w:val="00BA7302"/>
    <w:rsid w:val="00BA78D5"/>
    <w:rsid w:val="00BB00A7"/>
    <w:rsid w:val="00BB05DD"/>
    <w:rsid w:val="00BB0A9D"/>
    <w:rsid w:val="00BB6BC9"/>
    <w:rsid w:val="00BB6EA4"/>
    <w:rsid w:val="00BC0609"/>
    <w:rsid w:val="00BC3B3B"/>
    <w:rsid w:val="00BC57DC"/>
    <w:rsid w:val="00BC7A2D"/>
    <w:rsid w:val="00BC7F68"/>
    <w:rsid w:val="00BC7FEE"/>
    <w:rsid w:val="00BD1D7B"/>
    <w:rsid w:val="00BD2820"/>
    <w:rsid w:val="00BD6C51"/>
    <w:rsid w:val="00BE195A"/>
    <w:rsid w:val="00BE1BBB"/>
    <w:rsid w:val="00BE24A1"/>
    <w:rsid w:val="00BE5802"/>
    <w:rsid w:val="00BE5F33"/>
    <w:rsid w:val="00BF2DA0"/>
    <w:rsid w:val="00BF33F3"/>
    <w:rsid w:val="00BF5F9B"/>
    <w:rsid w:val="00BF6DA0"/>
    <w:rsid w:val="00C008B9"/>
    <w:rsid w:val="00C01E89"/>
    <w:rsid w:val="00C02328"/>
    <w:rsid w:val="00C02C68"/>
    <w:rsid w:val="00C03435"/>
    <w:rsid w:val="00C035DA"/>
    <w:rsid w:val="00C05842"/>
    <w:rsid w:val="00C060DF"/>
    <w:rsid w:val="00C06951"/>
    <w:rsid w:val="00C0798A"/>
    <w:rsid w:val="00C07E19"/>
    <w:rsid w:val="00C10422"/>
    <w:rsid w:val="00C10C91"/>
    <w:rsid w:val="00C122C9"/>
    <w:rsid w:val="00C12B26"/>
    <w:rsid w:val="00C159E9"/>
    <w:rsid w:val="00C1775B"/>
    <w:rsid w:val="00C17914"/>
    <w:rsid w:val="00C24F13"/>
    <w:rsid w:val="00C24FEB"/>
    <w:rsid w:val="00C27119"/>
    <w:rsid w:val="00C32DA9"/>
    <w:rsid w:val="00C3465F"/>
    <w:rsid w:val="00C47D40"/>
    <w:rsid w:val="00C502DA"/>
    <w:rsid w:val="00C51320"/>
    <w:rsid w:val="00C54E9F"/>
    <w:rsid w:val="00C60BB4"/>
    <w:rsid w:val="00C667D8"/>
    <w:rsid w:val="00C66DAF"/>
    <w:rsid w:val="00C70B2B"/>
    <w:rsid w:val="00C749A9"/>
    <w:rsid w:val="00C77331"/>
    <w:rsid w:val="00C811FF"/>
    <w:rsid w:val="00C85FB0"/>
    <w:rsid w:val="00C87557"/>
    <w:rsid w:val="00C94DAA"/>
    <w:rsid w:val="00C94F58"/>
    <w:rsid w:val="00CA098E"/>
    <w:rsid w:val="00CA2E9A"/>
    <w:rsid w:val="00CA31CF"/>
    <w:rsid w:val="00CA3378"/>
    <w:rsid w:val="00CA4BFF"/>
    <w:rsid w:val="00CA5921"/>
    <w:rsid w:val="00CA6BCA"/>
    <w:rsid w:val="00CB3C55"/>
    <w:rsid w:val="00CB61E7"/>
    <w:rsid w:val="00CB63AD"/>
    <w:rsid w:val="00CB6629"/>
    <w:rsid w:val="00CC151E"/>
    <w:rsid w:val="00CC7516"/>
    <w:rsid w:val="00CD0753"/>
    <w:rsid w:val="00CD27B9"/>
    <w:rsid w:val="00CD666D"/>
    <w:rsid w:val="00CD6E7B"/>
    <w:rsid w:val="00CE0F54"/>
    <w:rsid w:val="00CE24EF"/>
    <w:rsid w:val="00CE4B96"/>
    <w:rsid w:val="00CE55AA"/>
    <w:rsid w:val="00CF2519"/>
    <w:rsid w:val="00CF3710"/>
    <w:rsid w:val="00D0112F"/>
    <w:rsid w:val="00D03AA4"/>
    <w:rsid w:val="00D055C9"/>
    <w:rsid w:val="00D05C90"/>
    <w:rsid w:val="00D10227"/>
    <w:rsid w:val="00D12E46"/>
    <w:rsid w:val="00D169C1"/>
    <w:rsid w:val="00D20714"/>
    <w:rsid w:val="00D210DE"/>
    <w:rsid w:val="00D25B52"/>
    <w:rsid w:val="00D27C62"/>
    <w:rsid w:val="00D31ED5"/>
    <w:rsid w:val="00D33BBE"/>
    <w:rsid w:val="00D3489E"/>
    <w:rsid w:val="00D3536A"/>
    <w:rsid w:val="00D40208"/>
    <w:rsid w:val="00D41E5B"/>
    <w:rsid w:val="00D43061"/>
    <w:rsid w:val="00D466F4"/>
    <w:rsid w:val="00D501B8"/>
    <w:rsid w:val="00D501E0"/>
    <w:rsid w:val="00D52F21"/>
    <w:rsid w:val="00D6006F"/>
    <w:rsid w:val="00D601E0"/>
    <w:rsid w:val="00D619C1"/>
    <w:rsid w:val="00D626AD"/>
    <w:rsid w:val="00D649D5"/>
    <w:rsid w:val="00D64DEF"/>
    <w:rsid w:val="00D66A87"/>
    <w:rsid w:val="00D71B45"/>
    <w:rsid w:val="00D8048A"/>
    <w:rsid w:val="00D81AF8"/>
    <w:rsid w:val="00D841A8"/>
    <w:rsid w:val="00D86904"/>
    <w:rsid w:val="00D87149"/>
    <w:rsid w:val="00D876FD"/>
    <w:rsid w:val="00D9277A"/>
    <w:rsid w:val="00D93EAA"/>
    <w:rsid w:val="00D94848"/>
    <w:rsid w:val="00D95DF5"/>
    <w:rsid w:val="00DA08A5"/>
    <w:rsid w:val="00DA09A9"/>
    <w:rsid w:val="00DA1821"/>
    <w:rsid w:val="00DA5E91"/>
    <w:rsid w:val="00DB1467"/>
    <w:rsid w:val="00DB61B0"/>
    <w:rsid w:val="00DB723C"/>
    <w:rsid w:val="00DC2029"/>
    <w:rsid w:val="00DC47AC"/>
    <w:rsid w:val="00DC4D77"/>
    <w:rsid w:val="00DC5738"/>
    <w:rsid w:val="00DC68E1"/>
    <w:rsid w:val="00DD3BEF"/>
    <w:rsid w:val="00DD474F"/>
    <w:rsid w:val="00DE471B"/>
    <w:rsid w:val="00DE6C60"/>
    <w:rsid w:val="00DE778C"/>
    <w:rsid w:val="00DF1352"/>
    <w:rsid w:val="00DF678B"/>
    <w:rsid w:val="00DF6967"/>
    <w:rsid w:val="00DF69F0"/>
    <w:rsid w:val="00DF7AF0"/>
    <w:rsid w:val="00E01784"/>
    <w:rsid w:val="00E01BE6"/>
    <w:rsid w:val="00E020EC"/>
    <w:rsid w:val="00E0652D"/>
    <w:rsid w:val="00E07E5C"/>
    <w:rsid w:val="00E10111"/>
    <w:rsid w:val="00E1083E"/>
    <w:rsid w:val="00E16335"/>
    <w:rsid w:val="00E167FB"/>
    <w:rsid w:val="00E2556E"/>
    <w:rsid w:val="00E25811"/>
    <w:rsid w:val="00E25B78"/>
    <w:rsid w:val="00E355A8"/>
    <w:rsid w:val="00E36AED"/>
    <w:rsid w:val="00E36F07"/>
    <w:rsid w:val="00E401BA"/>
    <w:rsid w:val="00E426E2"/>
    <w:rsid w:val="00E45934"/>
    <w:rsid w:val="00E50C46"/>
    <w:rsid w:val="00E518BD"/>
    <w:rsid w:val="00E57D33"/>
    <w:rsid w:val="00E61C63"/>
    <w:rsid w:val="00E61F25"/>
    <w:rsid w:val="00E633A1"/>
    <w:rsid w:val="00E65EE4"/>
    <w:rsid w:val="00E67A96"/>
    <w:rsid w:val="00E705D6"/>
    <w:rsid w:val="00E71128"/>
    <w:rsid w:val="00E711B3"/>
    <w:rsid w:val="00E7212D"/>
    <w:rsid w:val="00E743B9"/>
    <w:rsid w:val="00E74F46"/>
    <w:rsid w:val="00E760B4"/>
    <w:rsid w:val="00E764C3"/>
    <w:rsid w:val="00E8017F"/>
    <w:rsid w:val="00E80FA9"/>
    <w:rsid w:val="00E8201E"/>
    <w:rsid w:val="00E83571"/>
    <w:rsid w:val="00E86932"/>
    <w:rsid w:val="00E926BC"/>
    <w:rsid w:val="00E9351F"/>
    <w:rsid w:val="00E94F2A"/>
    <w:rsid w:val="00E96850"/>
    <w:rsid w:val="00EA36B7"/>
    <w:rsid w:val="00EA4DDD"/>
    <w:rsid w:val="00EA4E90"/>
    <w:rsid w:val="00EA4F00"/>
    <w:rsid w:val="00EA57E4"/>
    <w:rsid w:val="00EA65EB"/>
    <w:rsid w:val="00EA7382"/>
    <w:rsid w:val="00EB1079"/>
    <w:rsid w:val="00EB21D8"/>
    <w:rsid w:val="00EB3AAA"/>
    <w:rsid w:val="00EB4793"/>
    <w:rsid w:val="00EB538D"/>
    <w:rsid w:val="00EB59F2"/>
    <w:rsid w:val="00EB7A9C"/>
    <w:rsid w:val="00EC09C8"/>
    <w:rsid w:val="00EC5A1B"/>
    <w:rsid w:val="00ED2448"/>
    <w:rsid w:val="00ED4889"/>
    <w:rsid w:val="00ED633C"/>
    <w:rsid w:val="00ED7D31"/>
    <w:rsid w:val="00EE08CD"/>
    <w:rsid w:val="00EE2FAF"/>
    <w:rsid w:val="00EE4D91"/>
    <w:rsid w:val="00EE7A03"/>
    <w:rsid w:val="00EE7E7F"/>
    <w:rsid w:val="00EE7F28"/>
    <w:rsid w:val="00EF1068"/>
    <w:rsid w:val="00EF4035"/>
    <w:rsid w:val="00EF6B10"/>
    <w:rsid w:val="00F005AC"/>
    <w:rsid w:val="00F0089D"/>
    <w:rsid w:val="00F01B26"/>
    <w:rsid w:val="00F07550"/>
    <w:rsid w:val="00F174A4"/>
    <w:rsid w:val="00F2100A"/>
    <w:rsid w:val="00F21996"/>
    <w:rsid w:val="00F235E4"/>
    <w:rsid w:val="00F23B77"/>
    <w:rsid w:val="00F23E71"/>
    <w:rsid w:val="00F2572D"/>
    <w:rsid w:val="00F259CE"/>
    <w:rsid w:val="00F27C20"/>
    <w:rsid w:val="00F319E7"/>
    <w:rsid w:val="00F31A6E"/>
    <w:rsid w:val="00F3452B"/>
    <w:rsid w:val="00F34A1B"/>
    <w:rsid w:val="00F37E54"/>
    <w:rsid w:val="00F40A8A"/>
    <w:rsid w:val="00F41280"/>
    <w:rsid w:val="00F42AE8"/>
    <w:rsid w:val="00F5123F"/>
    <w:rsid w:val="00F5458C"/>
    <w:rsid w:val="00F56699"/>
    <w:rsid w:val="00F60C18"/>
    <w:rsid w:val="00F618B6"/>
    <w:rsid w:val="00F62508"/>
    <w:rsid w:val="00F655D6"/>
    <w:rsid w:val="00F75F3B"/>
    <w:rsid w:val="00F7772C"/>
    <w:rsid w:val="00F82688"/>
    <w:rsid w:val="00F840C3"/>
    <w:rsid w:val="00F845D6"/>
    <w:rsid w:val="00F8775B"/>
    <w:rsid w:val="00F94B46"/>
    <w:rsid w:val="00F959B9"/>
    <w:rsid w:val="00FA0903"/>
    <w:rsid w:val="00FA1932"/>
    <w:rsid w:val="00FA2173"/>
    <w:rsid w:val="00FA2B6C"/>
    <w:rsid w:val="00FA31AB"/>
    <w:rsid w:val="00FA68C7"/>
    <w:rsid w:val="00FB142F"/>
    <w:rsid w:val="00FB1B2C"/>
    <w:rsid w:val="00FB2007"/>
    <w:rsid w:val="00FB29FF"/>
    <w:rsid w:val="00FB2B04"/>
    <w:rsid w:val="00FB48EF"/>
    <w:rsid w:val="00FB50B1"/>
    <w:rsid w:val="00FB56FC"/>
    <w:rsid w:val="00FB65E7"/>
    <w:rsid w:val="00FB7618"/>
    <w:rsid w:val="00FC00D6"/>
    <w:rsid w:val="00FC0B7B"/>
    <w:rsid w:val="00FC28C4"/>
    <w:rsid w:val="00FC2B5B"/>
    <w:rsid w:val="00FC4502"/>
    <w:rsid w:val="00FC6D1F"/>
    <w:rsid w:val="00FC70CE"/>
    <w:rsid w:val="00FC78F7"/>
    <w:rsid w:val="00FC7E8A"/>
    <w:rsid w:val="00FD321F"/>
    <w:rsid w:val="00FD3262"/>
    <w:rsid w:val="00FD38B9"/>
    <w:rsid w:val="00FD516C"/>
    <w:rsid w:val="00FD6576"/>
    <w:rsid w:val="00FE00C6"/>
    <w:rsid w:val="00FE159E"/>
    <w:rsid w:val="00FE398B"/>
    <w:rsid w:val="00FE496A"/>
    <w:rsid w:val="00FE5451"/>
    <w:rsid w:val="00FE7883"/>
    <w:rsid w:val="00FF166D"/>
    <w:rsid w:val="00FF331C"/>
    <w:rsid w:val="00FF7335"/>
    <w:rsid w:val="03A525C2"/>
    <w:rsid w:val="19433AF2"/>
    <w:rsid w:val="1A7B1DFD"/>
    <w:rsid w:val="3F2B7572"/>
    <w:rsid w:val="5FE4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自选图形 243"/>
      </o:rules>
    </o:shapelayout>
  </w:shapeDefaults>
  <w:decimalSymbol w:val="."/>
  <w:listSeparator w:val=","/>
  <w15:docId w15:val="{E9E81F3E-65B5-4863-A234-D8CA8F28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B26"/>
    <w:pPr>
      <w:widowControl w:val="0"/>
      <w:jc w:val="both"/>
    </w:pPr>
    <w:rPr>
      <w:rFonts w:ascii="Times New Roman" w:hAnsi="Times New Roman"/>
      <w:kern w:val="2"/>
      <w:sz w:val="21"/>
      <w:szCs w:val="24"/>
    </w:rPr>
  </w:style>
  <w:style w:type="paragraph" w:styleId="1">
    <w:name w:val="heading 1"/>
    <w:basedOn w:val="a"/>
    <w:link w:val="10"/>
    <w:qFormat/>
    <w:rsid w:val="00F01B26"/>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01B26"/>
    <w:rPr>
      <w:rFonts w:ascii="宋体" w:hAnsi="宋体"/>
      <w:b/>
      <w:bCs/>
      <w:kern w:val="36"/>
      <w:sz w:val="48"/>
      <w:szCs w:val="48"/>
    </w:rPr>
  </w:style>
  <w:style w:type="paragraph" w:styleId="a3">
    <w:name w:val="caption"/>
    <w:basedOn w:val="a"/>
    <w:next w:val="a"/>
    <w:uiPriority w:val="35"/>
    <w:qFormat/>
    <w:rsid w:val="00F01B26"/>
  </w:style>
  <w:style w:type="paragraph" w:styleId="5">
    <w:name w:val="index 5"/>
    <w:basedOn w:val="a"/>
    <w:next w:val="a"/>
    <w:qFormat/>
    <w:rsid w:val="00F01B26"/>
    <w:pPr>
      <w:ind w:left="1680"/>
    </w:pPr>
    <w:rPr>
      <w:rFonts w:ascii="Calibri" w:hAnsi="Calibri"/>
    </w:rPr>
  </w:style>
  <w:style w:type="paragraph" w:styleId="a4">
    <w:name w:val="Body Text Indent"/>
    <w:basedOn w:val="a"/>
    <w:link w:val="a5"/>
    <w:rsid w:val="00F01B26"/>
    <w:pPr>
      <w:ind w:firstLineChars="225" w:firstLine="720"/>
    </w:pPr>
    <w:rPr>
      <w:rFonts w:ascii="楷体_GB2312" w:eastAsia="楷体_GB2312"/>
      <w:bCs/>
      <w:sz w:val="32"/>
      <w:szCs w:val="20"/>
    </w:rPr>
  </w:style>
  <w:style w:type="character" w:customStyle="1" w:styleId="a5">
    <w:name w:val="正文文本缩进 字符"/>
    <w:basedOn w:val="a0"/>
    <w:link w:val="a4"/>
    <w:rsid w:val="00F01B26"/>
    <w:rPr>
      <w:rFonts w:ascii="楷体_GB2312" w:eastAsia="楷体_GB2312" w:hAnsi="Times New Roman"/>
      <w:bCs/>
      <w:kern w:val="2"/>
      <w:sz w:val="32"/>
    </w:rPr>
  </w:style>
  <w:style w:type="paragraph" w:styleId="a6">
    <w:name w:val="Date"/>
    <w:basedOn w:val="a"/>
    <w:next w:val="a"/>
    <w:link w:val="a7"/>
    <w:rsid w:val="00F01B26"/>
    <w:pPr>
      <w:ind w:leftChars="2500" w:left="100"/>
    </w:pPr>
  </w:style>
  <w:style w:type="character" w:customStyle="1" w:styleId="a7">
    <w:name w:val="日期 字符"/>
    <w:basedOn w:val="a0"/>
    <w:link w:val="a6"/>
    <w:rsid w:val="00F01B26"/>
    <w:rPr>
      <w:rFonts w:ascii="Times New Roman" w:hAnsi="Times New Roman"/>
      <w:kern w:val="2"/>
      <w:sz w:val="21"/>
      <w:szCs w:val="24"/>
    </w:rPr>
  </w:style>
  <w:style w:type="paragraph" w:styleId="a8">
    <w:name w:val="Balloon Text"/>
    <w:basedOn w:val="a"/>
    <w:link w:val="a9"/>
    <w:unhideWhenUsed/>
    <w:rsid w:val="00F01B26"/>
    <w:rPr>
      <w:sz w:val="18"/>
      <w:szCs w:val="18"/>
    </w:rPr>
  </w:style>
  <w:style w:type="character" w:customStyle="1" w:styleId="a9">
    <w:name w:val="批注框文本 字符"/>
    <w:basedOn w:val="a0"/>
    <w:link w:val="a8"/>
    <w:uiPriority w:val="99"/>
    <w:semiHidden/>
    <w:rsid w:val="00F01B26"/>
    <w:rPr>
      <w:rFonts w:ascii="Times New Roman" w:hAnsi="Times New Roman"/>
      <w:kern w:val="2"/>
      <w:sz w:val="18"/>
      <w:szCs w:val="18"/>
    </w:rPr>
  </w:style>
  <w:style w:type="paragraph" w:styleId="aa">
    <w:name w:val="footer"/>
    <w:basedOn w:val="a"/>
    <w:next w:val="5"/>
    <w:link w:val="ab"/>
    <w:uiPriority w:val="99"/>
    <w:qFormat/>
    <w:rsid w:val="00F01B26"/>
    <w:pPr>
      <w:tabs>
        <w:tab w:val="center" w:pos="4153"/>
        <w:tab w:val="right" w:pos="8306"/>
      </w:tabs>
      <w:snapToGrid w:val="0"/>
      <w:jc w:val="left"/>
    </w:pPr>
    <w:rPr>
      <w:rFonts w:ascii="Calibri" w:hAnsi="Calibri"/>
      <w:sz w:val="18"/>
      <w:szCs w:val="18"/>
    </w:rPr>
  </w:style>
  <w:style w:type="character" w:customStyle="1" w:styleId="ab">
    <w:name w:val="页脚 字符"/>
    <w:basedOn w:val="a0"/>
    <w:link w:val="aa"/>
    <w:uiPriority w:val="99"/>
    <w:rsid w:val="00F01B26"/>
    <w:rPr>
      <w:rFonts w:ascii="Calibri" w:eastAsia="宋体" w:hAnsi="Calibri" w:cs="Times New Roman"/>
      <w:kern w:val="2"/>
      <w:sz w:val="18"/>
      <w:szCs w:val="18"/>
    </w:rPr>
  </w:style>
  <w:style w:type="table" w:styleId="ac">
    <w:name w:val="Table Grid"/>
    <w:basedOn w:val="a1"/>
    <w:uiPriority w:val="59"/>
    <w:rsid w:val="00F01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F01B26"/>
    <w:rPr>
      <w:b/>
      <w:bCs/>
    </w:rPr>
  </w:style>
  <w:style w:type="character" w:styleId="ae">
    <w:name w:val="page number"/>
    <w:basedOn w:val="a0"/>
    <w:rsid w:val="00F01B26"/>
  </w:style>
  <w:style w:type="paragraph" w:styleId="af">
    <w:name w:val="No Spacing"/>
    <w:link w:val="af0"/>
    <w:uiPriority w:val="1"/>
    <w:qFormat/>
    <w:rsid w:val="00F01B26"/>
    <w:rPr>
      <w:sz w:val="22"/>
      <w:szCs w:val="22"/>
    </w:rPr>
  </w:style>
  <w:style w:type="character" w:customStyle="1" w:styleId="af0">
    <w:name w:val="无间隔 字符"/>
    <w:basedOn w:val="a0"/>
    <w:link w:val="af"/>
    <w:uiPriority w:val="1"/>
    <w:rsid w:val="00F01B26"/>
    <w:rPr>
      <w:sz w:val="22"/>
      <w:szCs w:val="22"/>
      <w:lang w:val="en-US" w:eastAsia="zh-CN" w:bidi="ar-SA"/>
    </w:rPr>
  </w:style>
  <w:style w:type="character" w:customStyle="1" w:styleId="NormalCharacter">
    <w:name w:val="NormalCharacter"/>
    <w:qFormat/>
    <w:rsid w:val="00F01B26"/>
    <w:rPr>
      <w:rFonts w:ascii="Calibri" w:eastAsia="宋体" w:hAnsi="Calibri" w:cs="Times New Roman"/>
      <w:kern w:val="2"/>
      <w:sz w:val="21"/>
      <w:szCs w:val="24"/>
      <w:lang w:val="en-US" w:eastAsia="zh-CN" w:bidi="ar-SA"/>
    </w:rPr>
  </w:style>
  <w:style w:type="paragraph" w:customStyle="1" w:styleId="abstract">
    <w:name w:val="abstract"/>
    <w:basedOn w:val="a"/>
    <w:rsid w:val="00F01B26"/>
    <w:pPr>
      <w:widowControl/>
      <w:spacing w:before="100" w:beforeAutospacing="1" w:after="100" w:afterAutospacing="1"/>
      <w:jc w:val="left"/>
    </w:pPr>
    <w:rPr>
      <w:rFonts w:ascii="宋体" w:hAnsi="宋体" w:cs="宋体"/>
      <w:kern w:val="0"/>
      <w:sz w:val="24"/>
    </w:rPr>
  </w:style>
  <w:style w:type="paragraph" w:styleId="af1">
    <w:name w:val="header"/>
    <w:basedOn w:val="a"/>
    <w:link w:val="af2"/>
    <w:semiHidden/>
    <w:unhideWhenUsed/>
    <w:rsid w:val="00AD49C0"/>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link w:val="af1"/>
    <w:semiHidden/>
    <w:rsid w:val="00AD49C0"/>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2.e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oleObject" Target="embeddings/oleObject1.bin"/><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oleObject" Target="embeddings/oleObject2.bin"/><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26700;&#38754;&#25968;&#25454;\2022&#25253;&#34920;\2022&#24180;&#25253;&#34920;\&#22235;&#23395;&#24230;\&#26666;&#27954;&#24066;2022&#24180;&#24230;&#32479;&#35745;&#36816;&#34892;&#20998;&#26512;&#25968;&#25454;&#27719;&#2463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700;&#38754;&#25968;&#25454;\2022&#25253;&#34920;\2022&#24180;&#25253;&#34920;\&#22235;&#23395;&#24230;\&#26666;&#27954;&#24066;2022&#24180;&#24230;&#32479;&#35745;&#36816;&#34892;&#20998;&#26512;&#25968;&#25454;&#27719;&#2463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700;&#38754;&#25968;&#25454;\2022&#25253;&#34920;\2022&#24180;&#25253;&#34920;\&#22235;&#23395;&#24230;\&#26666;&#27954;&#24066;2022&#24180;&#24230;&#32479;&#35745;&#36816;&#34892;&#20998;&#26512;&#25968;&#25454;&#27719;&#2463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6700;&#38754;&#25968;&#25454;\2022&#25253;&#34920;\2022&#24180;&#25253;&#34920;\&#22235;&#23395;&#24230;\&#26666;&#27954;&#24066;2022&#24180;&#24230;&#32479;&#35745;&#36816;&#34892;&#20998;&#26512;&#25968;&#25454;&#27719;&#2463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endParaRPr lang="zh-CN"/>
        </a:p>
      </c:txPr>
    </c:title>
    <c:autoTitleDeleted val="0"/>
    <c:plotArea>
      <c:layout/>
      <c:barChart>
        <c:barDir val="col"/>
        <c:grouping val="clustered"/>
        <c:varyColors val="0"/>
        <c:ser>
          <c:idx val="0"/>
          <c:order val="0"/>
          <c:tx>
            <c:strRef>
              <c:f>'[株洲市2022年度统计运行分析数据汇总.xls]2022年度 '!$A$3</c:f>
              <c:strCache>
                <c:ptCount val="1"/>
                <c:pt idx="0">
                  <c:v>参保人数</c:v>
                </c:pt>
              </c:strCache>
            </c:strRef>
          </c:tx>
          <c:spPr>
            <a:gradFill>
              <a:gsLst>
                <a:gs pos="0">
                  <a:srgbClr val="E30000"/>
                </a:gs>
                <a:gs pos="100000">
                  <a:srgbClr val="760303"/>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numRef>
              <c:f>'[株洲市2022年度统计运行分析数据汇总.xls]2022年度 '!$B$2:$K$2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'[株洲市2022年度统计运行分析数据汇总.xls]2022年度 '!$B$3:$K$3</c:f>
              <c:numCache>
                <c:formatCode>General</c:formatCode>
                <c:ptCount val="10"/>
                <c:pt idx="0">
                  <c:v>546609</c:v>
                </c:pt>
                <c:pt idx="1">
                  <c:v>559416</c:v>
                </c:pt>
                <c:pt idx="2">
                  <c:v>588805</c:v>
                </c:pt>
                <c:pt idx="3">
                  <c:v>603835</c:v>
                </c:pt>
                <c:pt idx="4">
                  <c:v>624033</c:v>
                </c:pt>
                <c:pt idx="5">
                  <c:v>642699</c:v>
                </c:pt>
                <c:pt idx="6">
                  <c:v>665112</c:v>
                </c:pt>
                <c:pt idx="7">
                  <c:v>749524</c:v>
                </c:pt>
                <c:pt idx="8">
                  <c:v>727396</c:v>
                </c:pt>
                <c:pt idx="9">
                  <c:v>735294</c:v>
                </c:pt>
              </c:numCache>
            </c:numRef>
          </c:val>
          <c:extLst>
            <c:ext xmlns:c16="http://schemas.microsoft.com/office/drawing/2014/chart" uri="{C3380CC4-5D6E-409C-BE32-E72D297353CC}">
              <c16:uniqueId val="{00000000-7FD7-4501-B13A-0750CFFA9C1C}"/>
            </c:ext>
          </c:extLst>
        </c:ser>
        <c:dLbls>
          <c:showLegendKey val="0"/>
          <c:showVal val="1"/>
          <c:showCatName val="0"/>
          <c:showSerName val="0"/>
          <c:showPercent val="0"/>
          <c:showBubbleSize val="0"/>
        </c:dLbls>
        <c:gapWidth val="219"/>
        <c:overlap val="-27"/>
        <c:axId val="101027200"/>
        <c:axId val="113878144"/>
      </c:barChart>
      <c:catAx>
        <c:axId val="101027200"/>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13878144"/>
        <c:crosses val="autoZero"/>
        <c:auto val="1"/>
        <c:lblAlgn val="ctr"/>
        <c:lblOffset val="100"/>
        <c:noMultiLvlLbl val="0"/>
      </c:catAx>
      <c:valAx>
        <c:axId val="113878144"/>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0102720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在职退休人员比例</a:t>
            </a:r>
          </a:p>
        </c:rich>
      </c:tx>
      <c:overlay val="0"/>
      <c:spPr>
        <a:noFill/>
        <a:ln>
          <a:noFill/>
        </a:ln>
        <a:effectLst/>
      </c:spPr>
    </c:title>
    <c:autoTitleDeleted val="0"/>
    <c:plotArea>
      <c:layout/>
      <c:barChart>
        <c:barDir val="col"/>
        <c:grouping val="stacked"/>
        <c:varyColors val="0"/>
        <c:ser>
          <c:idx val="0"/>
          <c:order val="0"/>
          <c:tx>
            <c:strRef>
              <c:f>'[株洲市2022年度统计运行分析数据汇总.xls]2022年度 '!$A$7</c:f>
              <c:strCache>
                <c:ptCount val="1"/>
                <c:pt idx="0">
                  <c:v>退休人员比例</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numRef>
              <c:f>'[株洲市2022年度统计运行分析数据汇总.xls]2022年度 '!$B$6:$K$6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'[株洲市2022年度统计运行分析数据汇总.xls]2022年度 '!$B$7:$K$7</c:f>
              <c:numCache>
                <c:formatCode>0.00%</c:formatCode>
                <c:ptCount val="10"/>
                <c:pt idx="0">
                  <c:v>0.39522034946369411</c:v>
                </c:pt>
                <c:pt idx="1">
                  <c:v>0.39724820169605546</c:v>
                </c:pt>
                <c:pt idx="2">
                  <c:v>0.39106325523730423</c:v>
                </c:pt>
                <c:pt idx="3">
                  <c:v>0.39470000000000038</c:v>
                </c:pt>
                <c:pt idx="4">
                  <c:v>0.38792499755622151</c:v>
                </c:pt>
                <c:pt idx="5">
                  <c:v>0.38670000000000032</c:v>
                </c:pt>
                <c:pt idx="6">
                  <c:v>0.37830000000000147</c:v>
                </c:pt>
                <c:pt idx="7">
                  <c:v>0.34340000000000032</c:v>
                </c:pt>
                <c:pt idx="8">
                  <c:v>0.37480000000000147</c:v>
                </c:pt>
                <c:pt idx="9">
                  <c:v>0.36212997794079793</c:v>
                </c:pt>
              </c:numCache>
            </c:numRef>
          </c:val>
          <c:extLst>
            <c:ext xmlns:c16="http://schemas.microsoft.com/office/drawing/2014/chart" uri="{C3380CC4-5D6E-409C-BE32-E72D297353CC}">
              <c16:uniqueId val="{00000000-2084-4B86-BEF3-F58452AEAA44}"/>
            </c:ext>
          </c:extLst>
        </c:ser>
        <c:ser>
          <c:idx val="1"/>
          <c:order val="1"/>
          <c:tx>
            <c:strRef>
              <c:f>'[株洲市2022年度统计运行分析数据汇总.xls]2022年度 '!$A$8</c:f>
              <c:strCache>
                <c:ptCount val="1"/>
                <c:pt idx="0">
                  <c:v>在职人员比例</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numRef>
              <c:f>'[株洲市2022年度统计运行分析数据汇总.xls]2022年度 '!$B$6:$K$6</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'[株洲市2022年度统计运行分析数据汇总.xls]2022年度 '!$B$8:$K$8</c:f>
              <c:numCache>
                <c:formatCode>0.00%</c:formatCode>
                <c:ptCount val="10"/>
                <c:pt idx="0">
                  <c:v>0.60477965053631155</c:v>
                </c:pt>
                <c:pt idx="1">
                  <c:v>0.60275179830394665</c:v>
                </c:pt>
                <c:pt idx="2">
                  <c:v>0.60893674476269477</c:v>
                </c:pt>
                <c:pt idx="3">
                  <c:v>0.60530000000000062</c:v>
                </c:pt>
                <c:pt idx="4">
                  <c:v>0.61207500244378754</c:v>
                </c:pt>
                <c:pt idx="5">
                  <c:v>0.61330000000000062</c:v>
                </c:pt>
                <c:pt idx="6">
                  <c:v>0.62170000000000292</c:v>
                </c:pt>
                <c:pt idx="7">
                  <c:v>0.6566000000000034</c:v>
                </c:pt>
                <c:pt idx="8">
                  <c:v>0.62520000000000064</c:v>
                </c:pt>
                <c:pt idx="9">
                  <c:v>0.63787002205920729</c:v>
                </c:pt>
              </c:numCache>
            </c:numRef>
          </c:val>
          <c:extLst>
            <c:ext xmlns:c16="http://schemas.microsoft.com/office/drawing/2014/chart" uri="{C3380CC4-5D6E-409C-BE32-E72D297353CC}">
              <c16:uniqueId val="{00000001-2084-4B86-BEF3-F58452AEAA44}"/>
            </c:ext>
          </c:extLst>
        </c:ser>
        <c:dLbls>
          <c:showLegendKey val="0"/>
          <c:showVal val="1"/>
          <c:showCatName val="0"/>
          <c:showSerName val="0"/>
          <c:showPercent val="0"/>
          <c:showBubbleSize val="0"/>
        </c:dLbls>
        <c:gapWidth val="150"/>
        <c:overlap val="100"/>
        <c:axId val="100795136"/>
        <c:axId val="100796672"/>
      </c:barChart>
      <c:catAx>
        <c:axId val="100795136"/>
        <c:scaling>
          <c:orientation val="minMax"/>
        </c:scaling>
        <c:delete val="0"/>
        <c:axPos val="b"/>
        <c:numFmt formatCode="General" sourceLinked="1"/>
        <c:majorTickMark val="out"/>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00796672"/>
        <c:crosses val="autoZero"/>
        <c:auto val="1"/>
        <c:lblAlgn val="ctr"/>
        <c:lblOffset val="100"/>
        <c:noMultiLvlLbl val="0"/>
      </c:catAx>
      <c:valAx>
        <c:axId val="100796672"/>
        <c:scaling>
          <c:orientation val="minMax"/>
        </c:scaling>
        <c:delete val="0"/>
        <c:axPos val="l"/>
        <c:majorGridlines>
          <c:spPr>
            <a:ln w="9525" cap="flat" cmpd="sng" algn="ctr">
              <a:solidFill>
                <a:srgbClr val="D9D9D9">
                  <a:lumMod val="15000"/>
                  <a:lumOff val="85000"/>
                </a:srgbClr>
              </a:solidFill>
              <a:round/>
            </a:ln>
            <a:effectLst/>
          </c:spPr>
        </c:majorGridlines>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0079513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endParaRPr lang="zh-CN"/>
        </a:p>
      </c:txPr>
    </c:title>
    <c:autoTitleDeleted val="0"/>
    <c:plotArea>
      <c:layout/>
      <c:barChart>
        <c:barDir val="col"/>
        <c:grouping val="clustered"/>
        <c:varyColors val="0"/>
        <c:ser>
          <c:idx val="0"/>
          <c:order val="0"/>
          <c:tx>
            <c:strRef>
              <c:f>'[株洲市2022年度统计运行分析数据汇总.xls]2022年度 '!$A$15</c:f>
              <c:strCache>
                <c:ptCount val="1"/>
                <c:pt idx="0">
                  <c:v>参保人数</c:v>
                </c:pt>
              </c:strCache>
            </c:strRef>
          </c:tx>
          <c:spPr>
            <a:gradFill>
              <a:gsLst>
                <a:gs pos="0">
                  <a:srgbClr val="9EE256"/>
                </a:gs>
                <a:gs pos="100000">
                  <a:srgbClr val="52762D"/>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'[株洲市2022年度统计运行分析数据汇总.xls]2022年度 '!$B$14:$G$14</c:f>
              <c:strCache>
                <c:ptCount val="6"/>
                <c:pt idx="0">
                  <c:v>株洲县</c:v>
                </c:pt>
                <c:pt idx="1">
                  <c:v>攸县</c:v>
                </c:pt>
                <c:pt idx="2">
                  <c:v>茶陵县</c:v>
                </c:pt>
                <c:pt idx="3">
                  <c:v>炎陵县</c:v>
                </c:pt>
                <c:pt idx="4">
                  <c:v>醴陵市</c:v>
                </c:pt>
                <c:pt idx="5">
                  <c:v>市本级</c:v>
                </c:pt>
              </c:strCache>
            </c:strRef>
          </c:cat>
          <c:val>
            <c:numRef>
              <c:f>'[株洲市2022年度统计运行分析数据汇总.xls]2022年度 '!$B$15:$G$15</c:f>
              <c:numCache>
                <c:formatCode>0_ </c:formatCode>
                <c:ptCount val="6"/>
                <c:pt idx="0">
                  <c:v>26832</c:v>
                </c:pt>
                <c:pt idx="1">
                  <c:v>53745</c:v>
                </c:pt>
                <c:pt idx="2">
                  <c:v>35077</c:v>
                </c:pt>
                <c:pt idx="3">
                  <c:v>14850</c:v>
                </c:pt>
                <c:pt idx="4">
                  <c:v>55235</c:v>
                </c:pt>
                <c:pt idx="5">
                  <c:v>549555</c:v>
                </c:pt>
              </c:numCache>
            </c:numRef>
          </c:val>
          <c:extLst>
            <c:ext xmlns:c16="http://schemas.microsoft.com/office/drawing/2014/chart" uri="{C3380CC4-5D6E-409C-BE32-E72D297353CC}">
              <c16:uniqueId val="{00000000-9C39-410F-8646-033BBA8107C3}"/>
            </c:ext>
          </c:extLst>
        </c:ser>
        <c:dLbls>
          <c:showLegendKey val="0"/>
          <c:showVal val="1"/>
          <c:showCatName val="0"/>
          <c:showSerName val="0"/>
          <c:showPercent val="0"/>
          <c:showBubbleSize val="0"/>
        </c:dLbls>
        <c:gapWidth val="219"/>
        <c:overlap val="-27"/>
        <c:axId val="100829440"/>
        <c:axId val="100921344"/>
      </c:barChart>
      <c:catAx>
        <c:axId val="10082944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00921344"/>
        <c:crosses val="autoZero"/>
        <c:auto val="1"/>
        <c:lblAlgn val="ctr"/>
        <c:lblOffset val="100"/>
        <c:noMultiLvlLbl val="0"/>
      </c:catAx>
      <c:valAx>
        <c:axId val="100921344"/>
        <c:scaling>
          <c:orientation val="minMax"/>
        </c:scaling>
        <c:delete val="0"/>
        <c:axPos val="l"/>
        <c:majorGridlines>
          <c:spPr>
            <a:ln w="9525" cap="flat" cmpd="sng" algn="ctr">
              <a:solidFill>
                <a:srgbClr val="D9D9D9">
                  <a:lumMod val="15000"/>
                  <a:lumOff val="85000"/>
                </a:srgb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10082944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城乡居民参保人员结构</a:t>
            </a:r>
          </a:p>
        </c:rich>
      </c:tx>
      <c:overlay val="0"/>
      <c:spPr>
        <a:noFill/>
        <a:ln>
          <a:noFill/>
        </a:ln>
        <a:effectLst/>
      </c:spPr>
    </c:title>
    <c:autoTitleDeleted val="0"/>
    <c:plotArea>
      <c:layout/>
      <c:pieChart>
        <c:varyColors val="1"/>
        <c:ser>
          <c:idx val="0"/>
          <c:order val="0"/>
          <c:dPt>
            <c:idx val="0"/>
            <c:bubble3D val="0"/>
            <c:spPr>
              <a:solidFill>
                <a:srgbClr val="953735">
                  <a:lumMod val="75000"/>
                </a:srgbClr>
              </a:solidFill>
              <a:ln w="19050">
                <a:solidFill>
                  <a:srgbClr val="FFFFFF"/>
                </a:solidFill>
              </a:ln>
              <a:effectLst/>
            </c:spPr>
            <c:extLst>
              <c:ext xmlns:c16="http://schemas.microsoft.com/office/drawing/2014/chart" uri="{C3380CC4-5D6E-409C-BE32-E72D297353CC}">
                <c16:uniqueId val="{00000000-AAD8-4FBF-A96E-09955EB822D7}"/>
              </c:ext>
            </c:extLst>
          </c:dPt>
          <c:dPt>
            <c:idx val="1"/>
            <c:bubble3D val="0"/>
            <c:spPr>
              <a:solidFill>
                <a:srgbClr val="376092">
                  <a:lumMod val="75000"/>
                </a:srgbClr>
              </a:solidFill>
              <a:ln w="19050">
                <a:solidFill>
                  <a:srgbClr val="FFFFFF"/>
                </a:solidFill>
              </a:ln>
              <a:effectLst/>
            </c:spPr>
            <c:extLst>
              <c:ext xmlns:c16="http://schemas.microsoft.com/office/drawing/2014/chart" uri="{C3380CC4-5D6E-409C-BE32-E72D297353CC}">
                <c16:uniqueId val="{00000001-AAD8-4FBF-A96E-09955EB822D7}"/>
              </c:ext>
            </c:extLst>
          </c:dPt>
          <c:dPt>
            <c:idx val="2"/>
            <c:bubble3D val="0"/>
            <c:spPr>
              <a:gradFill>
                <a:gsLst>
                  <a:gs pos="0">
                    <a:srgbClr val="9EE256"/>
                  </a:gs>
                  <a:gs pos="100000">
                    <a:srgbClr val="52762D"/>
                  </a:gs>
                </a:gsLst>
                <a:lin ang="5400000" scaled="0"/>
              </a:gradFill>
              <a:ln w="19050">
                <a:solidFill>
                  <a:srgbClr val="FFFFFF"/>
                </a:solidFill>
              </a:ln>
              <a:effectLst/>
            </c:spPr>
            <c:extLst>
              <c:ext xmlns:c16="http://schemas.microsoft.com/office/drawing/2014/chart" uri="{C3380CC4-5D6E-409C-BE32-E72D297353CC}">
                <c16:uniqueId val="{00000002-AAD8-4FBF-A96E-09955EB822D7}"/>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rgbClr val="A6A6A6">
                      <a:lumMod val="35000"/>
                      <a:lumOff val="65000"/>
                    </a:srgbClr>
                  </a:solidFill>
                  <a:round/>
                </a:ln>
                <a:effectLst/>
              </c:spPr>
            </c:leaderLines>
            <c:extLst>
              <c:ext xmlns:c15="http://schemas.microsoft.com/office/drawing/2012/chart" uri="{CE6537A1-D6FC-4f65-9D91-7224C49458BB}"/>
            </c:extLst>
          </c:dLbls>
          <c:cat>
            <c:strRef>
              <c:f>'[株洲市2022年度统计运行分析数据汇总.xls]2022年度 '!$G$73:$I$73</c:f>
              <c:strCache>
                <c:ptCount val="3"/>
                <c:pt idx="0">
                  <c:v>成年人</c:v>
                </c:pt>
                <c:pt idx="1">
                  <c:v>中小学生儿童</c:v>
                </c:pt>
                <c:pt idx="2">
                  <c:v>大学生</c:v>
                </c:pt>
              </c:strCache>
            </c:strRef>
          </c:cat>
          <c:val>
            <c:numRef>
              <c:f>'[株洲市2022年度统计运行分析数据汇总.xls]2022年度 '!$G$74:$I$74</c:f>
              <c:numCache>
                <c:formatCode>0.00%</c:formatCode>
                <c:ptCount val="3"/>
                <c:pt idx="0">
                  <c:v>0.77789463403601744</c:v>
                </c:pt>
                <c:pt idx="1">
                  <c:v>0.18150895355392196</c:v>
                </c:pt>
                <c:pt idx="2">
                  <c:v>4.0596412410066104E-2</c:v>
                </c:pt>
              </c:numCache>
            </c:numRef>
          </c:val>
          <c:extLst>
            <c:ext xmlns:c16="http://schemas.microsoft.com/office/drawing/2014/chart" uri="{C3380CC4-5D6E-409C-BE32-E72D297353CC}">
              <c16:uniqueId val="{00000003-AAD8-4FBF-A96E-09955EB822D7}"/>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showDLblsOverMax val="0"/>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25</Pages>
  <Words>2090</Words>
  <Characters>11913</Characters>
  <Application>Microsoft Office Word</Application>
  <DocSecurity>0</DocSecurity>
  <Lines>99</Lines>
  <Paragraphs>27</Paragraphs>
  <ScaleCrop>false</ScaleCrop>
  <Company>China</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陈永斌</dc:creator>
  <cp:lastModifiedBy>杨浩</cp:lastModifiedBy>
  <cp:revision>10</cp:revision>
  <cp:lastPrinted>2023-03-03T06:29:00Z</cp:lastPrinted>
  <dcterms:created xsi:type="dcterms:W3CDTF">2023-03-03T06:36:00Z</dcterms:created>
  <dcterms:modified xsi:type="dcterms:W3CDTF">2025-04-21T02:42:00Z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349BCBF7EF854F4FA934CFF0ED8129B3</vt:lpwstr>
  </property>
</Properties>
</file>