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5CE5">
      <w:pPr>
        <w:spacing w:before="134" w:line="560" w:lineRule="exact"/>
        <w:jc w:val="center"/>
        <w:rPr>
          <w:rFonts w:hint="eastAsia" w:ascii="Arial Unicode MS" w:hAnsi="Arial Unicode MS" w:eastAsia="Arial Unicode MS" w:cs="Arial Unicode MS"/>
          <w:b/>
          <w:bCs/>
          <w:color w:val="auto"/>
          <w:spacing w:val="-3"/>
          <w:sz w:val="44"/>
          <w:szCs w:val="44"/>
          <w:highlight w:val="none"/>
        </w:rPr>
      </w:pPr>
      <w:r>
        <w:rPr>
          <w:rFonts w:hint="eastAsia" w:ascii="方正小标宋简体" w:hAnsi="方正小标宋简体" w:eastAsia="方正小标宋简体" w:cs="方正小标宋简体"/>
          <w:b/>
          <w:bCs/>
          <w:color w:val="auto"/>
          <w:spacing w:val="-3"/>
          <w:sz w:val="44"/>
          <w:szCs w:val="44"/>
          <w:highlight w:val="none"/>
        </w:rPr>
        <w:t>茶陵县政府投资管理办法</w:t>
      </w:r>
    </w:p>
    <w:p w14:paraId="1394A7DF">
      <w:pPr>
        <w:spacing w:before="134" w:line="560" w:lineRule="exact"/>
        <w:jc w:val="center"/>
        <w:rPr>
          <w:rFonts w:hint="eastAsia" w:ascii="楷体" w:hAnsi="楷体" w:eastAsia="楷体" w:cs="楷体"/>
          <w:b/>
          <w:bCs/>
          <w:color w:val="auto"/>
          <w:spacing w:val="-3"/>
          <w:sz w:val="44"/>
          <w:szCs w:val="44"/>
          <w:highlight w:val="none"/>
        </w:rPr>
      </w:pPr>
      <w:r>
        <w:rPr>
          <w:rFonts w:hint="eastAsia" w:ascii="楷体" w:hAnsi="楷体" w:eastAsia="楷体" w:cs="楷体"/>
          <w:b/>
          <w:bCs/>
          <w:color w:val="auto"/>
          <w:spacing w:val="-3"/>
          <w:sz w:val="44"/>
          <w:szCs w:val="44"/>
          <w:highlight w:val="none"/>
          <w:lang w:eastAsia="zh-CN"/>
        </w:rPr>
        <w:t>（</w:t>
      </w:r>
      <w:r>
        <w:rPr>
          <w:rFonts w:hint="eastAsia" w:ascii="楷体" w:hAnsi="楷体" w:eastAsia="楷体" w:cs="楷体"/>
          <w:b/>
          <w:bCs/>
          <w:color w:val="auto"/>
          <w:spacing w:val="-3"/>
          <w:sz w:val="44"/>
          <w:szCs w:val="44"/>
          <w:highlight w:val="none"/>
          <w:lang w:val="en-US" w:eastAsia="zh-CN"/>
        </w:rPr>
        <w:t>送审</w:t>
      </w:r>
      <w:r>
        <w:rPr>
          <w:rFonts w:hint="eastAsia" w:ascii="楷体" w:hAnsi="楷体" w:eastAsia="楷体" w:cs="楷体"/>
          <w:b/>
          <w:bCs/>
          <w:color w:val="auto"/>
          <w:spacing w:val="-3"/>
          <w:sz w:val="44"/>
          <w:szCs w:val="44"/>
          <w:highlight w:val="none"/>
          <w:lang w:eastAsia="zh-CN"/>
        </w:rPr>
        <w:t>稿）</w:t>
      </w:r>
    </w:p>
    <w:p w14:paraId="050F9965">
      <w:pPr>
        <w:spacing w:before="20" w:afterLines="100" w:line="560" w:lineRule="exact"/>
        <w:ind w:left="3334"/>
        <w:rPr>
          <w:rFonts w:ascii="黑体" w:hAnsi="黑体" w:eastAsia="黑体" w:cs="黑体"/>
          <w:color w:val="auto"/>
          <w:sz w:val="32"/>
          <w:szCs w:val="32"/>
          <w:highlight w:val="none"/>
        </w:rPr>
      </w:pPr>
      <w:r>
        <w:rPr>
          <w:rFonts w:hint="eastAsia" w:ascii="黑体" w:hAnsi="黑体" w:eastAsia="黑体" w:cs="黑体"/>
          <w:b/>
          <w:bCs/>
          <w:color w:val="auto"/>
          <w:spacing w:val="-1"/>
          <w:sz w:val="32"/>
          <w:szCs w:val="32"/>
          <w:highlight w:val="none"/>
        </w:rPr>
        <w:t>第一章</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rPr>
        <w:t>总</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rPr>
        <w:t>则</w:t>
      </w:r>
    </w:p>
    <w:p w14:paraId="67A25C4B">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b/>
          <w:bCs/>
          <w:snapToGrid/>
          <w:color w:val="auto"/>
          <w:kern w:val="2"/>
          <w:sz w:val="32"/>
          <w:szCs w:val="32"/>
          <w:highlight w:val="none"/>
        </w:rPr>
        <w:t>第一条</w:t>
      </w:r>
      <w:r>
        <w:rPr>
          <w:rFonts w:hint="eastAsia" w:ascii="仿宋" w:hAnsi="仿宋" w:eastAsia="仿宋" w:cs="Times New Roman"/>
          <w:snapToGrid/>
          <w:color w:val="auto"/>
          <w:kern w:val="2"/>
          <w:sz w:val="32"/>
          <w:szCs w:val="32"/>
          <w:highlight w:val="none"/>
          <w:lang w:val="en-US" w:eastAsia="zh-CN"/>
        </w:rPr>
        <w:t xml:space="preserve">  </w:t>
      </w:r>
      <w:r>
        <w:rPr>
          <w:rFonts w:hint="eastAsia" w:ascii="仿宋" w:hAnsi="仿宋" w:eastAsia="仿宋" w:cs="Times New Roman"/>
          <w:snapToGrid/>
          <w:color w:val="auto"/>
          <w:kern w:val="2"/>
          <w:sz w:val="32"/>
          <w:szCs w:val="32"/>
          <w:highlight w:val="none"/>
        </w:rPr>
        <w:t>为</w:t>
      </w:r>
      <w:r>
        <w:rPr>
          <w:rFonts w:hint="eastAsia" w:ascii="仿宋" w:hAnsi="仿宋" w:eastAsia="仿宋" w:cs="Times New Roman"/>
          <w:strike w:val="0"/>
          <w:snapToGrid/>
          <w:color w:val="auto"/>
          <w:kern w:val="2"/>
          <w:sz w:val="32"/>
          <w:szCs w:val="32"/>
          <w:highlight w:val="none"/>
        </w:rPr>
        <w:t>进一步加强政府投资管理，规范政府投资行为，降低政府投资成本，提高政府投</w:t>
      </w:r>
      <w:r>
        <w:rPr>
          <w:rFonts w:hint="eastAsia" w:ascii="仿宋" w:hAnsi="仿宋" w:eastAsia="仿宋" w:cs="Times New Roman"/>
          <w:snapToGrid/>
          <w:color w:val="auto"/>
          <w:kern w:val="2"/>
          <w:sz w:val="32"/>
          <w:szCs w:val="32"/>
          <w:highlight w:val="none"/>
        </w:rPr>
        <w:t>资效益，</w:t>
      </w:r>
      <w:r>
        <w:rPr>
          <w:rFonts w:hint="eastAsia" w:ascii="仿宋" w:hAnsi="仿宋" w:eastAsia="仿宋" w:cs="Times New Roman"/>
          <w:snapToGrid/>
          <w:color w:val="auto"/>
          <w:kern w:val="2"/>
          <w:sz w:val="32"/>
          <w:szCs w:val="32"/>
          <w:highlight w:val="none"/>
          <w:u w:val="none"/>
          <w:lang w:val="en-US" w:eastAsia="zh-CN"/>
        </w:rPr>
        <w:t>依据</w:t>
      </w:r>
      <w:r>
        <w:rPr>
          <w:rFonts w:hint="eastAsia" w:ascii="仿宋" w:hAnsi="仿宋" w:eastAsia="仿宋" w:cs="Times New Roman"/>
          <w:snapToGrid/>
          <w:color w:val="auto"/>
          <w:kern w:val="2"/>
          <w:sz w:val="32"/>
          <w:szCs w:val="32"/>
          <w:highlight w:val="none"/>
        </w:rPr>
        <w:t>《政府投资条例》(国务院令第712号)、《湖南省人民政府办公厅关于进一步加强省本级政府投资项目审批及概算管理有关事项的通知》(湘政办发〔2019〕13号)、《湖南省人民政府办公厅关于印发〈进一步规范政府性投资项目决策和立项防范政府债务风险的管理办法〉的通知》(湘政办发〔2022〕26号)</w:t>
      </w:r>
      <w:r>
        <w:rPr>
          <w:rFonts w:hint="eastAsia" w:ascii="仿宋" w:hAnsi="仿宋" w:eastAsia="仿宋" w:cs="Times New Roman"/>
          <w:snapToGrid/>
          <w:color w:val="auto"/>
          <w:kern w:val="2"/>
          <w:sz w:val="32"/>
          <w:szCs w:val="32"/>
          <w:highlight w:val="none"/>
          <w:u w:val="none"/>
          <w:lang w:eastAsia="zh-CN"/>
        </w:rPr>
        <w:t>、《关于优化调整政府性投资项目决策管理有关事项的通知》（湘发改投资规</w:t>
      </w:r>
      <w:r>
        <w:rPr>
          <w:rFonts w:hint="eastAsia" w:ascii="仿宋" w:hAnsi="仿宋" w:eastAsia="仿宋" w:cs="Times New Roman"/>
          <w:snapToGrid/>
          <w:color w:val="auto"/>
          <w:kern w:val="2"/>
          <w:sz w:val="32"/>
          <w:szCs w:val="32"/>
          <w:highlight w:val="none"/>
          <w:u w:val="none"/>
        </w:rPr>
        <w:t>〔202</w:t>
      </w:r>
      <w:r>
        <w:rPr>
          <w:rFonts w:hint="eastAsia" w:ascii="仿宋" w:hAnsi="仿宋" w:eastAsia="仿宋" w:cs="Times New Roman"/>
          <w:snapToGrid/>
          <w:color w:val="auto"/>
          <w:kern w:val="2"/>
          <w:sz w:val="32"/>
          <w:szCs w:val="32"/>
          <w:highlight w:val="none"/>
          <w:u w:val="none"/>
          <w:lang w:val="en-US" w:eastAsia="zh-CN"/>
        </w:rPr>
        <w:t>3</w:t>
      </w:r>
      <w:r>
        <w:rPr>
          <w:rFonts w:hint="eastAsia" w:ascii="仿宋" w:hAnsi="仿宋" w:eastAsia="仿宋" w:cs="Times New Roman"/>
          <w:snapToGrid/>
          <w:color w:val="auto"/>
          <w:kern w:val="2"/>
          <w:sz w:val="32"/>
          <w:szCs w:val="32"/>
          <w:highlight w:val="none"/>
          <w:u w:val="none"/>
        </w:rPr>
        <w:t>〕</w:t>
      </w:r>
      <w:r>
        <w:rPr>
          <w:rFonts w:hint="eastAsia" w:ascii="仿宋" w:hAnsi="仿宋" w:eastAsia="仿宋" w:cs="Times New Roman"/>
          <w:snapToGrid/>
          <w:color w:val="auto"/>
          <w:kern w:val="2"/>
          <w:sz w:val="32"/>
          <w:szCs w:val="32"/>
          <w:highlight w:val="none"/>
          <w:u w:val="none"/>
          <w:lang w:val="en-US" w:eastAsia="zh-CN"/>
        </w:rPr>
        <w:t>476</w:t>
      </w:r>
      <w:r>
        <w:rPr>
          <w:rFonts w:hint="eastAsia" w:ascii="仿宋" w:hAnsi="仿宋" w:eastAsia="仿宋" w:cs="Times New Roman"/>
          <w:snapToGrid/>
          <w:color w:val="auto"/>
          <w:kern w:val="2"/>
          <w:sz w:val="32"/>
          <w:szCs w:val="32"/>
          <w:highlight w:val="none"/>
          <w:u w:val="none"/>
          <w:lang w:eastAsia="zh-CN"/>
        </w:rPr>
        <w:t>）号</w:t>
      </w:r>
      <w:r>
        <w:rPr>
          <w:rFonts w:hint="eastAsia" w:ascii="仿宋" w:hAnsi="仿宋" w:eastAsia="仿宋" w:cs="Times New Roman"/>
          <w:snapToGrid/>
          <w:color w:val="auto"/>
          <w:kern w:val="2"/>
          <w:sz w:val="32"/>
          <w:szCs w:val="32"/>
          <w:highlight w:val="none"/>
        </w:rPr>
        <w:t>、《株洲市人民政府关于印发〈株洲市政府投资管理办法〉的通知》(株政发〔2022〕8号)</w:t>
      </w:r>
      <w:r>
        <w:rPr>
          <w:rFonts w:hint="eastAsia" w:ascii="仿宋" w:hAnsi="仿宋" w:eastAsia="仿宋" w:cs="Times New Roman"/>
          <w:snapToGrid/>
          <w:color w:val="auto"/>
          <w:kern w:val="2"/>
          <w:sz w:val="32"/>
          <w:szCs w:val="32"/>
          <w:highlight w:val="none"/>
          <w:lang w:eastAsia="zh-CN"/>
        </w:rPr>
        <w:t>等规定，根据《茶陵县人民政府办公室关于印发</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茶陵县政府投资项目降本增效实施方案</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的通知</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（茶政办发</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2023</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53号）和《中共茶陵县委办公室茶陵县人民政府办公室</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进一步加强村级“三资”财务管理若干规定</w:t>
      </w: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的通知》（茶办〔2023〕25号）</w:t>
      </w:r>
      <w:r>
        <w:rPr>
          <w:rFonts w:hint="eastAsia" w:ascii="仿宋" w:hAnsi="仿宋" w:eastAsia="仿宋" w:cs="Times New Roman"/>
          <w:snapToGrid/>
          <w:color w:val="auto"/>
          <w:kern w:val="2"/>
          <w:sz w:val="32"/>
          <w:szCs w:val="32"/>
          <w:highlight w:val="none"/>
        </w:rPr>
        <w:t>等</w:t>
      </w:r>
      <w:r>
        <w:rPr>
          <w:rFonts w:hint="eastAsia" w:ascii="仿宋" w:hAnsi="仿宋" w:eastAsia="仿宋" w:cs="Times New Roman"/>
          <w:snapToGrid/>
          <w:color w:val="auto"/>
          <w:kern w:val="2"/>
          <w:sz w:val="32"/>
          <w:szCs w:val="32"/>
          <w:highlight w:val="none"/>
          <w:lang w:eastAsia="zh-CN"/>
        </w:rPr>
        <w:t>文件</w:t>
      </w:r>
      <w:r>
        <w:rPr>
          <w:rFonts w:hint="eastAsia" w:ascii="仿宋" w:hAnsi="仿宋" w:eastAsia="仿宋" w:cs="Times New Roman"/>
          <w:snapToGrid/>
          <w:color w:val="auto"/>
          <w:kern w:val="2"/>
          <w:sz w:val="32"/>
          <w:szCs w:val="32"/>
          <w:highlight w:val="none"/>
        </w:rPr>
        <w:t>，结合我县实际，制定本办法。</w:t>
      </w:r>
    </w:p>
    <w:p w14:paraId="1F833F4A">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b/>
          <w:bCs/>
          <w:snapToGrid/>
          <w:color w:val="auto"/>
          <w:kern w:val="2"/>
          <w:sz w:val="32"/>
          <w:szCs w:val="32"/>
          <w:highlight w:val="none"/>
        </w:rPr>
        <w:t xml:space="preserve">第二条  </w:t>
      </w:r>
      <w:r>
        <w:rPr>
          <w:rFonts w:hint="eastAsia" w:ascii="仿宋" w:hAnsi="仿宋" w:eastAsia="仿宋" w:cs="Times New Roman"/>
          <w:snapToGrid/>
          <w:color w:val="auto"/>
          <w:kern w:val="2"/>
          <w:sz w:val="32"/>
          <w:szCs w:val="32"/>
          <w:highlight w:val="none"/>
        </w:rPr>
        <w:t>本办法所称政府投资，是指使用下列资金进行的固定资产投资建设活动，包括新建、改建、扩建、技术改造等。</w:t>
      </w:r>
    </w:p>
    <w:p w14:paraId="5A730367">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（一）县本级财政资金；</w:t>
      </w:r>
    </w:p>
    <w:p w14:paraId="7FA1D213">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lang w:val="en-US" w:eastAsia="zh-CN"/>
        </w:rPr>
      </w:pPr>
      <w:r>
        <w:rPr>
          <w:rFonts w:hint="eastAsia" w:ascii="仿宋" w:hAnsi="仿宋" w:eastAsia="仿宋" w:cs="Times New Roman"/>
          <w:snapToGrid/>
          <w:color w:val="auto"/>
          <w:kern w:val="2"/>
          <w:sz w:val="32"/>
          <w:szCs w:val="32"/>
          <w:highlight w:val="none"/>
        </w:rPr>
        <w:t>（二）上级部门专项补助资金；</w:t>
      </w:r>
    </w:p>
    <w:p w14:paraId="57C3C4A6">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（三）各类政府性基金和专项建设基金；</w:t>
      </w:r>
    </w:p>
    <w:p w14:paraId="2F9F94C7">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（四）国际金融组织和国外政府贷款等政府主权外债资金；</w:t>
      </w:r>
    </w:p>
    <w:p w14:paraId="73BA58BC">
      <w:pPr>
        <w:widowControl w:val="0"/>
        <w:kinsoku/>
        <w:autoSpaceDE/>
        <w:autoSpaceDN/>
        <w:adjustRightInd/>
        <w:snapToGrid/>
        <w:spacing w:line="560" w:lineRule="exact"/>
        <w:ind w:firstLine="640" w:firstLineChars="200"/>
        <w:jc w:val="both"/>
        <w:textAlignment w:val="center"/>
        <w:rPr>
          <w:rFonts w:hint="default" w:ascii="仿宋" w:hAnsi="仿宋" w:eastAsia="仿宋" w:cs="Times New Roman"/>
          <w:snapToGrid/>
          <w:color w:val="auto"/>
          <w:kern w:val="2"/>
          <w:sz w:val="32"/>
          <w:szCs w:val="32"/>
          <w:highlight w:val="none"/>
          <w:lang w:val="en-US" w:eastAsia="zh-CN"/>
        </w:rPr>
      </w:pP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五</w:t>
      </w:r>
      <w:r>
        <w:rPr>
          <w:rFonts w:hint="eastAsia" w:ascii="仿宋" w:hAnsi="仿宋" w:eastAsia="仿宋" w:cs="Times New Roman"/>
          <w:snapToGrid/>
          <w:color w:val="auto"/>
          <w:kern w:val="2"/>
          <w:sz w:val="32"/>
          <w:szCs w:val="32"/>
          <w:highlight w:val="none"/>
        </w:rPr>
        <w:t>）地方政府债券资金；</w:t>
      </w:r>
    </w:p>
    <w:p w14:paraId="22BBB14C">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六</w:t>
      </w:r>
      <w:r>
        <w:rPr>
          <w:rFonts w:hint="eastAsia" w:ascii="仿宋" w:hAnsi="仿宋" w:eastAsia="仿宋" w:cs="Times New Roman"/>
          <w:snapToGrid/>
          <w:color w:val="auto"/>
          <w:kern w:val="2"/>
          <w:sz w:val="32"/>
          <w:szCs w:val="32"/>
          <w:highlight w:val="none"/>
        </w:rPr>
        <w:t>）国债资金及其他政府性资金或资产；</w:t>
      </w:r>
    </w:p>
    <w:p w14:paraId="74215496">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w:t>
      </w:r>
      <w:r>
        <w:rPr>
          <w:rFonts w:hint="eastAsia" w:ascii="仿宋" w:hAnsi="仿宋" w:eastAsia="仿宋" w:cs="Times New Roman"/>
          <w:snapToGrid/>
          <w:color w:val="auto"/>
          <w:kern w:val="2"/>
          <w:sz w:val="32"/>
          <w:szCs w:val="32"/>
          <w:highlight w:val="none"/>
          <w:lang w:eastAsia="zh-CN"/>
        </w:rPr>
        <w:t>七</w:t>
      </w:r>
      <w:r>
        <w:rPr>
          <w:rFonts w:hint="eastAsia" w:ascii="仿宋" w:hAnsi="仿宋" w:eastAsia="仿宋" w:cs="Times New Roman"/>
          <w:snapToGrid/>
          <w:color w:val="auto"/>
          <w:kern w:val="2"/>
          <w:sz w:val="32"/>
          <w:szCs w:val="32"/>
          <w:highlight w:val="none"/>
        </w:rPr>
        <w:t>）各行政事业单位</w:t>
      </w:r>
      <w:r>
        <w:rPr>
          <w:rFonts w:hint="eastAsia" w:ascii="仿宋" w:hAnsi="仿宋" w:eastAsia="仿宋" w:cs="Times New Roman"/>
          <w:snapToGrid/>
          <w:color w:val="auto"/>
          <w:kern w:val="2"/>
          <w:sz w:val="32"/>
          <w:szCs w:val="32"/>
          <w:highlight w:val="none"/>
          <w:lang w:eastAsia="zh-CN"/>
        </w:rPr>
        <w:t>、</w:t>
      </w:r>
      <w:r>
        <w:rPr>
          <w:rFonts w:hint="eastAsia" w:ascii="仿宋" w:hAnsi="仿宋" w:eastAsia="仿宋" w:cs="Times New Roman"/>
          <w:snapToGrid/>
          <w:kern w:val="2"/>
          <w:sz w:val="32"/>
          <w:szCs w:val="32"/>
          <w:highlight w:val="none"/>
          <w:lang w:eastAsia="zh-CN"/>
        </w:rPr>
        <w:t>县属国有企业</w:t>
      </w:r>
      <w:r>
        <w:rPr>
          <w:rFonts w:hint="eastAsia" w:ascii="仿宋" w:hAnsi="仿宋" w:eastAsia="仿宋" w:cs="Times New Roman"/>
          <w:snapToGrid/>
          <w:color w:val="auto"/>
          <w:kern w:val="2"/>
          <w:sz w:val="32"/>
          <w:szCs w:val="32"/>
          <w:highlight w:val="none"/>
        </w:rPr>
        <w:t>通过各种途径筹集的建设资金。</w:t>
      </w:r>
    </w:p>
    <w:p w14:paraId="37F5453A">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Times New Roman" w:hAnsi="Times New Roman" w:eastAsia="仿宋_GB2312" w:cs="Times New Roman"/>
          <w:b/>
          <w:bCs/>
          <w:snapToGrid/>
          <w:color w:val="auto"/>
          <w:kern w:val="2"/>
          <w:sz w:val="32"/>
          <w:szCs w:val="32"/>
          <w:highlight w:val="none"/>
        </w:rPr>
        <w:t xml:space="preserve">第三条  </w:t>
      </w:r>
      <w:r>
        <w:rPr>
          <w:rFonts w:hint="eastAsia" w:ascii="仿宋" w:hAnsi="仿宋" w:eastAsia="仿宋" w:cs="Times New Roman"/>
          <w:snapToGrid/>
          <w:color w:val="auto"/>
          <w:kern w:val="2"/>
          <w:sz w:val="32"/>
          <w:szCs w:val="32"/>
          <w:highlight w:val="none"/>
        </w:rPr>
        <w:t>政府投资主要投向市场不能有效配置资源的社 会公益服务、公共基础设施、农业农村、生态环境保护、重大科技进步、社会管理、国家安全等公共领域项目，以非经营性项目为主。</w:t>
      </w:r>
    </w:p>
    <w:p w14:paraId="3D6C8C65">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Times New Roman" w:hAnsi="Times New Roman" w:eastAsia="仿宋_GB2312" w:cs="Times New Roman"/>
          <w:b/>
          <w:bCs/>
          <w:snapToGrid/>
          <w:color w:val="auto"/>
          <w:kern w:val="2"/>
          <w:sz w:val="32"/>
          <w:szCs w:val="32"/>
          <w:highlight w:val="none"/>
        </w:rPr>
        <w:t xml:space="preserve">第四条  </w:t>
      </w:r>
      <w:r>
        <w:rPr>
          <w:rFonts w:hint="eastAsia" w:ascii="仿宋" w:hAnsi="仿宋" w:eastAsia="仿宋" w:cs="Times New Roman"/>
          <w:snapToGrid/>
          <w:color w:val="auto"/>
          <w:kern w:val="2"/>
          <w:sz w:val="32"/>
          <w:szCs w:val="32"/>
          <w:highlight w:val="none"/>
        </w:rPr>
        <w:t>政府投资应当与经济社会发展水平和财政收支状况  相适应，坚持尽力而为、量力而行，注重经济合理、节约高效。 各级政府及相关部门、国有企业不得违法违规举借债务筹措政府投资项目资金，不得违规使用市场化融资新增政府隐性债务。</w:t>
      </w:r>
    </w:p>
    <w:p w14:paraId="2462D6C9">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Times New Roman" w:hAnsi="Times New Roman" w:eastAsia="仿宋_GB2312" w:cs="Times New Roman"/>
          <w:b/>
          <w:bCs/>
          <w:snapToGrid/>
          <w:color w:val="auto"/>
          <w:kern w:val="2"/>
          <w:sz w:val="32"/>
          <w:szCs w:val="32"/>
          <w:highlight w:val="none"/>
        </w:rPr>
        <w:t xml:space="preserve">第五条  </w:t>
      </w:r>
      <w:r>
        <w:rPr>
          <w:rFonts w:hint="eastAsia" w:ascii="仿宋" w:hAnsi="仿宋" w:eastAsia="仿宋" w:cs="Times New Roman"/>
          <w:snapToGrid/>
          <w:color w:val="auto"/>
          <w:kern w:val="2"/>
          <w:sz w:val="32"/>
          <w:szCs w:val="32"/>
          <w:highlight w:val="none"/>
        </w:rPr>
        <w:t>建立健全部门联动、分工协作、信息共享的全生命</w:t>
      </w:r>
    </w:p>
    <w:p w14:paraId="207B8DD9">
      <w:pPr>
        <w:widowControl w:val="0"/>
        <w:kinsoku/>
        <w:autoSpaceDE/>
        <w:autoSpaceDN/>
        <w:adjustRightInd/>
        <w:snapToGrid/>
        <w:spacing w:line="560" w:lineRule="exact"/>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周期管理机制，统筹推进政府投资项目建设。</w:t>
      </w:r>
    </w:p>
    <w:p w14:paraId="78A0F076">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（一）发改部门是政府投资主管部门，履行政府投资综合管理和统筹协调职能，负责建立和管理项目储备库、年度</w:t>
      </w:r>
      <w:r>
        <w:rPr>
          <w:rFonts w:hint="eastAsia" w:ascii="仿宋" w:hAnsi="仿宋" w:eastAsia="仿宋" w:cs="Times New Roman"/>
          <w:snapToGrid/>
          <w:color w:val="auto"/>
          <w:kern w:val="2"/>
          <w:sz w:val="32"/>
          <w:szCs w:val="32"/>
          <w:highlight w:val="none"/>
          <w:lang w:eastAsia="zh-CN"/>
        </w:rPr>
        <w:t>投资</w:t>
      </w:r>
      <w:r>
        <w:rPr>
          <w:rFonts w:hint="eastAsia" w:ascii="仿宋" w:hAnsi="仿宋" w:eastAsia="仿宋" w:cs="Times New Roman"/>
          <w:snapToGrid/>
          <w:color w:val="auto"/>
          <w:kern w:val="2"/>
          <w:sz w:val="32"/>
          <w:szCs w:val="32"/>
          <w:highlight w:val="none"/>
        </w:rPr>
        <w:t>计划编制、项目</w:t>
      </w:r>
      <w:r>
        <w:rPr>
          <w:rFonts w:hint="eastAsia" w:ascii="仿宋" w:hAnsi="仿宋" w:eastAsia="仿宋" w:cs="Times New Roman"/>
          <w:snapToGrid/>
          <w:kern w:val="2"/>
          <w:sz w:val="32"/>
          <w:szCs w:val="32"/>
          <w:lang w:eastAsia="zh-CN"/>
        </w:rPr>
        <w:t>立项（含小额备案）审批</w:t>
      </w:r>
      <w:r>
        <w:rPr>
          <w:rFonts w:hint="eastAsia" w:ascii="仿宋" w:hAnsi="仿宋" w:eastAsia="仿宋" w:cs="Times New Roman"/>
          <w:snapToGrid/>
          <w:color w:val="auto"/>
          <w:kern w:val="2"/>
          <w:sz w:val="32"/>
          <w:szCs w:val="32"/>
          <w:highlight w:val="none"/>
        </w:rPr>
        <w:t>和投资概算审批、招投标指导协调、</w:t>
      </w:r>
      <w:r>
        <w:rPr>
          <w:rFonts w:hint="eastAsia" w:ascii="仿宋" w:hAnsi="仿宋" w:eastAsia="仿宋" w:cs="Times New Roman"/>
          <w:snapToGrid/>
          <w:color w:val="auto"/>
          <w:kern w:val="2"/>
          <w:sz w:val="32"/>
          <w:szCs w:val="32"/>
          <w:highlight w:val="none"/>
          <w:lang w:eastAsia="zh-CN"/>
        </w:rPr>
        <w:t>核准、</w:t>
      </w:r>
      <w:r>
        <w:rPr>
          <w:rFonts w:hint="eastAsia" w:ascii="仿宋" w:hAnsi="仿宋" w:eastAsia="仿宋" w:cs="Times New Roman"/>
          <w:snapToGrid/>
          <w:color w:val="auto"/>
          <w:kern w:val="2"/>
          <w:sz w:val="32"/>
          <w:szCs w:val="32"/>
          <w:highlight w:val="none"/>
        </w:rPr>
        <w:t>代建管理、评估督导</w:t>
      </w:r>
      <w:r>
        <w:rPr>
          <w:rFonts w:hint="eastAsia" w:ascii="仿宋" w:hAnsi="仿宋" w:eastAsia="仿宋" w:cs="Times New Roman"/>
          <w:snapToGrid/>
          <w:color w:val="auto"/>
          <w:kern w:val="2"/>
          <w:sz w:val="32"/>
          <w:szCs w:val="32"/>
          <w:highlight w:val="none"/>
          <w:lang w:eastAsia="zh-CN"/>
        </w:rPr>
        <w:t>，</w:t>
      </w:r>
      <w:r>
        <w:rPr>
          <w:rFonts w:hint="eastAsia" w:ascii="仿宋" w:hAnsi="仿宋" w:eastAsia="仿宋" w:cs="Times New Roman"/>
          <w:snapToGrid/>
          <w:kern w:val="2"/>
          <w:sz w:val="32"/>
          <w:szCs w:val="32"/>
          <w:lang w:eastAsia="zh-CN"/>
        </w:rPr>
        <w:t>并针对电力、人防、粮食等投资项目的安全生产技术规范审核等工作。</w:t>
      </w:r>
    </w:p>
    <w:p w14:paraId="78A76418">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rPr>
        <w:t>（二）</w:t>
      </w:r>
      <w:r>
        <w:rPr>
          <w:rFonts w:hint="eastAsia" w:ascii="仿宋" w:hAnsi="仿宋" w:eastAsia="仿宋" w:cs="Times New Roman"/>
          <w:snapToGrid/>
          <w:kern w:val="2"/>
          <w:sz w:val="32"/>
          <w:szCs w:val="32"/>
          <w:lang w:eastAsia="zh-CN"/>
        </w:rPr>
        <w:t>各行业</w:t>
      </w:r>
      <w:r>
        <w:rPr>
          <w:rFonts w:hint="eastAsia" w:ascii="仿宋" w:hAnsi="仿宋" w:eastAsia="仿宋" w:cs="Times New Roman"/>
          <w:snapToGrid/>
          <w:color w:val="auto"/>
          <w:kern w:val="2"/>
          <w:sz w:val="32"/>
          <w:szCs w:val="32"/>
          <w:highlight w:val="none"/>
        </w:rPr>
        <w:t>主管部门履行建设管理职责，负责设计及其优化审批管理、招投标监督、施工和代建项目全过程监督管理、竣工验收及备案管理工作。</w:t>
      </w:r>
    </w:p>
    <w:p w14:paraId="53CA894B">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lang w:eastAsia="zh-CN"/>
        </w:rPr>
        <w:t>（三）</w:t>
      </w:r>
      <w:r>
        <w:rPr>
          <w:rFonts w:hint="eastAsia" w:ascii="仿宋" w:hAnsi="仿宋" w:eastAsia="仿宋" w:cs="Times New Roman"/>
          <w:snapToGrid/>
          <w:color w:val="auto"/>
          <w:kern w:val="2"/>
          <w:sz w:val="32"/>
          <w:szCs w:val="32"/>
          <w:highlight w:val="none"/>
        </w:rPr>
        <w:t>财政部门是政府投资</w:t>
      </w:r>
      <w:r>
        <w:rPr>
          <w:rFonts w:hint="eastAsia" w:ascii="仿宋" w:hAnsi="仿宋" w:eastAsia="仿宋" w:cs="Times New Roman"/>
          <w:snapToGrid/>
          <w:kern w:val="2"/>
          <w:sz w:val="32"/>
          <w:szCs w:val="32"/>
          <w:lang w:eastAsia="zh-CN"/>
        </w:rPr>
        <w:t>项目</w:t>
      </w:r>
      <w:r>
        <w:rPr>
          <w:rFonts w:hint="eastAsia" w:ascii="仿宋" w:hAnsi="仿宋" w:eastAsia="仿宋" w:cs="Times New Roman"/>
          <w:snapToGrid/>
          <w:color w:val="auto"/>
          <w:kern w:val="2"/>
          <w:sz w:val="32"/>
          <w:szCs w:val="32"/>
          <w:highlight w:val="none"/>
        </w:rPr>
        <w:t>资金管理部门，负责年度预算计划编制、资金拨付审核、项目预算评审(最高投标限价)、</w:t>
      </w:r>
      <w:r>
        <w:rPr>
          <w:rFonts w:hint="eastAsia" w:ascii="仿宋" w:hAnsi="仿宋" w:eastAsia="仿宋" w:cs="Times New Roman"/>
          <w:snapToGrid/>
          <w:color w:val="auto"/>
          <w:kern w:val="2"/>
          <w:sz w:val="32"/>
          <w:szCs w:val="32"/>
          <w:highlight w:val="none"/>
          <w:lang w:val="en-US" w:eastAsia="zh-CN"/>
        </w:rPr>
        <w:t>项目结算评审、</w:t>
      </w:r>
      <w:r>
        <w:rPr>
          <w:rFonts w:hint="eastAsia" w:ascii="仿宋" w:hAnsi="仿宋" w:eastAsia="仿宋" w:cs="Times New Roman"/>
          <w:snapToGrid/>
          <w:color w:val="auto"/>
          <w:kern w:val="2"/>
          <w:sz w:val="32"/>
          <w:szCs w:val="32"/>
          <w:highlight w:val="none"/>
        </w:rPr>
        <w:t>政府采购监管等工作。</w:t>
      </w:r>
      <w:r>
        <w:rPr>
          <w:rFonts w:hint="eastAsia" w:ascii="仿宋" w:hAnsi="仿宋" w:eastAsia="仿宋" w:cs="Times New Roman"/>
          <w:snapToGrid/>
          <w:color w:val="auto"/>
          <w:kern w:val="2"/>
          <w:sz w:val="32"/>
          <w:szCs w:val="32"/>
          <w:highlight w:val="none"/>
          <w:lang w:eastAsia="zh-CN"/>
        </w:rPr>
        <w:t>履行国有企业出资人职责机构</w:t>
      </w:r>
      <w:r>
        <w:rPr>
          <w:rFonts w:hint="eastAsia" w:ascii="仿宋" w:hAnsi="仿宋" w:eastAsia="仿宋" w:cs="Times New Roman"/>
          <w:snapToGrid/>
          <w:color w:val="auto"/>
          <w:kern w:val="2"/>
          <w:sz w:val="32"/>
          <w:szCs w:val="32"/>
          <w:highlight w:val="none"/>
        </w:rPr>
        <w:t>负责对所监管的国有企业投资建设的经营性固定资产投资项目进行协调监管、绩效评价和考核奖惩等。</w:t>
      </w:r>
    </w:p>
    <w:p w14:paraId="691F117A">
      <w:pPr>
        <w:widowControl w:val="0"/>
        <w:kinsoku/>
        <w:autoSpaceDE/>
        <w:autoSpaceDN/>
        <w:adjustRightInd/>
        <w:snapToGrid/>
        <w:spacing w:line="560" w:lineRule="exact"/>
        <w:ind w:left="638" w:leftChars="304" w:firstLine="0" w:firstLineChars="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snapToGrid/>
          <w:color w:val="auto"/>
          <w:kern w:val="2"/>
          <w:sz w:val="32"/>
          <w:szCs w:val="32"/>
          <w:highlight w:val="none"/>
          <w:lang w:eastAsia="zh-CN"/>
        </w:rPr>
        <w:t>（四）</w:t>
      </w:r>
      <w:r>
        <w:rPr>
          <w:rFonts w:hint="eastAsia" w:ascii="仿宋" w:hAnsi="仿宋" w:eastAsia="仿宋" w:cs="Times New Roman"/>
          <w:snapToGrid/>
          <w:color w:val="auto"/>
          <w:kern w:val="2"/>
          <w:sz w:val="32"/>
          <w:szCs w:val="32"/>
          <w:highlight w:val="none"/>
        </w:rPr>
        <w:t>审计部门负责对政府投资项目实施全过程审计监督。（五）司法行政部门负责对政府投资项目合同进行监督。</w:t>
      </w:r>
    </w:p>
    <w:p w14:paraId="5E385B22">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lang w:eastAsia="zh-CN"/>
        </w:rPr>
      </w:pPr>
      <w:r>
        <w:rPr>
          <w:rFonts w:hint="eastAsia" w:ascii="仿宋" w:hAnsi="仿宋" w:eastAsia="仿宋" w:cs="Times New Roman"/>
          <w:snapToGrid/>
          <w:color w:val="auto"/>
          <w:kern w:val="2"/>
          <w:sz w:val="32"/>
          <w:szCs w:val="32"/>
          <w:highlight w:val="none"/>
        </w:rPr>
        <w:t>（六）公安、教育、民政、自然资源、生态环境、住建、交通、水利、农业农村、文旅广体、卫健、应急、城管、林业、乡村振兴、行政审批等部门按职责对政府投资项目监督管理和行业</w:t>
      </w:r>
      <w:r>
        <w:rPr>
          <w:rFonts w:hint="eastAsia" w:ascii="仿宋" w:hAnsi="仿宋" w:eastAsia="仿宋" w:cs="Times New Roman"/>
          <w:snapToGrid/>
          <w:color w:val="auto"/>
          <w:kern w:val="2"/>
          <w:sz w:val="32"/>
          <w:szCs w:val="32"/>
          <w:highlight w:val="none"/>
          <w:lang w:eastAsia="zh-CN"/>
        </w:rPr>
        <w:t>统筹调度(包括对实行代建制的项目按职责进行管理)。</w:t>
      </w:r>
    </w:p>
    <w:p w14:paraId="35694FB0">
      <w:pPr>
        <w:widowControl w:val="0"/>
        <w:kinsoku/>
        <w:autoSpaceDE/>
        <w:autoSpaceDN/>
        <w:adjustRightInd/>
        <w:snapToGrid/>
        <w:spacing w:line="560" w:lineRule="exact"/>
        <w:ind w:firstLine="640" w:firstLineChars="200"/>
        <w:jc w:val="both"/>
        <w:textAlignment w:val="center"/>
        <w:rPr>
          <w:rFonts w:hint="eastAsia" w:ascii="仿宋" w:hAnsi="仿宋" w:eastAsia="仿宋" w:cs="Times New Roman"/>
          <w:snapToGrid/>
          <w:color w:val="auto"/>
          <w:kern w:val="2"/>
          <w:sz w:val="32"/>
          <w:szCs w:val="32"/>
          <w:highlight w:val="none"/>
          <w:lang w:eastAsia="zh-CN"/>
        </w:rPr>
      </w:pPr>
      <w:r>
        <w:rPr>
          <w:rFonts w:hint="eastAsia" w:ascii="仿宋" w:hAnsi="仿宋" w:eastAsia="仿宋" w:cs="Times New Roman"/>
          <w:snapToGrid/>
          <w:color w:val="auto"/>
          <w:kern w:val="2"/>
          <w:sz w:val="32"/>
          <w:szCs w:val="32"/>
          <w:highlight w:val="none"/>
          <w:lang w:eastAsia="zh-CN"/>
        </w:rPr>
        <w:t>（七）稳步推行政府投资项目委托代建制。根据《湖南省政府投资项目代建制管理办法》等规定，提倡和鼓励各部门各单位稳步推行政府投资项目委托代建，特别是医院、学校等严重缺乏项目建设能力的单位以及象生态环境等不宜担当项目业主的行业主管部门的政府投资项目，以规范建设行为，提高建设效果，促进廉政建设。</w:t>
      </w:r>
    </w:p>
    <w:p w14:paraId="424AD876">
      <w:pPr>
        <w:spacing w:before="20" w:afterLines="100" w:line="560" w:lineRule="exact"/>
        <w:ind w:left="3334"/>
        <w:rPr>
          <w:rFonts w:hint="eastAsia" w:ascii="黑体" w:hAnsi="黑体" w:eastAsia="黑体" w:cs="黑体"/>
          <w:b/>
          <w:bCs/>
          <w:color w:val="auto"/>
          <w:spacing w:val="-1"/>
          <w:sz w:val="32"/>
          <w:szCs w:val="32"/>
          <w:highlight w:val="none"/>
        </w:rPr>
      </w:pPr>
      <w:r>
        <w:rPr>
          <w:rFonts w:hint="eastAsia" w:ascii="黑体" w:hAnsi="黑体" w:eastAsia="黑体" w:cs="黑体"/>
          <w:b/>
          <w:bCs/>
          <w:color w:val="auto"/>
          <w:spacing w:val="-1"/>
          <w:sz w:val="32"/>
          <w:szCs w:val="32"/>
          <w:highlight w:val="none"/>
        </w:rPr>
        <w:t xml:space="preserve">第二章 </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rPr>
        <w:t>前期工作</w:t>
      </w:r>
    </w:p>
    <w:p w14:paraId="37C0F681">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Times New Roman" w:hAnsi="Times New Roman" w:eastAsia="仿宋_GB2312" w:cs="Times New Roman"/>
          <w:b/>
          <w:bCs/>
          <w:snapToGrid/>
          <w:color w:val="auto"/>
          <w:kern w:val="2"/>
          <w:sz w:val="32"/>
          <w:szCs w:val="32"/>
          <w:highlight w:val="none"/>
        </w:rPr>
        <w:t>第</w:t>
      </w:r>
      <w:r>
        <w:rPr>
          <w:rFonts w:hint="eastAsia" w:ascii="Times New Roman" w:hAnsi="Times New Roman" w:eastAsia="仿宋_GB2312" w:cs="Times New Roman"/>
          <w:b/>
          <w:bCs/>
          <w:snapToGrid/>
          <w:color w:val="auto"/>
          <w:kern w:val="2"/>
          <w:sz w:val="32"/>
          <w:szCs w:val="32"/>
          <w:highlight w:val="none"/>
          <w:lang w:eastAsia="zh-CN"/>
        </w:rPr>
        <w:t>六</w:t>
      </w:r>
      <w:r>
        <w:rPr>
          <w:rFonts w:hint="eastAsia" w:ascii="Times New Roman" w:hAnsi="Times New Roman" w:eastAsia="仿宋_GB2312" w:cs="Times New Roman"/>
          <w:b/>
          <w:bCs/>
          <w:snapToGrid/>
          <w:color w:val="auto"/>
          <w:kern w:val="2"/>
          <w:sz w:val="32"/>
          <w:szCs w:val="32"/>
          <w:highlight w:val="none"/>
        </w:rPr>
        <w:t xml:space="preserve">条  </w:t>
      </w:r>
      <w:r>
        <w:rPr>
          <w:rFonts w:hint="eastAsia" w:ascii="仿宋" w:hAnsi="仿宋" w:eastAsia="仿宋" w:cs="Times New Roman"/>
          <w:snapToGrid/>
          <w:color w:val="auto"/>
          <w:kern w:val="2"/>
          <w:sz w:val="32"/>
          <w:szCs w:val="32"/>
          <w:highlight w:val="none"/>
        </w:rPr>
        <w:t>强化政府投资项目的前期研究和项目储备，健全提 前谋划、分级统筹、分类指导、归口管理的工作机制。发改部门负责项目前期工作的统筹协调，自然资源部门负责项目规划方案研究，住建、交通、水利等行业主管部门负责相应行业项目策划和建设方案研究等前期工作。对于暂未明确建设单位的项目，可由行业主管部门报县级政府批准后先行开展方案研究等前期工作，必要时出具调查研究报告。前期工作经费经报请县级政府批准后，由县级财政予以保障。</w:t>
      </w:r>
      <w:r>
        <w:rPr>
          <w:rFonts w:hint="eastAsia" w:ascii="仿宋" w:hAnsi="仿宋" w:eastAsia="仿宋" w:cs="Times New Roman"/>
          <w:snapToGrid/>
          <w:color w:val="auto"/>
          <w:kern w:val="2"/>
          <w:sz w:val="32"/>
          <w:szCs w:val="32"/>
          <w:highlight w:val="none"/>
          <w:lang w:eastAsia="zh-CN"/>
        </w:rPr>
        <w:t>前</w:t>
      </w:r>
      <w:r>
        <w:rPr>
          <w:rFonts w:hint="eastAsia" w:ascii="仿宋" w:hAnsi="仿宋" w:eastAsia="仿宋" w:cs="Times New Roman"/>
          <w:snapToGrid/>
          <w:color w:val="auto"/>
          <w:kern w:val="2"/>
          <w:sz w:val="32"/>
          <w:szCs w:val="32"/>
          <w:highlight w:val="none"/>
        </w:rPr>
        <w:t>期经费使用遵循“科学规范、突出重点、公平公正、注重绩效”原则，坚持问题导向、目标导向，发掘更多优质前期项目、争取更多中央资金、扩大更有效益投资。项目单位是前期经费申报和执行，以及信息报送和具体管理的责任主体，要严格执行项目基本建设程序和政府投资有关管理使用规定，</w:t>
      </w:r>
      <w:r>
        <w:rPr>
          <w:rFonts w:hint="eastAsia" w:ascii="仿宋" w:hAnsi="仿宋" w:eastAsia="仿宋" w:cs="Times New Roman"/>
          <w:snapToGrid/>
          <w:color w:val="auto"/>
          <w:kern w:val="2"/>
          <w:sz w:val="32"/>
          <w:szCs w:val="32"/>
          <w:highlight w:val="none"/>
          <w:lang w:eastAsia="zh-CN"/>
        </w:rPr>
        <w:t>加强日常检查监督，严控项目前期费用的投入，</w:t>
      </w:r>
      <w:r>
        <w:rPr>
          <w:rFonts w:hint="eastAsia" w:ascii="仿宋" w:hAnsi="仿宋" w:eastAsia="仿宋" w:cs="Times New Roman"/>
          <w:snapToGrid/>
          <w:color w:val="auto"/>
          <w:kern w:val="2"/>
          <w:sz w:val="32"/>
          <w:szCs w:val="32"/>
          <w:highlight w:val="none"/>
        </w:rPr>
        <w:t>严格实行独立核算、专款专用，不得擅自改变资金用途，不得挤占、挪用或套取专项资金，不得利用条件完全不成熟的项目申报骗取资金。</w:t>
      </w:r>
    </w:p>
    <w:p w14:paraId="207955FA">
      <w:pPr>
        <w:widowControl w:val="0"/>
        <w:kinsoku/>
        <w:autoSpaceDE/>
        <w:autoSpaceDN/>
        <w:adjustRightInd/>
        <w:snapToGrid/>
        <w:spacing w:line="560" w:lineRule="exact"/>
        <w:ind w:firstLine="643" w:firstLineChars="200"/>
        <w:jc w:val="both"/>
        <w:textAlignment w:val="center"/>
        <w:rPr>
          <w:rFonts w:hint="eastAsia" w:ascii="仿宋" w:hAnsi="仿宋" w:eastAsia="仿宋" w:cs="Times New Roman"/>
          <w:snapToGrid/>
          <w:color w:val="auto"/>
          <w:kern w:val="2"/>
          <w:sz w:val="32"/>
          <w:szCs w:val="32"/>
          <w:highlight w:val="none"/>
        </w:rPr>
      </w:pPr>
      <w:r>
        <w:rPr>
          <w:rFonts w:hint="eastAsia" w:ascii="仿宋" w:hAnsi="仿宋" w:eastAsia="仿宋" w:cs="Times New Roman"/>
          <w:b/>
          <w:bCs/>
          <w:snapToGrid/>
          <w:color w:val="auto"/>
          <w:kern w:val="2"/>
          <w:sz w:val="32"/>
          <w:szCs w:val="32"/>
          <w:highlight w:val="none"/>
        </w:rPr>
        <w:t>第</w:t>
      </w:r>
      <w:r>
        <w:rPr>
          <w:rFonts w:hint="eastAsia" w:ascii="仿宋" w:hAnsi="仿宋" w:eastAsia="仿宋" w:cs="Times New Roman"/>
          <w:b/>
          <w:bCs/>
          <w:snapToGrid/>
          <w:color w:val="auto"/>
          <w:kern w:val="2"/>
          <w:sz w:val="32"/>
          <w:szCs w:val="32"/>
          <w:highlight w:val="none"/>
          <w:lang w:eastAsia="zh-CN"/>
        </w:rPr>
        <w:t>七</w:t>
      </w:r>
      <w:r>
        <w:rPr>
          <w:rFonts w:hint="eastAsia" w:ascii="仿宋" w:hAnsi="仿宋" w:eastAsia="仿宋" w:cs="Times New Roman"/>
          <w:b/>
          <w:bCs/>
          <w:snapToGrid/>
          <w:color w:val="auto"/>
          <w:kern w:val="2"/>
          <w:sz w:val="32"/>
          <w:szCs w:val="32"/>
          <w:highlight w:val="none"/>
        </w:rPr>
        <w:t>条</w:t>
      </w:r>
      <w:r>
        <w:rPr>
          <w:rFonts w:hint="eastAsia" w:ascii="仿宋" w:hAnsi="仿宋" w:eastAsia="仿宋" w:cs="Times New Roman"/>
          <w:snapToGrid/>
          <w:color w:val="auto"/>
          <w:kern w:val="2"/>
          <w:sz w:val="32"/>
          <w:szCs w:val="32"/>
          <w:highlight w:val="none"/>
        </w:rPr>
        <w:t xml:space="preserve">  完善县</w:t>
      </w:r>
      <w:r>
        <w:rPr>
          <w:rFonts w:hint="eastAsia" w:ascii="仿宋" w:hAnsi="仿宋" w:eastAsia="仿宋" w:cs="Times New Roman"/>
          <w:snapToGrid/>
          <w:color w:val="auto"/>
          <w:kern w:val="2"/>
          <w:sz w:val="32"/>
          <w:szCs w:val="32"/>
          <w:highlight w:val="none"/>
          <w:lang w:eastAsia="zh-CN"/>
        </w:rPr>
        <w:t>级</w:t>
      </w:r>
      <w:r>
        <w:rPr>
          <w:rFonts w:hint="eastAsia" w:ascii="仿宋" w:hAnsi="仿宋" w:eastAsia="仿宋" w:cs="Times New Roman"/>
          <w:snapToGrid/>
          <w:color w:val="auto"/>
          <w:kern w:val="2"/>
          <w:sz w:val="32"/>
          <w:szCs w:val="32"/>
          <w:highlight w:val="none"/>
        </w:rPr>
        <w:t>政府投资项目储备库。</w:t>
      </w:r>
      <w:r>
        <w:rPr>
          <w:rFonts w:hint="eastAsia" w:ascii="仿宋" w:hAnsi="仿宋" w:eastAsia="仿宋" w:cs="Times New Roman"/>
          <w:snapToGrid/>
          <w:color w:val="auto"/>
          <w:kern w:val="2"/>
          <w:sz w:val="32"/>
          <w:szCs w:val="32"/>
          <w:highlight w:val="none"/>
          <w:lang w:eastAsia="zh-CN"/>
        </w:rPr>
        <w:t>各乡镇（街道、办事处）</w:t>
      </w:r>
      <w:r>
        <w:rPr>
          <w:rFonts w:hint="eastAsia" w:ascii="仿宋" w:hAnsi="仿宋" w:eastAsia="仿宋" w:cs="Times New Roman"/>
          <w:snapToGrid/>
          <w:color w:val="auto"/>
          <w:kern w:val="2"/>
          <w:sz w:val="32"/>
          <w:szCs w:val="32"/>
          <w:highlight w:val="none"/>
        </w:rPr>
        <w:t>、行业主管部门根据国民经济和社会发展规划、专项规划，</w:t>
      </w:r>
      <w:r>
        <w:rPr>
          <w:rFonts w:hint="eastAsia" w:ascii="仿宋" w:hAnsi="仿宋" w:eastAsia="仿宋" w:cs="Times New Roman"/>
          <w:snapToGrid/>
          <w:color w:val="auto"/>
          <w:kern w:val="2"/>
          <w:sz w:val="32"/>
          <w:szCs w:val="32"/>
          <w:highlight w:val="none"/>
          <w:lang w:eastAsia="zh-CN"/>
        </w:rPr>
        <w:t>分别建立</w:t>
      </w:r>
      <w:r>
        <w:rPr>
          <w:rFonts w:hint="eastAsia" w:ascii="仿宋" w:hAnsi="仿宋" w:eastAsia="仿宋" w:cs="Times New Roman"/>
          <w:snapToGrid/>
          <w:color w:val="auto"/>
          <w:kern w:val="2"/>
          <w:sz w:val="32"/>
          <w:szCs w:val="32"/>
          <w:highlight w:val="none"/>
        </w:rPr>
        <w:t>项目储备分库，县发改</w:t>
      </w:r>
      <w:r>
        <w:rPr>
          <w:rFonts w:hint="eastAsia" w:ascii="仿宋" w:hAnsi="仿宋" w:eastAsia="仿宋" w:cs="Times New Roman"/>
          <w:snapToGrid/>
          <w:color w:val="auto"/>
          <w:kern w:val="2"/>
          <w:sz w:val="32"/>
          <w:szCs w:val="32"/>
          <w:highlight w:val="none"/>
          <w:lang w:eastAsia="zh-CN"/>
        </w:rPr>
        <w:t>局</w:t>
      </w:r>
      <w:r>
        <w:rPr>
          <w:rFonts w:hint="eastAsia" w:ascii="仿宋" w:hAnsi="仿宋" w:eastAsia="仿宋" w:cs="Times New Roman"/>
          <w:snapToGrid/>
          <w:color w:val="auto"/>
          <w:kern w:val="2"/>
          <w:sz w:val="32"/>
          <w:szCs w:val="32"/>
          <w:highlight w:val="none"/>
        </w:rPr>
        <w:t>商县财政</w:t>
      </w:r>
      <w:r>
        <w:rPr>
          <w:rFonts w:hint="eastAsia" w:ascii="仿宋" w:hAnsi="仿宋" w:eastAsia="仿宋" w:cs="Times New Roman"/>
          <w:snapToGrid/>
          <w:color w:val="auto"/>
          <w:kern w:val="2"/>
          <w:sz w:val="32"/>
          <w:szCs w:val="32"/>
          <w:highlight w:val="none"/>
          <w:lang w:eastAsia="zh-CN"/>
        </w:rPr>
        <w:t>局</w:t>
      </w:r>
      <w:r>
        <w:rPr>
          <w:rFonts w:hint="eastAsia" w:ascii="仿宋" w:hAnsi="仿宋" w:eastAsia="仿宋" w:cs="Times New Roman"/>
          <w:snapToGrid/>
          <w:color w:val="auto"/>
          <w:kern w:val="2"/>
          <w:sz w:val="32"/>
          <w:szCs w:val="32"/>
          <w:highlight w:val="none"/>
        </w:rPr>
        <w:t>等部门</w:t>
      </w:r>
      <w:r>
        <w:rPr>
          <w:rFonts w:hint="eastAsia" w:ascii="仿宋" w:hAnsi="仿宋" w:eastAsia="仿宋" w:cs="Times New Roman"/>
          <w:snapToGrid/>
          <w:color w:val="auto"/>
          <w:kern w:val="2"/>
          <w:sz w:val="32"/>
          <w:szCs w:val="32"/>
          <w:highlight w:val="none"/>
          <w:lang w:eastAsia="zh-CN"/>
        </w:rPr>
        <w:t>筛选汇总储备分库项目，</w:t>
      </w:r>
      <w:r>
        <w:rPr>
          <w:rFonts w:hint="eastAsia" w:ascii="仿宋" w:hAnsi="仿宋" w:eastAsia="仿宋" w:cs="Times New Roman"/>
          <w:snapToGrid/>
          <w:color w:val="auto"/>
          <w:kern w:val="2"/>
          <w:sz w:val="32"/>
          <w:szCs w:val="32"/>
          <w:highlight w:val="none"/>
        </w:rPr>
        <w:t>建立全县政府投资项目储备库，作为政府投资项目决策和编制政府投资年度计划的重要依据。</w:t>
      </w:r>
    </w:p>
    <w:p w14:paraId="501902D9">
      <w:pPr>
        <w:widowControl w:val="0"/>
        <w:kinsoku/>
        <w:autoSpaceDE/>
        <w:autoSpaceDN/>
        <w:adjustRightInd/>
        <w:snapToGrid/>
        <w:spacing w:line="560" w:lineRule="exact"/>
        <w:ind w:firstLine="643" w:firstLineChars="200"/>
        <w:jc w:val="both"/>
        <w:textAlignment w:val="center"/>
        <w:rPr>
          <w:rFonts w:hint="eastAsia" w:ascii="黑体" w:hAnsi="黑体" w:eastAsia="黑体" w:cs="黑体"/>
          <w:b/>
          <w:bCs/>
          <w:color w:val="auto"/>
          <w:spacing w:val="-1"/>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八</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项目单位应当加强政府投资项目的前期工作，保证前期工作的深度达到规定的要求，并对资金申请报告、项目建议书、可行性研究报告、初步设计、施工图设计以及依法附具的其他文件的真实性负责。相关行政审批部门结合工作职责，建立政府投资项目投资估算、设计概算、施工图预算等指标体系，作为审查审批相应投资的参考依据。</w:t>
      </w:r>
    </w:p>
    <w:p w14:paraId="220E9FDF">
      <w:pPr>
        <w:spacing w:before="20" w:afterLines="100" w:line="560" w:lineRule="exact"/>
        <w:ind w:left="3334"/>
        <w:jc w:val="both"/>
        <w:rPr>
          <w:rFonts w:hint="eastAsia" w:ascii="黑体" w:hAnsi="黑体" w:eastAsia="黑体" w:cs="黑体"/>
          <w:b/>
          <w:bCs/>
          <w:color w:val="auto"/>
          <w:spacing w:val="-1"/>
          <w:sz w:val="32"/>
          <w:szCs w:val="32"/>
          <w:highlight w:val="none"/>
        </w:rPr>
      </w:pPr>
      <w:r>
        <w:rPr>
          <w:rFonts w:hint="eastAsia" w:ascii="黑体" w:hAnsi="黑体" w:eastAsia="黑体" w:cs="黑体"/>
          <w:b/>
          <w:bCs/>
          <w:color w:val="auto"/>
          <w:spacing w:val="-1"/>
          <w:sz w:val="32"/>
          <w:szCs w:val="32"/>
          <w:highlight w:val="none"/>
        </w:rPr>
        <w:t xml:space="preserve">第三章 </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rPr>
        <w:t>政府投资年度计划</w:t>
      </w:r>
    </w:p>
    <w:p w14:paraId="2973BA76">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九</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kern w:val="2"/>
          <w:sz w:val="32"/>
          <w:szCs w:val="32"/>
        </w:rPr>
        <w:t>政府投资项目实行年度计划管理。各行业主管部门于每年第三季度向县发改部门提交相应建设项目</w:t>
      </w:r>
      <w:r>
        <w:rPr>
          <w:rFonts w:hint="eastAsia" w:ascii="仿宋" w:hAnsi="仿宋" w:eastAsia="仿宋" w:cs="仿宋"/>
          <w:snapToGrid/>
          <w:kern w:val="2"/>
          <w:sz w:val="32"/>
          <w:szCs w:val="32"/>
          <w:lang w:eastAsia="zh-CN"/>
        </w:rPr>
        <w:t>投资</w:t>
      </w:r>
      <w:r>
        <w:rPr>
          <w:rFonts w:hint="eastAsia" w:ascii="仿宋" w:hAnsi="仿宋" w:eastAsia="仿宋" w:cs="仿宋"/>
          <w:snapToGrid/>
          <w:kern w:val="2"/>
          <w:sz w:val="32"/>
          <w:szCs w:val="32"/>
        </w:rPr>
        <w:t>计划。县发改部门商县财政、自然资源、住建等部门提出政府投资计划建议方案，报县</w:t>
      </w:r>
      <w:r>
        <w:rPr>
          <w:rFonts w:hint="eastAsia" w:ascii="仿宋" w:hAnsi="仿宋" w:eastAsia="仿宋" w:cs="仿宋"/>
          <w:snapToGrid/>
          <w:kern w:val="2"/>
          <w:sz w:val="32"/>
          <w:szCs w:val="32"/>
          <w:lang w:eastAsia="zh-CN"/>
        </w:rPr>
        <w:t>人民</w:t>
      </w:r>
      <w:r>
        <w:rPr>
          <w:rFonts w:hint="eastAsia" w:ascii="仿宋" w:hAnsi="仿宋" w:eastAsia="仿宋" w:cs="仿宋"/>
          <w:snapToGrid/>
          <w:kern w:val="2"/>
          <w:sz w:val="32"/>
          <w:szCs w:val="32"/>
        </w:rPr>
        <w:t>政府常务会议审定后下达，并向社会公示。除应急抢险救灾工程外，未列入计划的项目原则上不安排资金和用地指标</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rPr>
        <w:t>对于前期要素不完备的项目纳入</w:t>
      </w:r>
      <w:r>
        <w:rPr>
          <w:rFonts w:hint="eastAsia" w:ascii="仿宋" w:hAnsi="仿宋" w:eastAsia="仿宋" w:cs="仿宋"/>
          <w:snapToGrid/>
          <w:kern w:val="2"/>
          <w:sz w:val="32"/>
          <w:szCs w:val="32"/>
          <w:lang w:eastAsia="zh-CN"/>
        </w:rPr>
        <w:t>年度</w:t>
      </w:r>
      <w:r>
        <w:rPr>
          <w:rFonts w:hint="eastAsia" w:ascii="仿宋" w:hAnsi="仿宋" w:eastAsia="仿宋" w:cs="仿宋"/>
          <w:snapToGrid/>
          <w:kern w:val="2"/>
          <w:sz w:val="32"/>
          <w:szCs w:val="32"/>
        </w:rPr>
        <w:t>储备计划，待前期手续齐全后自动调整进入年度实施计划。</w:t>
      </w:r>
    </w:p>
    <w:p w14:paraId="2E4C83ED">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 xml:space="preserve">第十条  </w:t>
      </w:r>
      <w:r>
        <w:rPr>
          <w:rFonts w:hint="eastAsia" w:ascii="仿宋" w:hAnsi="仿宋" w:eastAsia="仿宋" w:cs="仿宋"/>
          <w:snapToGrid/>
          <w:color w:val="auto"/>
          <w:kern w:val="2"/>
          <w:sz w:val="32"/>
          <w:szCs w:val="32"/>
          <w:highlight w:val="none"/>
        </w:rPr>
        <w:t>列入政府投资年度计划的项目应当符合以下条件。</w:t>
      </w:r>
    </w:p>
    <w:p w14:paraId="02023DD4">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（一）</w:t>
      </w:r>
      <w:r>
        <w:rPr>
          <w:rFonts w:hint="eastAsia" w:ascii="仿宋" w:hAnsi="仿宋" w:eastAsia="仿宋" w:cs="仿宋"/>
          <w:snapToGrid/>
          <w:kern w:val="2"/>
          <w:sz w:val="32"/>
          <w:szCs w:val="32"/>
        </w:rPr>
        <w:t>列入年度</w:t>
      </w:r>
      <w:r>
        <w:rPr>
          <w:rFonts w:hint="eastAsia" w:ascii="仿宋" w:hAnsi="仿宋" w:eastAsia="仿宋" w:cs="仿宋"/>
          <w:snapToGrid/>
          <w:kern w:val="2"/>
          <w:sz w:val="32"/>
          <w:szCs w:val="32"/>
          <w:lang w:eastAsia="zh-CN"/>
        </w:rPr>
        <w:t>投资</w:t>
      </w:r>
      <w:r>
        <w:rPr>
          <w:rFonts w:hint="eastAsia" w:ascii="仿宋" w:hAnsi="仿宋" w:eastAsia="仿宋" w:cs="仿宋"/>
          <w:snapToGrid/>
          <w:kern w:val="2"/>
          <w:sz w:val="32"/>
          <w:szCs w:val="32"/>
        </w:rPr>
        <w:t>计划的项目须明确资金来源，并由财政部门对资金来源进行审核或评估论证。</w:t>
      </w:r>
    </w:p>
    <w:p w14:paraId="4356F771">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（二）棚改等征拆类土地整理项目由行业主管部门纳入专项计划或者征收补偿方案经相关部门批准。</w:t>
      </w:r>
    </w:p>
    <w:p w14:paraId="42F94E9C">
      <w:pPr>
        <w:widowControl w:val="0"/>
        <w:kinsoku/>
        <w:autoSpaceDE/>
        <w:autoSpaceDN/>
        <w:adjustRightInd/>
        <w:snapToGrid/>
        <w:spacing w:line="560" w:lineRule="exact"/>
        <w:ind w:firstLine="643" w:firstLineChars="200"/>
        <w:jc w:val="both"/>
        <w:textAlignment w:val="center"/>
        <w:rPr>
          <w:rFonts w:hint="eastAsia" w:ascii="仿宋" w:hAnsi="仿宋" w:eastAsia="仿宋" w:cs="仿宋"/>
          <w:b w:val="0"/>
          <w:bCs w:val="0"/>
          <w:strike/>
          <w:snapToGrid/>
          <w:color w:val="FF0000"/>
          <w:spacing w:val="0"/>
          <w:kern w:val="2"/>
          <w:sz w:val="32"/>
          <w:szCs w:val="32"/>
          <w:highlight w:val="yellow"/>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一</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政府投资项目履行立项手续前，必须按相关规定履行决策程序</w:t>
      </w:r>
      <w:r>
        <w:rPr>
          <w:rFonts w:hint="eastAsia" w:ascii="仿宋" w:hAnsi="仿宋" w:eastAsia="仿宋" w:cs="仿宋"/>
          <w:snapToGrid/>
          <w:color w:val="auto"/>
          <w:kern w:val="2"/>
          <w:sz w:val="32"/>
          <w:szCs w:val="32"/>
          <w:highlight w:val="none"/>
          <w:lang w:eastAsia="zh-CN"/>
        </w:rPr>
        <w:t>，财政部门须对项目由财政渠道保障的资金来源进行审核，总投资额</w:t>
      </w:r>
      <w:r>
        <w:rPr>
          <w:rFonts w:hint="eastAsia" w:ascii="仿宋" w:hAnsi="仿宋" w:eastAsia="仿宋" w:cs="仿宋"/>
          <w:snapToGrid/>
          <w:color w:val="auto"/>
          <w:kern w:val="2"/>
          <w:sz w:val="32"/>
          <w:szCs w:val="32"/>
          <w:highlight w:val="none"/>
          <w:lang w:val="en-US" w:eastAsia="zh-CN"/>
        </w:rPr>
        <w:t>500万元及以上的项目须由县政府常务会议研究决策</w:t>
      </w:r>
      <w:r>
        <w:rPr>
          <w:rFonts w:hint="eastAsia" w:ascii="仿宋" w:hAnsi="仿宋" w:eastAsia="仿宋" w:cs="仿宋"/>
          <w:snapToGrid/>
          <w:color w:val="auto"/>
          <w:kern w:val="2"/>
          <w:sz w:val="32"/>
          <w:szCs w:val="32"/>
          <w:highlight w:val="none"/>
        </w:rPr>
        <w:t>。</w:t>
      </w:r>
    </w:p>
    <w:p w14:paraId="31E603B5">
      <w:pPr>
        <w:spacing w:before="20" w:afterLines="100" w:line="560" w:lineRule="exact"/>
        <w:ind w:left="3334"/>
        <w:jc w:val="both"/>
        <w:rPr>
          <w:rFonts w:hint="eastAsia" w:ascii="黑体" w:hAnsi="黑体" w:eastAsia="黑体" w:cs="黑体"/>
          <w:b/>
          <w:bCs/>
          <w:color w:val="auto"/>
          <w:spacing w:val="-1"/>
          <w:sz w:val="32"/>
          <w:szCs w:val="32"/>
          <w:highlight w:val="none"/>
          <w:lang w:eastAsia="zh-CN"/>
        </w:rPr>
      </w:pPr>
      <w:r>
        <w:rPr>
          <w:rFonts w:hint="eastAsia" w:ascii="黑体" w:hAnsi="黑体" w:eastAsia="黑体" w:cs="黑体"/>
          <w:b/>
          <w:bCs/>
          <w:color w:val="auto"/>
          <w:spacing w:val="-1"/>
          <w:sz w:val="32"/>
          <w:szCs w:val="32"/>
          <w:highlight w:val="none"/>
          <w:lang w:eastAsia="zh-CN"/>
        </w:rPr>
        <w:t xml:space="preserve">第四章 </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lang w:eastAsia="zh-CN"/>
        </w:rPr>
        <w:t>审批管理</w:t>
      </w:r>
    </w:p>
    <w:p w14:paraId="58B242F6">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kern w:val="2"/>
          <w:sz w:val="32"/>
          <w:szCs w:val="32"/>
        </w:rPr>
        <w:t>除涉及国家秘密的项目外，发改部门和其他有关部门应当通过湖南省投资项目在线审批监管平台(湖南省工程建设项目审批管理系统，简称“在线</w:t>
      </w:r>
      <w:r>
        <w:rPr>
          <w:rFonts w:hint="eastAsia" w:ascii="仿宋" w:hAnsi="仿宋" w:eastAsia="仿宋" w:cs="仿宋"/>
          <w:snapToGrid/>
          <w:kern w:val="2"/>
          <w:sz w:val="32"/>
          <w:szCs w:val="32"/>
          <w:lang w:eastAsia="zh-CN"/>
        </w:rPr>
        <w:t>审批</w:t>
      </w:r>
      <w:r>
        <w:rPr>
          <w:rFonts w:hint="eastAsia" w:ascii="仿宋" w:hAnsi="仿宋" w:eastAsia="仿宋" w:cs="仿宋"/>
          <w:snapToGrid/>
          <w:kern w:val="2"/>
          <w:sz w:val="32"/>
          <w:szCs w:val="32"/>
        </w:rPr>
        <w:t>平台”)生成的项目代码办理项目审批手续。项目代码是项目建设唯一的身份标识，依法实现“一项一码”。</w:t>
      </w:r>
    </w:p>
    <w:p w14:paraId="20A504E2">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rPr>
      </w:pPr>
      <w:r>
        <w:rPr>
          <w:rFonts w:hint="eastAsia" w:ascii="仿宋" w:hAnsi="仿宋" w:eastAsia="仿宋" w:cs="仿宋"/>
          <w:snapToGrid/>
          <w:kern w:val="2"/>
          <w:sz w:val="32"/>
          <w:szCs w:val="32"/>
        </w:rPr>
        <w:t>项目审批部门应当通过在线</w:t>
      </w:r>
      <w:r>
        <w:rPr>
          <w:rFonts w:hint="eastAsia" w:ascii="仿宋" w:hAnsi="仿宋" w:eastAsia="仿宋" w:cs="仿宋"/>
          <w:snapToGrid/>
          <w:kern w:val="2"/>
          <w:sz w:val="32"/>
          <w:szCs w:val="32"/>
          <w:lang w:eastAsia="zh-CN"/>
        </w:rPr>
        <w:t>审批</w:t>
      </w:r>
      <w:r>
        <w:rPr>
          <w:rFonts w:hint="eastAsia" w:ascii="仿宋" w:hAnsi="仿宋" w:eastAsia="仿宋" w:cs="仿宋"/>
          <w:snapToGrid/>
          <w:kern w:val="2"/>
          <w:sz w:val="32"/>
          <w:szCs w:val="32"/>
        </w:rPr>
        <w:t>平台列明与政府投资有关的规划、产业政策等，公开政府投资项目审批的办理流程、办理时限等，并为项目单位提供相关咨询服务。</w:t>
      </w:r>
    </w:p>
    <w:p w14:paraId="2326692F">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三</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政府投资项目主要审批流程分为立项用地规划许可、工程建设许可、施工许可、竣工验收四个阶段。</w:t>
      </w:r>
    </w:p>
    <w:p w14:paraId="2E77A808">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（一）立项用地规划许可阶段，项目建议书、可行性研究</w:t>
      </w:r>
    </w:p>
    <w:p w14:paraId="7D2F3E77">
      <w:pPr>
        <w:widowControl w:val="0"/>
        <w:kinsoku/>
        <w:autoSpaceDE/>
        <w:autoSpaceDN/>
        <w:adjustRightInd/>
        <w:snapToGrid/>
        <w:spacing w:line="560" w:lineRule="exact"/>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报告、招标事项和是否实行代建制由发改部门审批，用地预审与选址意见书和建设用地规划许可证由自然资源部门核发等。</w:t>
      </w:r>
    </w:p>
    <w:p w14:paraId="6FF08D5B">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（二）</w:t>
      </w:r>
      <w:r>
        <w:rPr>
          <w:rFonts w:hint="eastAsia" w:ascii="仿宋" w:hAnsi="仿宋" w:eastAsia="仿宋" w:cs="仿宋"/>
          <w:snapToGrid/>
          <w:color w:val="auto"/>
          <w:kern w:val="2"/>
          <w:sz w:val="32"/>
          <w:szCs w:val="32"/>
          <w:highlight w:val="none"/>
        </w:rPr>
        <w:t>政府投资项目</w:t>
      </w:r>
      <w:r>
        <w:rPr>
          <w:rFonts w:hint="eastAsia" w:ascii="仿宋" w:hAnsi="仿宋" w:eastAsia="仿宋" w:cs="仿宋"/>
          <w:snapToGrid/>
          <w:color w:val="auto"/>
          <w:kern w:val="2"/>
          <w:sz w:val="32"/>
          <w:szCs w:val="32"/>
          <w:highlight w:val="none"/>
          <w:lang w:eastAsia="zh-CN"/>
        </w:rPr>
        <w:t>立项需提供的资料如下：</w:t>
      </w:r>
    </w:p>
    <w:p w14:paraId="18C42ECD">
      <w:pPr>
        <w:widowControl w:val="0"/>
        <w:kinsoku/>
        <w:autoSpaceDE/>
        <w:autoSpaceDN/>
        <w:adjustRightInd/>
        <w:snapToGrid/>
        <w:spacing w:line="560" w:lineRule="exact"/>
        <w:ind w:firstLine="640" w:firstLineChars="200"/>
        <w:jc w:val="both"/>
        <w:textAlignment w:val="center"/>
        <w:rPr>
          <w:rFonts w:hint="default"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1.茶陵县投资项目立项审批表</w:t>
      </w:r>
    </w:p>
    <w:p w14:paraId="3331C7F2">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2.项目立项申请报告；</w:t>
      </w:r>
    </w:p>
    <w:p w14:paraId="3E977B96">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3.县财政局出具的资金来源审核意见；</w:t>
      </w:r>
    </w:p>
    <w:p w14:paraId="4280348B">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4.政府会议决议书（项目总投资达500万元及以上项目）；</w:t>
      </w:r>
    </w:p>
    <w:p w14:paraId="022A945D">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5.县自然资源局出具的规划选址及用地预审意见（项目不涉及新增用地，在已批准的建设用地范围内建设的，可不进行用地预审，但需提供土地权属证明，如有）；</w:t>
      </w:r>
    </w:p>
    <w:p w14:paraId="58796172">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6.项目可行性研究报告（项目单位应当委托乙级及以上工程咨询机构编制可行性研究报告。项目单位具备相应资质的，也可自行编制项目可行性研究报告，</w:t>
      </w:r>
      <w:r>
        <w:rPr>
          <w:rFonts w:hint="eastAsia" w:ascii="仿宋" w:hAnsi="仿宋" w:eastAsia="仿宋" w:cs="仿宋"/>
          <w:snapToGrid/>
          <w:color w:val="auto"/>
          <w:kern w:val="2"/>
          <w:sz w:val="32"/>
          <w:szCs w:val="32"/>
          <w:highlight w:val="none"/>
        </w:rPr>
        <w:t>编制</w:t>
      </w:r>
      <w:r>
        <w:rPr>
          <w:rFonts w:hint="eastAsia" w:ascii="仿宋" w:hAnsi="仿宋" w:eastAsia="仿宋" w:cs="仿宋"/>
          <w:snapToGrid/>
          <w:color w:val="auto"/>
          <w:kern w:val="2"/>
          <w:sz w:val="32"/>
          <w:szCs w:val="32"/>
          <w:highlight w:val="none"/>
          <w:lang w:eastAsia="zh-CN"/>
        </w:rPr>
        <w:t>的</w:t>
      </w:r>
      <w:r>
        <w:rPr>
          <w:rFonts w:hint="eastAsia" w:ascii="仿宋" w:hAnsi="仿宋" w:eastAsia="仿宋" w:cs="仿宋"/>
          <w:snapToGrid/>
          <w:color w:val="auto"/>
          <w:kern w:val="2"/>
          <w:sz w:val="32"/>
          <w:szCs w:val="32"/>
          <w:highlight w:val="none"/>
        </w:rPr>
        <w:t>格式、内容和深度应当达到规定</w:t>
      </w:r>
      <w:r>
        <w:rPr>
          <w:rFonts w:hint="eastAsia" w:ascii="仿宋" w:hAnsi="仿宋" w:eastAsia="仿宋" w:cs="仿宋"/>
          <w:snapToGrid/>
          <w:color w:val="auto"/>
          <w:kern w:val="2"/>
          <w:sz w:val="32"/>
          <w:szCs w:val="32"/>
          <w:highlight w:val="none"/>
          <w:lang w:eastAsia="zh-CN"/>
        </w:rPr>
        <w:t>的</w:t>
      </w:r>
      <w:r>
        <w:rPr>
          <w:rFonts w:hint="eastAsia" w:ascii="仿宋" w:hAnsi="仿宋" w:eastAsia="仿宋" w:cs="仿宋"/>
          <w:snapToGrid/>
          <w:color w:val="auto"/>
          <w:kern w:val="2"/>
          <w:sz w:val="32"/>
          <w:szCs w:val="32"/>
          <w:highlight w:val="none"/>
        </w:rPr>
        <w:t>要求</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lang w:val="en-US" w:eastAsia="zh-CN"/>
        </w:rPr>
        <w:t>）；</w:t>
      </w:r>
    </w:p>
    <w:p w14:paraId="222E5C79">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7.业主单位有关资料复印件（如法人身份证、统一社会信用代码证书、营业执照等复印件）；</w:t>
      </w:r>
    </w:p>
    <w:p w14:paraId="0BD0F70A">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8.其他相关资料（如会议纪要或领导批示等），如有。</w:t>
      </w:r>
    </w:p>
    <w:p w14:paraId="6DEA7C82">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项目立项资料完善后，由业主单位报县发改局审批。</w:t>
      </w:r>
    </w:p>
    <w:p w14:paraId="68DB33E1">
      <w:pPr>
        <w:widowControl w:val="0"/>
        <w:numPr>
          <w:ilvl w:val="0"/>
          <w:numId w:val="0"/>
        </w:numPr>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rPr>
      </w:pPr>
      <w:r>
        <w:rPr>
          <w:rFonts w:hint="eastAsia" w:ascii="仿宋" w:hAnsi="仿宋" w:eastAsia="仿宋" w:cs="仿宋"/>
          <w:snapToGrid/>
          <w:kern w:val="2"/>
          <w:sz w:val="32"/>
          <w:szCs w:val="32"/>
          <w:lang w:eastAsia="zh-CN"/>
        </w:rPr>
        <w:t>（三）</w:t>
      </w:r>
      <w:r>
        <w:rPr>
          <w:rFonts w:hint="eastAsia" w:ascii="仿宋" w:hAnsi="仿宋" w:eastAsia="仿宋" w:cs="仿宋"/>
          <w:snapToGrid/>
          <w:kern w:val="2"/>
          <w:sz w:val="32"/>
          <w:szCs w:val="32"/>
        </w:rPr>
        <w:t>工程建设许可阶段，</w:t>
      </w:r>
      <w:r>
        <w:rPr>
          <w:rFonts w:hint="eastAsia" w:ascii="仿宋" w:hAnsi="仿宋" w:eastAsia="仿宋" w:cs="仿宋"/>
          <w:snapToGrid/>
          <w:kern w:val="2"/>
          <w:sz w:val="32"/>
          <w:szCs w:val="32"/>
          <w:lang w:eastAsia="zh-CN"/>
        </w:rPr>
        <w:t>按照</w:t>
      </w:r>
      <w:r>
        <w:rPr>
          <w:rFonts w:hint="eastAsia" w:ascii="仿宋" w:hAnsi="仿宋" w:eastAsia="仿宋" w:cs="仿宋"/>
          <w:snapToGrid/>
          <w:kern w:val="2"/>
          <w:sz w:val="32"/>
          <w:szCs w:val="32"/>
        </w:rPr>
        <w:t>《茶陵县政府投资项目降本增效实施方案》</w:t>
      </w:r>
      <w:r>
        <w:rPr>
          <w:rFonts w:hint="eastAsia" w:ascii="仿宋" w:hAnsi="仿宋" w:eastAsia="仿宋" w:cs="仿宋"/>
          <w:snapToGrid/>
          <w:kern w:val="2"/>
          <w:sz w:val="32"/>
          <w:szCs w:val="32"/>
          <w:lang w:eastAsia="zh-CN"/>
        </w:rPr>
        <w:t>要求，实施初步设计与概算联审，</w:t>
      </w:r>
      <w:r>
        <w:rPr>
          <w:rFonts w:hint="eastAsia" w:ascii="仿宋" w:hAnsi="仿宋" w:eastAsia="仿宋" w:cs="仿宋"/>
          <w:snapToGrid/>
          <w:kern w:val="2"/>
          <w:sz w:val="32"/>
          <w:szCs w:val="32"/>
        </w:rPr>
        <w:t>初步设计由行业主管部门</w:t>
      </w:r>
      <w:r>
        <w:rPr>
          <w:rFonts w:hint="eastAsia" w:ascii="仿宋" w:hAnsi="仿宋" w:eastAsia="仿宋" w:cs="仿宋"/>
          <w:snapToGrid/>
          <w:kern w:val="2"/>
          <w:sz w:val="32"/>
          <w:szCs w:val="32"/>
          <w:lang w:eastAsia="zh-CN"/>
        </w:rPr>
        <w:t>会同相关业务技术主管部门</w:t>
      </w:r>
      <w:r>
        <w:rPr>
          <w:rFonts w:hint="eastAsia" w:ascii="仿宋" w:hAnsi="仿宋" w:eastAsia="仿宋" w:cs="仿宋"/>
          <w:snapToGrid/>
          <w:kern w:val="2"/>
          <w:sz w:val="32"/>
          <w:szCs w:val="32"/>
        </w:rPr>
        <w:t>审批，</w:t>
      </w:r>
      <w:r>
        <w:rPr>
          <w:rFonts w:hint="eastAsia" w:ascii="仿宋" w:hAnsi="仿宋" w:eastAsia="仿宋" w:cs="仿宋"/>
          <w:snapToGrid/>
          <w:kern w:val="2"/>
          <w:sz w:val="32"/>
          <w:szCs w:val="32"/>
          <w:highlight w:val="none"/>
        </w:rPr>
        <w:t>概算由发改部门(或委托行业主管部门)审批</w:t>
      </w:r>
      <w:r>
        <w:rPr>
          <w:rFonts w:hint="eastAsia" w:ascii="仿宋" w:hAnsi="仿宋" w:eastAsia="仿宋" w:cs="仿宋"/>
          <w:snapToGrid/>
          <w:kern w:val="2"/>
          <w:sz w:val="32"/>
          <w:szCs w:val="32"/>
        </w:rPr>
        <w:t>，建设工程规划许可证由自然资源部门核发等。</w:t>
      </w:r>
    </w:p>
    <w:p w14:paraId="117B10C9">
      <w:pPr>
        <w:widowControl w:val="0"/>
        <w:numPr>
          <w:ilvl w:val="0"/>
          <w:numId w:val="0"/>
        </w:numPr>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四</w:t>
      </w:r>
      <w:r>
        <w:rPr>
          <w:rFonts w:hint="eastAsia" w:ascii="仿宋" w:hAnsi="仿宋" w:eastAsia="仿宋" w:cs="仿宋"/>
          <w:snapToGrid/>
          <w:color w:val="auto"/>
          <w:kern w:val="2"/>
          <w:sz w:val="32"/>
          <w:szCs w:val="32"/>
          <w:highlight w:val="none"/>
        </w:rPr>
        <w:t>）施工许可阶段，施工图设计文件由行业主管部门审批或备案，施工许可证由行业主管部门核发等。</w:t>
      </w:r>
    </w:p>
    <w:p w14:paraId="19F22C3A">
      <w:pPr>
        <w:widowControl w:val="0"/>
        <w:numPr>
          <w:ilvl w:val="0"/>
          <w:numId w:val="0"/>
        </w:numPr>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五</w:t>
      </w:r>
      <w:r>
        <w:rPr>
          <w:rFonts w:hint="eastAsia" w:ascii="仿宋" w:hAnsi="仿宋" w:eastAsia="仿宋" w:cs="仿宋"/>
          <w:snapToGrid/>
          <w:color w:val="auto"/>
          <w:kern w:val="2"/>
          <w:sz w:val="32"/>
          <w:szCs w:val="32"/>
          <w:highlight w:val="none"/>
        </w:rPr>
        <w:t>）竣工验收阶段，由行业主管部门牵头，组织</w:t>
      </w:r>
      <w:r>
        <w:rPr>
          <w:rFonts w:hint="eastAsia" w:ascii="仿宋" w:hAnsi="仿宋" w:eastAsia="仿宋" w:cs="仿宋"/>
          <w:snapToGrid/>
          <w:color w:val="auto"/>
          <w:kern w:val="2"/>
          <w:sz w:val="32"/>
          <w:szCs w:val="32"/>
          <w:highlight w:val="none"/>
          <w:lang w:eastAsia="zh-CN"/>
        </w:rPr>
        <w:t>发改（含人防）、</w:t>
      </w:r>
      <w:r>
        <w:rPr>
          <w:rFonts w:hint="eastAsia" w:ascii="仿宋" w:hAnsi="仿宋" w:eastAsia="仿宋" w:cs="仿宋"/>
          <w:snapToGrid/>
          <w:color w:val="auto"/>
          <w:kern w:val="2"/>
          <w:sz w:val="32"/>
          <w:szCs w:val="32"/>
          <w:highlight w:val="none"/>
        </w:rPr>
        <w:t>自然资源、消防、气象、水利、市政公用、档案等</w:t>
      </w:r>
      <w:r>
        <w:rPr>
          <w:rFonts w:hint="eastAsia" w:ascii="仿宋" w:hAnsi="仿宋" w:eastAsia="仿宋" w:cs="仿宋"/>
          <w:snapToGrid/>
          <w:color w:val="auto"/>
          <w:kern w:val="2"/>
          <w:sz w:val="32"/>
          <w:szCs w:val="32"/>
          <w:highlight w:val="none"/>
          <w:lang w:eastAsia="zh-CN"/>
        </w:rPr>
        <w:t>相关</w:t>
      </w:r>
      <w:r>
        <w:rPr>
          <w:rFonts w:hint="eastAsia" w:ascii="仿宋" w:hAnsi="仿宋" w:eastAsia="仿宋" w:cs="仿宋"/>
          <w:snapToGrid/>
          <w:color w:val="auto"/>
          <w:kern w:val="2"/>
          <w:sz w:val="32"/>
          <w:szCs w:val="32"/>
          <w:highlight w:val="none"/>
        </w:rPr>
        <w:t>部门联合验收及竣工验收备案等。</w:t>
      </w:r>
    </w:p>
    <w:p w14:paraId="0ED326D3">
      <w:pPr>
        <w:widowControl w:val="0"/>
        <w:numPr>
          <w:ilvl w:val="0"/>
          <w:numId w:val="0"/>
        </w:numPr>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其他行政许可、强制性评估、中介服务、市政公用服务等事项纳入相关阶段办理或与相关阶段并行推进。政府投资信息化项目由县行政审批局结合实际，按有关</w:t>
      </w:r>
      <w:r>
        <w:rPr>
          <w:rFonts w:hint="eastAsia" w:ascii="仿宋" w:hAnsi="仿宋" w:eastAsia="仿宋" w:cs="仿宋"/>
          <w:snapToGrid/>
          <w:color w:val="auto"/>
          <w:kern w:val="2"/>
          <w:sz w:val="32"/>
          <w:szCs w:val="32"/>
          <w:highlight w:val="none"/>
          <w:lang w:eastAsia="zh-CN"/>
        </w:rPr>
        <w:t>规定</w:t>
      </w:r>
      <w:r>
        <w:rPr>
          <w:rFonts w:hint="eastAsia" w:ascii="仿宋" w:hAnsi="仿宋" w:eastAsia="仿宋" w:cs="仿宋"/>
          <w:snapToGrid/>
          <w:color w:val="auto"/>
          <w:kern w:val="2"/>
          <w:sz w:val="32"/>
          <w:szCs w:val="32"/>
          <w:highlight w:val="none"/>
        </w:rPr>
        <w:t>执行。</w:t>
      </w:r>
    </w:p>
    <w:p w14:paraId="09BD8F87">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四</w:t>
      </w:r>
      <w:r>
        <w:rPr>
          <w:rFonts w:hint="eastAsia" w:ascii="仿宋" w:hAnsi="仿宋" w:eastAsia="仿宋" w:cs="仿宋"/>
          <w:b/>
          <w:bCs/>
          <w:snapToGrid/>
          <w:color w:val="auto"/>
          <w:kern w:val="2"/>
          <w:sz w:val="32"/>
          <w:szCs w:val="32"/>
          <w:highlight w:val="none"/>
        </w:rPr>
        <w:t>条</w:t>
      </w:r>
      <w:r>
        <w:rPr>
          <w:rFonts w:hint="eastAsia" w:ascii="仿宋" w:hAnsi="仿宋" w:eastAsia="仿宋" w:cs="仿宋"/>
          <w:b/>
          <w:bCs/>
          <w:snapToGrid/>
          <w:color w:val="auto"/>
          <w:kern w:val="2"/>
          <w:sz w:val="32"/>
          <w:szCs w:val="32"/>
          <w:highlight w:val="none"/>
          <w:lang w:val="en-US" w:eastAsia="zh-CN"/>
        </w:rPr>
        <w:t xml:space="preserve">  </w:t>
      </w:r>
      <w:r>
        <w:rPr>
          <w:rFonts w:hint="eastAsia" w:ascii="仿宋" w:hAnsi="仿宋" w:eastAsia="仿宋" w:cs="仿宋"/>
          <w:snapToGrid/>
          <w:color w:val="auto"/>
          <w:kern w:val="2"/>
          <w:sz w:val="32"/>
          <w:szCs w:val="32"/>
          <w:highlight w:val="none"/>
        </w:rPr>
        <w:t>已列入国民经济和社会发展规划、专项规划、政府投资计划的项目，不再批复项目建议书，直接批复可行性研究报告。经批复的项目可行性研究报告是确定项目投资的依据，未完成可行性研究报告批复的项目不得批复初步设计及概算。</w:t>
      </w:r>
    </w:p>
    <w:p w14:paraId="36696737">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五</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项目可行性研究报告的投资估算主要包括工程建设费、工程建设其他费(其中征地拆迁补偿费、管线迁改费分别单列)、预备费等费用以及建设期利息。征地拆迁补偿费(含办理用地红线向有关部门缴纳的相关税费)根据征地拆迁估算指标进行估算并纳入总投资估算。用地税费最终以实际缴纳的为准，其余征地拆迁补偿费用以征地拆迁管理部门审定的为准。管线迁改应当由项目单位组织编制初步迁改方案(应当包括管线种类、相应工程量和造价指标),并据此编制估算明细表纳入总投资估算。</w:t>
      </w:r>
    </w:p>
    <w:p w14:paraId="6185164E">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第十</w:t>
      </w:r>
      <w:r>
        <w:rPr>
          <w:rFonts w:hint="eastAsia" w:ascii="仿宋" w:hAnsi="仿宋" w:eastAsia="仿宋" w:cs="仿宋"/>
          <w:b/>
          <w:bCs/>
          <w:snapToGrid/>
          <w:color w:val="auto"/>
          <w:kern w:val="2"/>
          <w:sz w:val="32"/>
          <w:szCs w:val="32"/>
          <w:highlight w:val="none"/>
          <w:lang w:eastAsia="zh-CN"/>
        </w:rPr>
        <w:t>六</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项目单位应当遵循“估算控制概算”的原则开展初步设计和概算编制。初步设计应当按批复的可行性研究报告中建设内容、建设规模、建设标准等进行设计</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lang w:val="en-US" w:eastAsia="zh-CN"/>
        </w:rPr>
        <w:t>400万元及以上的建设工程项目，</w:t>
      </w:r>
      <w:r>
        <w:rPr>
          <w:rFonts w:hint="eastAsia" w:ascii="仿宋" w:hAnsi="仿宋" w:eastAsia="仿宋" w:cs="仿宋"/>
          <w:snapToGrid/>
          <w:color w:val="auto"/>
          <w:kern w:val="2"/>
          <w:sz w:val="32"/>
          <w:szCs w:val="32"/>
          <w:highlight w:val="none"/>
        </w:rPr>
        <w:t>完成初步设计</w:t>
      </w:r>
      <w:r>
        <w:rPr>
          <w:rFonts w:hint="eastAsia" w:ascii="仿宋" w:hAnsi="仿宋" w:eastAsia="仿宋" w:cs="仿宋"/>
          <w:snapToGrid/>
          <w:color w:val="auto"/>
          <w:kern w:val="2"/>
          <w:sz w:val="32"/>
          <w:szCs w:val="32"/>
          <w:highlight w:val="none"/>
          <w:lang w:eastAsia="zh-CN"/>
        </w:rPr>
        <w:t>和概算</w:t>
      </w:r>
      <w:r>
        <w:rPr>
          <w:rFonts w:hint="eastAsia" w:ascii="仿宋" w:hAnsi="仿宋" w:eastAsia="仿宋" w:cs="仿宋"/>
          <w:strike w:val="0"/>
          <w:snapToGrid/>
          <w:color w:val="auto"/>
          <w:kern w:val="2"/>
          <w:sz w:val="32"/>
          <w:szCs w:val="32"/>
          <w:highlight w:val="none"/>
        </w:rPr>
        <w:t>编制</w:t>
      </w:r>
      <w:r>
        <w:rPr>
          <w:rFonts w:hint="eastAsia" w:ascii="仿宋" w:hAnsi="仿宋" w:eastAsia="仿宋" w:cs="仿宋"/>
          <w:snapToGrid/>
          <w:color w:val="auto"/>
          <w:kern w:val="2"/>
          <w:sz w:val="32"/>
          <w:szCs w:val="32"/>
          <w:highlight w:val="none"/>
        </w:rPr>
        <w:t>后，</w:t>
      </w:r>
      <w:r>
        <w:rPr>
          <w:rFonts w:hint="eastAsia" w:ascii="仿宋" w:hAnsi="仿宋" w:eastAsia="仿宋" w:cs="仿宋"/>
          <w:snapToGrid/>
          <w:color w:val="auto"/>
          <w:kern w:val="2"/>
          <w:sz w:val="32"/>
          <w:szCs w:val="32"/>
          <w:highlight w:val="none"/>
          <w:lang w:eastAsia="zh-CN"/>
        </w:rPr>
        <w:t>报茶陵县初步设计与概算联审工作领导小组</w:t>
      </w:r>
      <w:r>
        <w:rPr>
          <w:rFonts w:hint="eastAsia" w:ascii="仿宋" w:hAnsi="仿宋" w:eastAsia="仿宋" w:cs="仿宋"/>
          <w:snapToGrid/>
          <w:kern w:val="2"/>
          <w:sz w:val="32"/>
          <w:szCs w:val="32"/>
          <w:lang w:eastAsia="zh-CN"/>
        </w:rPr>
        <w:t>实施联审；总投资</w:t>
      </w:r>
      <w:r>
        <w:rPr>
          <w:rFonts w:hint="eastAsia" w:ascii="仿宋" w:hAnsi="仿宋" w:eastAsia="仿宋" w:cs="仿宋"/>
          <w:snapToGrid/>
          <w:kern w:val="2"/>
          <w:sz w:val="32"/>
          <w:szCs w:val="32"/>
          <w:lang w:val="en-US" w:eastAsia="zh-CN"/>
        </w:rPr>
        <w:t>1000万元及以上的建设工程项目</w:t>
      </w:r>
      <w:r>
        <w:rPr>
          <w:rFonts w:hint="eastAsia" w:ascii="仿宋" w:hAnsi="仿宋" w:eastAsia="仿宋" w:cs="仿宋"/>
          <w:snapToGrid/>
          <w:color w:val="auto"/>
          <w:kern w:val="2"/>
          <w:sz w:val="32"/>
          <w:szCs w:val="32"/>
          <w:highlight w:val="none"/>
        </w:rPr>
        <w:t>，</w:t>
      </w:r>
      <w:r>
        <w:rPr>
          <w:rFonts w:hint="eastAsia" w:ascii="仿宋" w:hAnsi="仿宋" w:eastAsia="仿宋" w:cs="仿宋"/>
          <w:strike w:val="0"/>
          <w:snapToGrid/>
          <w:color w:val="auto"/>
          <w:kern w:val="2"/>
          <w:sz w:val="32"/>
          <w:szCs w:val="32"/>
          <w:highlight w:val="none"/>
          <w:lang w:eastAsia="zh-CN"/>
        </w:rPr>
        <w:t>根据联审意见</w:t>
      </w: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由</w:t>
      </w:r>
      <w:r>
        <w:rPr>
          <w:rFonts w:hint="eastAsia" w:ascii="仿宋" w:hAnsi="仿宋" w:eastAsia="仿宋" w:cs="仿宋"/>
          <w:snapToGrid/>
          <w:color w:val="auto"/>
          <w:kern w:val="2"/>
          <w:sz w:val="32"/>
          <w:szCs w:val="32"/>
          <w:highlight w:val="none"/>
        </w:rPr>
        <w:t>概算审批部门进行概算审批。经批准的初步设计及核定的概算是项目实施建设和控制投资的依据，应当严格执行，原则上不得突破。</w:t>
      </w:r>
    </w:p>
    <w:p w14:paraId="42014900">
      <w:pPr>
        <w:adjustRightInd/>
        <w:snapToGrid/>
        <w:spacing w:after="0" w:line="580" w:lineRule="exact"/>
        <w:ind w:firstLine="643" w:firstLineChars="200"/>
        <w:jc w:val="both"/>
        <w:rPr>
          <w:rFonts w:ascii="仿宋" w:hAnsi="仿宋" w:eastAsia="仿宋" w:cs="宋体"/>
          <w:sz w:val="32"/>
          <w:szCs w:val="32"/>
          <w:highlight w:val="none"/>
        </w:rPr>
      </w:pPr>
      <w:r>
        <w:rPr>
          <w:rFonts w:hint="eastAsia" w:ascii="仿宋" w:hAnsi="仿宋" w:eastAsia="仿宋" w:cs="宋体"/>
          <w:b/>
          <w:sz w:val="32"/>
          <w:szCs w:val="32"/>
          <w:highlight w:val="none"/>
        </w:rPr>
        <w:t>第十</w:t>
      </w:r>
      <w:r>
        <w:rPr>
          <w:rFonts w:hint="eastAsia" w:ascii="仿宋" w:hAnsi="仿宋" w:eastAsia="仿宋" w:cs="宋体"/>
          <w:b/>
          <w:sz w:val="32"/>
          <w:szCs w:val="32"/>
          <w:highlight w:val="none"/>
          <w:lang w:val="en-US" w:eastAsia="zh-CN"/>
        </w:rPr>
        <w:t>七</w:t>
      </w:r>
      <w:r>
        <w:rPr>
          <w:rFonts w:hint="eastAsia" w:ascii="仿宋" w:hAnsi="仿宋" w:eastAsia="仿宋" w:cs="宋体"/>
          <w:b/>
          <w:sz w:val="32"/>
          <w:szCs w:val="32"/>
          <w:highlight w:val="none"/>
        </w:rPr>
        <w:t>条</w:t>
      </w:r>
      <w:r>
        <w:rPr>
          <w:rFonts w:hint="eastAsia" w:ascii="仿宋" w:hAnsi="仿宋" w:eastAsia="仿宋" w:cs="宋体"/>
          <w:b/>
          <w:sz w:val="32"/>
          <w:szCs w:val="32"/>
          <w:highlight w:val="none"/>
          <w:lang w:val="en-US" w:eastAsia="zh-CN"/>
        </w:rPr>
        <w:t xml:space="preserve">  </w:t>
      </w:r>
      <w:r>
        <w:rPr>
          <w:rFonts w:hint="eastAsia" w:ascii="仿宋" w:hAnsi="仿宋" w:eastAsia="仿宋" w:cs="宋体"/>
          <w:sz w:val="32"/>
          <w:szCs w:val="32"/>
          <w:highlight w:val="none"/>
        </w:rPr>
        <w:t>项目单位申请调整概算的，应提交以下申报材料：</w:t>
      </w:r>
    </w:p>
    <w:p w14:paraId="04834B9D">
      <w:pPr>
        <w:adjustRightInd/>
        <w:snapToGrid/>
        <w:spacing w:after="0" w:line="580" w:lineRule="exact"/>
        <w:ind w:firstLine="640" w:firstLineChars="200"/>
        <w:jc w:val="both"/>
        <w:rPr>
          <w:rFonts w:ascii="仿宋" w:hAnsi="仿宋" w:eastAsia="仿宋" w:cs="宋体"/>
          <w:sz w:val="32"/>
          <w:szCs w:val="32"/>
          <w:highlight w:val="none"/>
        </w:rPr>
      </w:pPr>
      <w:r>
        <w:rPr>
          <w:rFonts w:ascii="仿宋" w:hAnsi="仿宋" w:eastAsia="仿宋" w:cs="宋体"/>
          <w:sz w:val="32"/>
          <w:szCs w:val="32"/>
          <w:highlight w:val="none"/>
        </w:rPr>
        <w:t>1.</w:t>
      </w:r>
      <w:r>
        <w:rPr>
          <w:rFonts w:hint="eastAsia" w:ascii="仿宋" w:hAnsi="仿宋" w:eastAsia="仿宋" w:cs="宋体"/>
          <w:sz w:val="32"/>
          <w:szCs w:val="32"/>
          <w:highlight w:val="none"/>
        </w:rPr>
        <w:t>概算调整申请报告；</w:t>
      </w:r>
    </w:p>
    <w:p w14:paraId="72869C91">
      <w:pPr>
        <w:adjustRightInd/>
        <w:snapToGrid/>
        <w:spacing w:after="0" w:line="580" w:lineRule="exact"/>
        <w:ind w:firstLine="640" w:firstLineChars="200"/>
        <w:jc w:val="both"/>
        <w:rPr>
          <w:rFonts w:ascii="仿宋" w:hAnsi="仿宋" w:eastAsia="仿宋" w:cs="宋体"/>
          <w:sz w:val="32"/>
          <w:szCs w:val="32"/>
          <w:highlight w:val="none"/>
        </w:rPr>
      </w:pPr>
      <w:r>
        <w:rPr>
          <w:rFonts w:ascii="仿宋" w:hAnsi="仿宋" w:eastAsia="仿宋" w:cs="宋体"/>
          <w:sz w:val="32"/>
          <w:szCs w:val="32"/>
          <w:highlight w:val="none"/>
        </w:rPr>
        <w:t>2.</w:t>
      </w:r>
      <w:r>
        <w:rPr>
          <w:rFonts w:hint="eastAsia" w:ascii="仿宋" w:hAnsi="仿宋" w:eastAsia="仿宋" w:cs="宋体"/>
          <w:sz w:val="32"/>
          <w:szCs w:val="32"/>
          <w:highlight w:val="none"/>
        </w:rPr>
        <w:t>初步设计及概算批复文件；</w:t>
      </w:r>
    </w:p>
    <w:p w14:paraId="4FFD2CB3">
      <w:pPr>
        <w:adjustRightInd/>
        <w:snapToGrid/>
        <w:spacing w:after="0" w:line="580" w:lineRule="exact"/>
        <w:ind w:firstLine="640" w:firstLineChars="200"/>
        <w:jc w:val="both"/>
        <w:rPr>
          <w:rFonts w:ascii="仿宋" w:hAnsi="仿宋" w:eastAsia="仿宋" w:cs="宋体"/>
          <w:sz w:val="32"/>
          <w:szCs w:val="32"/>
          <w:highlight w:val="none"/>
        </w:rPr>
      </w:pPr>
      <w:r>
        <w:rPr>
          <w:rFonts w:ascii="仿宋" w:hAnsi="仿宋" w:eastAsia="仿宋" w:cs="宋体"/>
          <w:sz w:val="32"/>
          <w:szCs w:val="32"/>
          <w:highlight w:val="none"/>
        </w:rPr>
        <w:t>3.</w:t>
      </w:r>
      <w:r>
        <w:rPr>
          <w:rFonts w:hint="eastAsia" w:ascii="仿宋" w:hAnsi="仿宋" w:eastAsia="仿宋" w:cs="宋体"/>
          <w:sz w:val="32"/>
          <w:szCs w:val="32"/>
          <w:highlight w:val="none"/>
        </w:rPr>
        <w:t>由具备相应资质单位编制的调整概算书，调整概算与原批复概算对比表，并分类定量说明调整概算的原因、依据和计算方法；</w:t>
      </w:r>
    </w:p>
    <w:p w14:paraId="688E7771">
      <w:pPr>
        <w:adjustRightInd/>
        <w:snapToGrid/>
        <w:spacing w:after="0" w:line="580" w:lineRule="exact"/>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4</w:t>
      </w:r>
      <w:r>
        <w:rPr>
          <w:rFonts w:ascii="仿宋" w:hAnsi="仿宋" w:eastAsia="仿宋" w:cs="宋体"/>
          <w:sz w:val="32"/>
          <w:szCs w:val="32"/>
          <w:highlight w:val="none"/>
        </w:rPr>
        <w:t>.</w:t>
      </w:r>
      <w:r>
        <w:rPr>
          <w:rFonts w:hint="eastAsia" w:ascii="仿宋" w:hAnsi="仿宋" w:eastAsia="仿宋" w:cs="宋体"/>
          <w:sz w:val="32"/>
          <w:szCs w:val="32"/>
          <w:highlight w:val="none"/>
        </w:rPr>
        <w:t>与概算调整相关的政府或财政、行业主管等相关部门的意见、文件、会议纪要等，与调整概算有关的招投标文件、合同及合同补充协议等；</w:t>
      </w:r>
    </w:p>
    <w:p w14:paraId="7D06C556">
      <w:pPr>
        <w:adjustRightInd/>
        <w:snapToGrid/>
        <w:spacing w:after="0" w:line="580" w:lineRule="exact"/>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5</w:t>
      </w:r>
      <w:r>
        <w:rPr>
          <w:rFonts w:ascii="仿宋" w:hAnsi="仿宋" w:eastAsia="仿宋" w:cs="宋体"/>
          <w:sz w:val="32"/>
          <w:szCs w:val="32"/>
          <w:highlight w:val="none"/>
        </w:rPr>
        <w:t>.</w:t>
      </w:r>
      <w:r>
        <w:rPr>
          <w:rFonts w:hint="eastAsia" w:ascii="仿宋" w:hAnsi="仿宋" w:eastAsia="仿宋" w:cs="宋体"/>
          <w:sz w:val="32"/>
          <w:szCs w:val="32"/>
          <w:highlight w:val="none"/>
        </w:rPr>
        <w:t>施工图设计及预算文件；</w:t>
      </w:r>
    </w:p>
    <w:p w14:paraId="59A54373">
      <w:pPr>
        <w:adjustRightInd/>
        <w:snapToGrid/>
        <w:spacing w:after="0" w:line="580" w:lineRule="exact"/>
        <w:ind w:firstLine="640" w:firstLineChars="200"/>
        <w:jc w:val="both"/>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6</w:t>
      </w:r>
      <w:r>
        <w:rPr>
          <w:rFonts w:ascii="仿宋" w:hAnsi="仿宋" w:eastAsia="仿宋" w:cs="宋体"/>
          <w:sz w:val="32"/>
          <w:szCs w:val="32"/>
          <w:highlight w:val="none"/>
        </w:rPr>
        <w:t>.</w:t>
      </w:r>
      <w:r>
        <w:rPr>
          <w:rFonts w:hint="eastAsia" w:ascii="仿宋" w:hAnsi="仿宋" w:eastAsia="仿宋" w:cs="宋体"/>
          <w:sz w:val="32"/>
          <w:szCs w:val="32"/>
          <w:highlight w:val="none"/>
        </w:rPr>
        <w:t>调整概算所需的其他材料。</w:t>
      </w:r>
    </w:p>
    <w:p w14:paraId="42EC879A">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十八</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项目单位按照批准的初步设计及概算进行施工图设计，并按规定组织编制项目施工图预算(最高投标限价)报财政部门评审，施工图预算(最高投标限价)不得超过批复概算的建安工程费用。</w:t>
      </w:r>
    </w:p>
    <w:p w14:paraId="53B78AEF">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十九</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对于建设内容单一、投资规模较小、技术方案简单且不需要新增建设用地的政府投资项目</w:t>
      </w:r>
      <w:r>
        <w:rPr>
          <w:rFonts w:hint="eastAsia" w:ascii="仿宋" w:hAnsi="仿宋" w:eastAsia="仿宋" w:cs="仿宋"/>
          <w:snapToGrid/>
          <w:color w:val="auto"/>
          <w:kern w:val="2"/>
          <w:sz w:val="32"/>
          <w:szCs w:val="32"/>
          <w:highlight w:val="none"/>
          <w:lang w:val="en-US" w:eastAsia="zh-CN"/>
        </w:rPr>
        <w:t>应当</w:t>
      </w:r>
      <w:r>
        <w:rPr>
          <w:rFonts w:hint="eastAsia" w:ascii="仿宋" w:hAnsi="仿宋" w:eastAsia="仿宋" w:cs="仿宋"/>
          <w:snapToGrid/>
          <w:color w:val="auto"/>
          <w:kern w:val="2"/>
          <w:sz w:val="32"/>
          <w:szCs w:val="32"/>
          <w:highlight w:val="none"/>
        </w:rPr>
        <w:t>优化审批</w:t>
      </w:r>
      <w:r>
        <w:rPr>
          <w:rFonts w:hint="eastAsia" w:ascii="仿宋" w:hAnsi="仿宋" w:eastAsia="仿宋" w:cs="仿宋"/>
          <w:snapToGrid/>
          <w:color w:val="auto"/>
          <w:kern w:val="2"/>
          <w:sz w:val="32"/>
          <w:szCs w:val="32"/>
          <w:highlight w:val="none"/>
          <w:lang w:eastAsia="zh-CN"/>
        </w:rPr>
        <w:t>（立项）</w:t>
      </w:r>
      <w:r>
        <w:rPr>
          <w:rFonts w:hint="eastAsia" w:ascii="仿宋" w:hAnsi="仿宋" w:eastAsia="仿宋" w:cs="仿宋"/>
          <w:snapToGrid/>
          <w:color w:val="auto"/>
          <w:kern w:val="2"/>
          <w:sz w:val="32"/>
          <w:szCs w:val="32"/>
          <w:highlight w:val="none"/>
        </w:rPr>
        <w:t>流程。</w:t>
      </w:r>
    </w:p>
    <w:p w14:paraId="4DB73E18">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rPr>
      </w:pPr>
      <w:r>
        <w:rPr>
          <w:rFonts w:hint="eastAsia" w:ascii="仿宋" w:hAnsi="仿宋" w:eastAsia="仿宋" w:cs="仿宋"/>
          <w:snapToGrid/>
          <w:kern w:val="2"/>
          <w:sz w:val="32"/>
          <w:szCs w:val="32"/>
        </w:rPr>
        <w:t>（一）总投资</w:t>
      </w:r>
      <w:r>
        <w:rPr>
          <w:rFonts w:hint="eastAsia" w:ascii="仿宋" w:hAnsi="仿宋" w:eastAsia="仿宋" w:cs="仿宋"/>
          <w:snapToGrid/>
          <w:kern w:val="2"/>
          <w:sz w:val="32"/>
          <w:szCs w:val="32"/>
          <w:lang w:val="en-US" w:eastAsia="zh-CN"/>
        </w:rPr>
        <w:t>20万元及以上</w:t>
      </w:r>
      <w:r>
        <w:rPr>
          <w:rFonts w:hint="eastAsia" w:ascii="仿宋" w:hAnsi="仿宋" w:eastAsia="仿宋" w:cs="仿宋"/>
          <w:snapToGrid/>
          <w:kern w:val="2"/>
          <w:sz w:val="32"/>
          <w:szCs w:val="32"/>
        </w:rPr>
        <w:t>60万元以下</w:t>
      </w:r>
      <w:r>
        <w:rPr>
          <w:rFonts w:hint="eastAsia" w:ascii="仿宋" w:hAnsi="仿宋" w:eastAsia="仿宋" w:cs="仿宋"/>
          <w:snapToGrid/>
          <w:kern w:val="2"/>
          <w:sz w:val="32"/>
          <w:szCs w:val="32"/>
          <w:lang w:eastAsia="zh-CN"/>
        </w:rPr>
        <w:t>的项目，</w:t>
      </w:r>
      <w:r>
        <w:rPr>
          <w:rFonts w:hint="eastAsia" w:ascii="仿宋" w:hAnsi="仿宋" w:eastAsia="仿宋" w:cs="仿宋"/>
          <w:snapToGrid/>
          <w:kern w:val="2"/>
          <w:sz w:val="32"/>
          <w:szCs w:val="32"/>
        </w:rPr>
        <w:t>已明确资金来源且原则上在部门经费预算总额范围内统筹解决的项目</w:t>
      </w:r>
      <w:r>
        <w:rPr>
          <w:rFonts w:hint="eastAsia" w:ascii="仿宋" w:hAnsi="仿宋" w:eastAsia="仿宋" w:cs="仿宋"/>
          <w:snapToGrid/>
          <w:kern w:val="2"/>
          <w:sz w:val="32"/>
          <w:szCs w:val="32"/>
          <w:lang w:eastAsia="zh-CN"/>
        </w:rPr>
        <w:t>，</w:t>
      </w:r>
      <w:r>
        <w:rPr>
          <w:rFonts w:hint="eastAsia" w:ascii="仿宋" w:hAnsi="仿宋" w:eastAsia="仿宋" w:cs="仿宋"/>
          <w:snapToGrid/>
          <w:kern w:val="2"/>
          <w:sz w:val="32"/>
          <w:szCs w:val="32"/>
          <w:lang w:val="en-US" w:eastAsia="zh-CN"/>
        </w:rPr>
        <w:t>报县发改局实行小额投资项目备案</w:t>
      </w:r>
      <w:r>
        <w:rPr>
          <w:rFonts w:hint="eastAsia" w:ascii="仿宋" w:hAnsi="仿宋" w:eastAsia="仿宋" w:cs="仿宋"/>
          <w:snapToGrid/>
          <w:kern w:val="2"/>
          <w:sz w:val="32"/>
          <w:szCs w:val="32"/>
        </w:rPr>
        <w:t>，</w:t>
      </w:r>
      <w:r>
        <w:rPr>
          <w:rFonts w:hint="eastAsia" w:ascii="仿宋" w:hAnsi="仿宋" w:eastAsia="仿宋" w:cs="仿宋"/>
          <w:strike w:val="0"/>
          <w:snapToGrid/>
          <w:kern w:val="2"/>
          <w:sz w:val="32"/>
          <w:szCs w:val="32"/>
          <w:lang w:eastAsia="zh-CN"/>
        </w:rPr>
        <w:t>并参照</w:t>
      </w:r>
      <w:r>
        <w:rPr>
          <w:rFonts w:hint="eastAsia" w:ascii="仿宋" w:hAnsi="仿宋" w:eastAsia="仿宋" w:cs="仿宋"/>
          <w:snapToGrid/>
          <w:kern w:val="2"/>
          <w:sz w:val="32"/>
          <w:szCs w:val="32"/>
        </w:rPr>
        <w:t>政府采购有关规定执行。</w:t>
      </w:r>
    </w:p>
    <w:p w14:paraId="0EBCE775">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lang w:eastAsia="zh-CN"/>
        </w:rPr>
      </w:pPr>
      <w:r>
        <w:rPr>
          <w:rFonts w:hint="eastAsia" w:ascii="仿宋" w:hAnsi="仿宋" w:eastAsia="仿宋" w:cs="仿宋"/>
          <w:snapToGrid/>
          <w:kern w:val="2"/>
          <w:sz w:val="32"/>
          <w:szCs w:val="32"/>
          <w:highlight w:val="none"/>
        </w:rPr>
        <w:t>（二）</w:t>
      </w:r>
      <w:r>
        <w:rPr>
          <w:rFonts w:hint="eastAsia" w:ascii="仿宋" w:hAnsi="仿宋" w:eastAsia="仿宋" w:cs="仿宋"/>
          <w:strike w:val="0"/>
          <w:snapToGrid/>
          <w:kern w:val="2"/>
          <w:sz w:val="32"/>
          <w:szCs w:val="32"/>
          <w:highlight w:val="none"/>
        </w:rPr>
        <w:t>总投资60万元及以上</w:t>
      </w:r>
      <w:r>
        <w:rPr>
          <w:rFonts w:hint="eastAsia" w:ascii="仿宋" w:hAnsi="仿宋" w:eastAsia="仿宋" w:cs="仿宋"/>
          <w:strike w:val="0"/>
          <w:snapToGrid/>
          <w:kern w:val="2"/>
          <w:sz w:val="32"/>
          <w:szCs w:val="32"/>
          <w:highlight w:val="none"/>
          <w:lang w:val="en-US" w:eastAsia="zh-CN"/>
        </w:rPr>
        <w:t>400</w:t>
      </w:r>
      <w:r>
        <w:rPr>
          <w:rFonts w:hint="eastAsia" w:ascii="仿宋" w:hAnsi="仿宋" w:eastAsia="仿宋" w:cs="仿宋"/>
          <w:snapToGrid/>
          <w:kern w:val="2"/>
          <w:sz w:val="32"/>
          <w:szCs w:val="32"/>
          <w:highlight w:val="none"/>
        </w:rPr>
        <w:t>万元以下的项目</w:t>
      </w:r>
      <w:r>
        <w:rPr>
          <w:rFonts w:hint="eastAsia" w:ascii="仿宋" w:hAnsi="仿宋" w:eastAsia="仿宋" w:cs="仿宋"/>
          <w:snapToGrid/>
          <w:kern w:val="2"/>
          <w:sz w:val="32"/>
          <w:szCs w:val="32"/>
          <w:highlight w:val="none"/>
          <w:lang w:eastAsia="zh-CN"/>
        </w:rPr>
        <w:t>，</w:t>
      </w:r>
      <w:r>
        <w:rPr>
          <w:rFonts w:hint="eastAsia" w:ascii="仿宋" w:hAnsi="仿宋" w:eastAsia="仿宋" w:cs="仿宋"/>
          <w:snapToGrid/>
          <w:kern w:val="2"/>
          <w:sz w:val="32"/>
          <w:szCs w:val="32"/>
          <w:highlight w:val="none"/>
        </w:rPr>
        <w:t>可以实行“一阶段设计”(初步设计与施工图设计合一)</w:t>
      </w:r>
      <w:r>
        <w:rPr>
          <w:rFonts w:hint="eastAsia" w:ascii="仿宋" w:hAnsi="仿宋" w:eastAsia="仿宋" w:cs="仿宋"/>
          <w:snapToGrid/>
          <w:kern w:val="2"/>
          <w:sz w:val="32"/>
          <w:szCs w:val="32"/>
        </w:rPr>
        <w:t>,不再报批初步设计和概算(涉及公共安全的项目除外),按相关规定完成施工图设计审查和预算评审，其建设投资按批复的总投资估算进行控制</w:t>
      </w:r>
      <w:r>
        <w:rPr>
          <w:rFonts w:hint="eastAsia" w:ascii="仿宋" w:hAnsi="仿宋" w:eastAsia="仿宋" w:cs="仿宋"/>
          <w:snapToGrid/>
          <w:kern w:val="2"/>
          <w:sz w:val="32"/>
          <w:szCs w:val="32"/>
          <w:lang w:eastAsia="zh-CN"/>
        </w:rPr>
        <w:t>。</w:t>
      </w:r>
    </w:p>
    <w:p w14:paraId="660521CF">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highlight w:val="none"/>
          <w:lang w:val="en-US" w:eastAsia="zh-CN"/>
        </w:rPr>
      </w:pPr>
      <w:r>
        <w:rPr>
          <w:rFonts w:hint="eastAsia" w:ascii="仿宋" w:hAnsi="仿宋" w:eastAsia="仿宋" w:cs="仿宋"/>
          <w:strike w:val="0"/>
          <w:snapToGrid/>
          <w:kern w:val="2"/>
          <w:sz w:val="32"/>
          <w:szCs w:val="32"/>
          <w:lang w:eastAsia="zh-CN"/>
        </w:rPr>
        <w:t>（三）</w:t>
      </w:r>
      <w:r>
        <w:rPr>
          <w:rFonts w:hint="eastAsia" w:ascii="仿宋" w:hAnsi="仿宋" w:eastAsia="仿宋" w:cs="仿宋"/>
          <w:snapToGrid/>
          <w:kern w:val="2"/>
          <w:sz w:val="32"/>
          <w:szCs w:val="32"/>
          <w:highlight w:val="none"/>
        </w:rPr>
        <w:t>总投资</w:t>
      </w:r>
      <w:r>
        <w:rPr>
          <w:rFonts w:hint="eastAsia" w:ascii="仿宋" w:hAnsi="仿宋" w:eastAsia="仿宋" w:cs="仿宋"/>
          <w:snapToGrid/>
          <w:kern w:val="2"/>
          <w:sz w:val="32"/>
          <w:szCs w:val="32"/>
          <w:highlight w:val="none"/>
          <w:lang w:val="en-US" w:eastAsia="zh-CN"/>
        </w:rPr>
        <w:t>60万及以上100</w:t>
      </w:r>
      <w:r>
        <w:rPr>
          <w:rFonts w:hint="eastAsia" w:ascii="仿宋" w:hAnsi="仿宋" w:eastAsia="仿宋" w:cs="仿宋"/>
          <w:snapToGrid/>
          <w:kern w:val="2"/>
          <w:sz w:val="32"/>
          <w:szCs w:val="32"/>
          <w:highlight w:val="none"/>
        </w:rPr>
        <w:t>万元以下的项目</w:t>
      </w:r>
      <w:r>
        <w:rPr>
          <w:rFonts w:hint="eastAsia" w:ascii="仿宋" w:hAnsi="仿宋" w:eastAsia="仿宋" w:cs="仿宋"/>
          <w:snapToGrid/>
          <w:kern w:val="2"/>
          <w:sz w:val="32"/>
          <w:szCs w:val="32"/>
          <w:highlight w:val="none"/>
          <w:lang w:eastAsia="zh-CN"/>
        </w:rPr>
        <w:t>，</w:t>
      </w:r>
      <w:r>
        <w:rPr>
          <w:rFonts w:hint="eastAsia" w:ascii="仿宋" w:hAnsi="仿宋" w:eastAsia="仿宋" w:cs="仿宋"/>
          <w:strike w:val="0"/>
          <w:snapToGrid/>
          <w:kern w:val="2"/>
          <w:sz w:val="32"/>
          <w:szCs w:val="32"/>
          <w:highlight w:val="none"/>
        </w:rPr>
        <w:t>可</w:t>
      </w:r>
      <w:r>
        <w:rPr>
          <w:rFonts w:hint="eastAsia" w:ascii="仿宋" w:hAnsi="仿宋" w:eastAsia="仿宋" w:cs="仿宋"/>
          <w:strike w:val="0"/>
          <w:snapToGrid/>
          <w:kern w:val="2"/>
          <w:sz w:val="32"/>
          <w:szCs w:val="32"/>
          <w:highlight w:val="none"/>
          <w:lang w:eastAsia="zh-CN"/>
        </w:rPr>
        <w:t>编制项目实施方案</w:t>
      </w:r>
      <w:r>
        <w:rPr>
          <w:rFonts w:hint="eastAsia" w:ascii="仿宋" w:hAnsi="仿宋" w:eastAsia="仿宋" w:cs="仿宋"/>
          <w:snapToGrid/>
          <w:kern w:val="2"/>
          <w:sz w:val="32"/>
          <w:szCs w:val="32"/>
          <w:highlight w:val="none"/>
        </w:rPr>
        <w:t>，重点阐述项目建设的必要性、建设依据、建设内容及规模、建设方案、投资估算和资金来源等</w:t>
      </w:r>
      <w:r>
        <w:rPr>
          <w:rFonts w:hint="eastAsia" w:ascii="仿宋" w:hAnsi="仿宋" w:eastAsia="仿宋" w:cs="仿宋"/>
          <w:snapToGrid/>
          <w:kern w:val="2"/>
          <w:sz w:val="32"/>
          <w:szCs w:val="32"/>
          <w:highlight w:val="none"/>
          <w:lang w:eastAsia="zh-CN"/>
        </w:rPr>
        <w:t>；</w:t>
      </w:r>
      <w:r>
        <w:rPr>
          <w:rFonts w:hint="eastAsia" w:ascii="仿宋" w:hAnsi="仿宋" w:eastAsia="仿宋" w:cs="仿宋"/>
          <w:snapToGrid/>
          <w:kern w:val="2"/>
          <w:sz w:val="32"/>
          <w:szCs w:val="32"/>
          <w:highlight w:val="none"/>
          <w:lang w:val="en-US" w:eastAsia="zh-CN"/>
        </w:rPr>
        <w:t>100</w:t>
      </w:r>
      <w:r>
        <w:rPr>
          <w:rFonts w:hint="eastAsia" w:ascii="仿宋" w:hAnsi="仿宋" w:eastAsia="仿宋" w:cs="仿宋"/>
          <w:snapToGrid/>
          <w:kern w:val="2"/>
          <w:sz w:val="32"/>
          <w:szCs w:val="32"/>
          <w:highlight w:val="none"/>
        </w:rPr>
        <w:t>万元</w:t>
      </w:r>
      <w:r>
        <w:rPr>
          <w:rFonts w:hint="eastAsia" w:ascii="仿宋" w:hAnsi="仿宋" w:eastAsia="仿宋" w:cs="仿宋"/>
          <w:snapToGrid/>
          <w:kern w:val="2"/>
          <w:sz w:val="32"/>
          <w:szCs w:val="32"/>
          <w:highlight w:val="none"/>
          <w:lang w:eastAsia="zh-CN"/>
        </w:rPr>
        <w:t>及</w:t>
      </w:r>
      <w:r>
        <w:rPr>
          <w:rFonts w:hint="eastAsia" w:ascii="仿宋" w:hAnsi="仿宋" w:eastAsia="仿宋" w:cs="仿宋"/>
          <w:snapToGrid/>
          <w:kern w:val="2"/>
          <w:sz w:val="32"/>
          <w:szCs w:val="32"/>
          <w:highlight w:val="none"/>
        </w:rPr>
        <w:t>以</w:t>
      </w:r>
      <w:r>
        <w:rPr>
          <w:rFonts w:hint="eastAsia" w:ascii="仿宋" w:hAnsi="仿宋" w:eastAsia="仿宋" w:cs="仿宋"/>
          <w:snapToGrid/>
          <w:kern w:val="2"/>
          <w:sz w:val="32"/>
          <w:szCs w:val="32"/>
          <w:highlight w:val="none"/>
          <w:lang w:eastAsia="zh-CN"/>
        </w:rPr>
        <w:t>上</w:t>
      </w:r>
      <w:r>
        <w:rPr>
          <w:rFonts w:hint="eastAsia" w:ascii="仿宋" w:hAnsi="仿宋" w:eastAsia="仿宋" w:cs="仿宋"/>
          <w:snapToGrid/>
          <w:kern w:val="2"/>
          <w:sz w:val="32"/>
          <w:szCs w:val="32"/>
          <w:highlight w:val="none"/>
        </w:rPr>
        <w:t>的项目</w:t>
      </w:r>
      <w:r>
        <w:rPr>
          <w:rFonts w:hint="eastAsia" w:ascii="仿宋" w:hAnsi="仿宋" w:eastAsia="仿宋" w:cs="仿宋"/>
          <w:snapToGrid/>
          <w:kern w:val="2"/>
          <w:sz w:val="32"/>
          <w:szCs w:val="32"/>
          <w:highlight w:val="none"/>
          <w:lang w:eastAsia="zh-CN"/>
        </w:rPr>
        <w:t>，</w:t>
      </w:r>
      <w:r>
        <w:rPr>
          <w:rFonts w:hint="eastAsia" w:ascii="仿宋" w:hAnsi="仿宋" w:eastAsia="仿宋" w:cs="仿宋"/>
          <w:snapToGrid/>
          <w:kern w:val="2"/>
          <w:sz w:val="32"/>
          <w:szCs w:val="32"/>
          <w:highlight w:val="none"/>
          <w:lang w:val="en-US" w:eastAsia="zh-CN"/>
        </w:rPr>
        <w:t>项目单位应当委托具备乙级及以上工程咨询机构编制可行性研究报告（项目单位具备相应资质的，也可自行编制项目可行性研究报告），</w:t>
      </w:r>
      <w:r>
        <w:rPr>
          <w:rFonts w:hint="eastAsia" w:eastAsia="仿宋"/>
          <w:sz w:val="30"/>
          <w:szCs w:val="30"/>
        </w:rPr>
        <w:t>编制</w:t>
      </w:r>
      <w:r>
        <w:rPr>
          <w:rFonts w:hint="eastAsia" w:eastAsia="仿宋"/>
          <w:sz w:val="30"/>
          <w:szCs w:val="30"/>
          <w:lang w:eastAsia="zh-CN"/>
        </w:rPr>
        <w:t>的</w:t>
      </w:r>
      <w:r>
        <w:rPr>
          <w:rFonts w:hint="eastAsia" w:eastAsia="仿宋"/>
          <w:sz w:val="30"/>
          <w:szCs w:val="30"/>
        </w:rPr>
        <w:t>格式、内容和深度应当达到规定</w:t>
      </w:r>
      <w:r>
        <w:rPr>
          <w:rFonts w:hint="eastAsia" w:eastAsia="仿宋"/>
          <w:sz w:val="30"/>
          <w:szCs w:val="30"/>
          <w:lang w:eastAsia="zh-CN"/>
        </w:rPr>
        <w:t>的</w:t>
      </w:r>
      <w:r>
        <w:rPr>
          <w:rFonts w:hint="eastAsia" w:eastAsia="仿宋"/>
          <w:sz w:val="30"/>
          <w:szCs w:val="30"/>
        </w:rPr>
        <w:t>要求</w:t>
      </w:r>
      <w:r>
        <w:rPr>
          <w:rFonts w:hint="eastAsia" w:ascii="仿宋" w:hAnsi="仿宋" w:eastAsia="仿宋" w:cs="仿宋"/>
          <w:snapToGrid/>
          <w:kern w:val="2"/>
          <w:sz w:val="32"/>
          <w:szCs w:val="32"/>
          <w:highlight w:val="none"/>
          <w:lang w:val="en-US" w:eastAsia="zh-CN"/>
        </w:rPr>
        <w:t>。</w:t>
      </w:r>
    </w:p>
    <w:p w14:paraId="57953025">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 xml:space="preserve">第二十条  </w:t>
      </w:r>
      <w:r>
        <w:rPr>
          <w:rFonts w:hint="eastAsia" w:ascii="仿宋" w:hAnsi="仿宋" w:eastAsia="仿宋" w:cs="仿宋"/>
          <w:snapToGrid/>
          <w:color w:val="auto"/>
          <w:kern w:val="2"/>
          <w:sz w:val="32"/>
          <w:szCs w:val="32"/>
          <w:highlight w:val="none"/>
        </w:rPr>
        <w:t>规范应急抢险救灾工程审批管理。应急抢险救灾工程是指县级行政区域内因自然灾害、突发事件引发，存在重大安全隐患，可能造成或者已经造成严重危害，必须立即采取紧急措施的工程。主要包括：因自然灾害和其他不可抗力引起的水土保持、环境保护及绿化、火灾的抢险修复工程；防汛、排涝等水务设施的抢险加固工程；崩塌、地面塌陷、地面沉降等地质灾害抢险治理工程；道路、桥梁、轨道交通等交通设施抢通、保通、修复、临时处置及技术评估等工程；房屋建筑和市政、环卫等公共设施的抢险修复工程。</w:t>
      </w:r>
    </w:p>
    <w:p w14:paraId="4C3B64E7">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kern w:val="2"/>
          <w:sz w:val="32"/>
          <w:szCs w:val="32"/>
        </w:rPr>
        <w:t>（一）工程认定及其建设主体、建设范围、建设内容、设计方案、投资规模和资金来源等，由行业主管部门报县人民政府分管副县长和常务副县长</w:t>
      </w:r>
      <w:r>
        <w:rPr>
          <w:rFonts w:hint="eastAsia" w:ascii="仿宋" w:hAnsi="仿宋" w:eastAsia="仿宋" w:cs="仿宋"/>
          <w:snapToGrid/>
          <w:kern w:val="2"/>
          <w:sz w:val="32"/>
          <w:szCs w:val="32"/>
          <w:lang w:eastAsia="zh-CN"/>
        </w:rPr>
        <w:t>批示</w:t>
      </w:r>
      <w:r>
        <w:rPr>
          <w:rFonts w:hint="eastAsia" w:ascii="仿宋" w:hAnsi="仿宋" w:eastAsia="仿宋" w:cs="仿宋"/>
          <w:snapToGrid/>
          <w:kern w:val="2"/>
          <w:sz w:val="32"/>
          <w:szCs w:val="32"/>
        </w:rPr>
        <w:t>确定</w:t>
      </w:r>
      <w:r>
        <w:rPr>
          <w:rFonts w:hint="eastAsia" w:ascii="仿宋" w:hAnsi="仿宋" w:eastAsia="仿宋" w:cs="仿宋"/>
          <w:snapToGrid/>
          <w:kern w:val="2"/>
          <w:sz w:val="32"/>
          <w:szCs w:val="32"/>
          <w:lang w:eastAsia="zh-CN"/>
        </w:rPr>
        <w:t>，或通过会议决议确定。</w:t>
      </w:r>
    </w:p>
    <w:p w14:paraId="3B098E7A">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（二）相关部门应当在职责范围内对规划、立项、设计、用地、施工许可等相关行政审批(许可)程序予以简化，加快办理。</w:t>
      </w:r>
    </w:p>
    <w:p w14:paraId="483E3AEB">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三）如不采取紧急措施将发生严重危害或者危害结果进一步扩大、需要立即开工的项目，行业主管部门可立即安排处险，同时将设计方案和投资规模报县人民政府分管副县长和常务副县长同意，事后按要求完善相关行政审批手续并提供影像等佐证资料。</w:t>
      </w:r>
    </w:p>
    <w:p w14:paraId="6E58A3E4">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（四）项目单位在行业主管部门的监督下，可先采取直接委托或招标方式选取具备相应资质的勘察、设计、监理、施工单位，签订框架合同后组织实施。确因情况紧急未签订框架合同的，应当自工程</w:t>
      </w:r>
      <w:r>
        <w:rPr>
          <w:rFonts w:hint="eastAsia" w:ascii="仿宋" w:hAnsi="仿宋" w:eastAsia="仿宋" w:cs="仿宋"/>
          <w:snapToGrid/>
          <w:color w:val="auto"/>
          <w:kern w:val="2"/>
          <w:sz w:val="32"/>
          <w:szCs w:val="32"/>
          <w:highlight w:val="none"/>
          <w:lang w:val="en-US" w:eastAsia="zh-CN"/>
        </w:rPr>
        <w:t>开始</w:t>
      </w:r>
      <w:r>
        <w:rPr>
          <w:rFonts w:hint="eastAsia" w:ascii="仿宋" w:hAnsi="仿宋" w:eastAsia="仿宋" w:cs="仿宋"/>
          <w:snapToGrid/>
          <w:color w:val="auto"/>
          <w:kern w:val="2"/>
          <w:sz w:val="32"/>
          <w:szCs w:val="32"/>
          <w:highlight w:val="none"/>
        </w:rPr>
        <w:t>实施之日起15个工作日内补签合同，明确施工单位、工程量、工程费用、验收标准及质量保修责任等内容。</w:t>
      </w:r>
    </w:p>
    <w:p w14:paraId="186BCD96">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（五）如采取邀请方式招标的，应按相关规定履行审批。</w:t>
      </w:r>
    </w:p>
    <w:p w14:paraId="5B54CAFC">
      <w:pPr>
        <w:widowControl w:val="0"/>
        <w:kinsoku/>
        <w:autoSpaceDE/>
        <w:autoSpaceDN/>
        <w:adjustRightInd/>
        <w:snapToGrid/>
        <w:spacing w:line="560" w:lineRule="exact"/>
        <w:ind w:firstLine="640" w:firstLineChars="200"/>
        <w:jc w:val="both"/>
        <w:textAlignment w:val="center"/>
        <w:rPr>
          <w:rFonts w:hint="eastAsia" w:ascii="仿宋" w:hAnsi="仿宋" w:eastAsia="仿宋" w:cs="仿宋"/>
          <w:b w:val="0"/>
          <w:bCs w:val="0"/>
          <w:snapToGrid/>
          <w:color w:val="auto"/>
          <w:kern w:val="2"/>
          <w:sz w:val="32"/>
          <w:szCs w:val="32"/>
          <w:highlight w:val="none"/>
          <w:u w:val="none"/>
          <w:lang w:val="en-US" w:eastAsia="zh-CN"/>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六</w:t>
      </w:r>
      <w:r>
        <w:rPr>
          <w:rFonts w:hint="eastAsia" w:ascii="仿宋" w:hAnsi="仿宋" w:eastAsia="仿宋" w:cs="仿宋"/>
          <w:snapToGrid/>
          <w:color w:val="auto"/>
          <w:kern w:val="2"/>
          <w:sz w:val="32"/>
          <w:szCs w:val="32"/>
          <w:highlight w:val="none"/>
        </w:rPr>
        <w:t>）使用财政性资金的工程建设费用实行国库集中支付</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对需支付预付款</w:t>
      </w:r>
      <w:r>
        <w:rPr>
          <w:rFonts w:hint="eastAsia" w:ascii="仿宋" w:hAnsi="仿宋" w:eastAsia="仿宋" w:cs="仿宋"/>
          <w:snapToGrid/>
          <w:color w:val="auto"/>
          <w:kern w:val="2"/>
          <w:sz w:val="32"/>
          <w:szCs w:val="32"/>
          <w:highlight w:val="none"/>
          <w:lang w:val="en-US" w:eastAsia="zh-CN"/>
        </w:rPr>
        <w:t>10%以上</w:t>
      </w:r>
      <w:r>
        <w:rPr>
          <w:rFonts w:hint="eastAsia" w:ascii="仿宋" w:hAnsi="仿宋" w:eastAsia="仿宋" w:cs="仿宋"/>
          <w:snapToGrid/>
          <w:color w:val="auto"/>
          <w:kern w:val="2"/>
          <w:sz w:val="32"/>
          <w:szCs w:val="32"/>
          <w:highlight w:val="none"/>
        </w:rPr>
        <w:t>的，经县人民政府常务副县长批准后，由财政部门开辟绿色通道，支付不超过合同额30%的预付款。</w:t>
      </w:r>
      <w:r>
        <w:rPr>
          <w:rFonts w:hint="eastAsia" w:ascii="仿宋" w:hAnsi="仿宋" w:eastAsia="仿宋" w:cs="仿宋"/>
          <w:b w:val="0"/>
          <w:bCs w:val="0"/>
          <w:snapToGrid/>
          <w:color w:val="auto"/>
          <w:kern w:val="2"/>
          <w:sz w:val="32"/>
          <w:szCs w:val="32"/>
          <w:highlight w:val="none"/>
          <w:u w:val="none"/>
        </w:rPr>
        <w:t>项目完工后，项目单位按程序将工程费及勘察、设计、监理、抢险措施等其他费用报财政部门</w:t>
      </w:r>
      <w:r>
        <w:rPr>
          <w:rFonts w:hint="eastAsia" w:ascii="仿宋" w:hAnsi="仿宋" w:eastAsia="仿宋" w:cs="仿宋"/>
          <w:b w:val="0"/>
          <w:bCs w:val="0"/>
          <w:snapToGrid/>
          <w:color w:val="auto"/>
          <w:kern w:val="2"/>
          <w:sz w:val="32"/>
          <w:szCs w:val="32"/>
          <w:highlight w:val="none"/>
          <w:u w:val="none"/>
          <w:lang w:eastAsia="zh-CN"/>
        </w:rPr>
        <w:t>审核</w:t>
      </w:r>
      <w:r>
        <w:rPr>
          <w:rFonts w:hint="eastAsia" w:ascii="仿宋" w:hAnsi="仿宋" w:eastAsia="仿宋" w:cs="仿宋"/>
          <w:b w:val="0"/>
          <w:bCs w:val="0"/>
          <w:snapToGrid/>
          <w:color w:val="auto"/>
          <w:kern w:val="2"/>
          <w:sz w:val="32"/>
          <w:szCs w:val="32"/>
          <w:highlight w:val="none"/>
          <w:u w:val="none"/>
        </w:rPr>
        <w:t>后</w:t>
      </w:r>
      <w:r>
        <w:rPr>
          <w:rFonts w:hint="eastAsia" w:ascii="仿宋" w:hAnsi="仿宋" w:eastAsia="仿宋" w:cs="仿宋"/>
          <w:b w:val="0"/>
          <w:bCs w:val="0"/>
          <w:snapToGrid/>
          <w:color w:val="auto"/>
          <w:kern w:val="2"/>
          <w:sz w:val="32"/>
          <w:szCs w:val="32"/>
          <w:highlight w:val="none"/>
          <w:u w:val="none"/>
          <w:lang w:val="en-US" w:eastAsia="zh-CN"/>
        </w:rPr>
        <w:t>按照合同约定</w:t>
      </w:r>
      <w:r>
        <w:rPr>
          <w:rFonts w:hint="eastAsia" w:ascii="仿宋" w:hAnsi="仿宋" w:eastAsia="仿宋" w:cs="仿宋"/>
          <w:b w:val="0"/>
          <w:bCs w:val="0"/>
          <w:snapToGrid/>
          <w:color w:val="auto"/>
          <w:kern w:val="2"/>
          <w:sz w:val="32"/>
          <w:szCs w:val="32"/>
          <w:highlight w:val="none"/>
          <w:u w:val="none"/>
        </w:rPr>
        <w:t>支付</w:t>
      </w:r>
      <w:r>
        <w:rPr>
          <w:rFonts w:hint="eastAsia" w:ascii="仿宋" w:hAnsi="仿宋" w:eastAsia="仿宋" w:cs="仿宋"/>
          <w:b w:val="0"/>
          <w:bCs w:val="0"/>
          <w:snapToGrid/>
          <w:color w:val="auto"/>
          <w:kern w:val="2"/>
          <w:sz w:val="32"/>
          <w:szCs w:val="32"/>
          <w:highlight w:val="none"/>
          <w:u w:val="none"/>
          <w:lang w:val="en-US" w:eastAsia="zh-CN"/>
        </w:rPr>
        <w:t>相关工程</w:t>
      </w:r>
      <w:r>
        <w:rPr>
          <w:rFonts w:hint="eastAsia" w:ascii="仿宋" w:hAnsi="仿宋" w:eastAsia="仿宋" w:cs="仿宋"/>
          <w:b w:val="0"/>
          <w:bCs w:val="0"/>
          <w:snapToGrid/>
          <w:color w:val="auto"/>
          <w:kern w:val="2"/>
          <w:sz w:val="32"/>
          <w:szCs w:val="32"/>
          <w:highlight w:val="none"/>
          <w:u w:val="none"/>
        </w:rPr>
        <w:t>款</w:t>
      </w:r>
      <w:r>
        <w:rPr>
          <w:rFonts w:hint="eastAsia" w:ascii="仿宋" w:hAnsi="仿宋" w:eastAsia="仿宋" w:cs="仿宋"/>
          <w:b w:val="0"/>
          <w:bCs w:val="0"/>
          <w:snapToGrid/>
          <w:color w:val="auto"/>
          <w:kern w:val="2"/>
          <w:sz w:val="32"/>
          <w:szCs w:val="32"/>
          <w:highlight w:val="none"/>
          <w:u w:val="none"/>
          <w:lang w:eastAsia="zh-CN"/>
        </w:rPr>
        <w:t>。</w:t>
      </w:r>
      <w:r>
        <w:rPr>
          <w:rFonts w:hint="eastAsia" w:ascii="仿宋" w:hAnsi="仿宋" w:eastAsia="仿宋" w:cs="仿宋"/>
          <w:b w:val="0"/>
          <w:bCs w:val="0"/>
          <w:snapToGrid/>
          <w:color w:val="auto"/>
          <w:kern w:val="2"/>
          <w:sz w:val="32"/>
          <w:szCs w:val="32"/>
          <w:highlight w:val="none"/>
          <w:u w:val="none"/>
          <w:lang w:val="en-US" w:eastAsia="zh-CN"/>
        </w:rPr>
        <w:t xml:space="preserve">    </w:t>
      </w:r>
      <w:bookmarkStart w:id="0" w:name="_GoBack"/>
      <w:bookmarkEnd w:id="0"/>
    </w:p>
    <w:p w14:paraId="6EDC1B4D">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七</w:t>
      </w:r>
      <w:r>
        <w:rPr>
          <w:rFonts w:hint="eastAsia" w:ascii="仿宋" w:hAnsi="仿宋" w:eastAsia="仿宋" w:cs="仿宋"/>
          <w:snapToGrid/>
          <w:color w:val="auto"/>
          <w:kern w:val="2"/>
          <w:sz w:val="32"/>
          <w:szCs w:val="32"/>
          <w:highlight w:val="none"/>
        </w:rPr>
        <w:t>）工程除险后，按照县人民政府认定的责任划分，由责任方按比例承担相应费用。超出已认定应急抢险范围自行建设其他内容的，超出部分费用由项目单位自行承担。</w:t>
      </w:r>
    </w:p>
    <w:p w14:paraId="424339BF">
      <w:pPr>
        <w:spacing w:before="20" w:afterLines="100" w:line="560" w:lineRule="exact"/>
        <w:jc w:val="center"/>
        <w:rPr>
          <w:rFonts w:hint="eastAsia" w:ascii="黑体" w:hAnsi="黑体" w:eastAsia="黑体" w:cs="黑体"/>
          <w:b/>
          <w:bCs/>
          <w:color w:val="auto"/>
          <w:spacing w:val="-1"/>
          <w:sz w:val="32"/>
          <w:szCs w:val="32"/>
          <w:highlight w:val="none"/>
          <w:lang w:eastAsia="zh-CN"/>
        </w:rPr>
      </w:pPr>
      <w:r>
        <w:rPr>
          <w:rFonts w:hint="eastAsia" w:ascii="黑体" w:hAnsi="黑体" w:eastAsia="黑体" w:cs="黑体"/>
          <w:b/>
          <w:bCs/>
          <w:color w:val="auto"/>
          <w:spacing w:val="-1"/>
          <w:sz w:val="32"/>
          <w:szCs w:val="32"/>
          <w:highlight w:val="none"/>
          <w:lang w:eastAsia="zh-CN"/>
        </w:rPr>
        <w:t>第五章  国有企业投融资管理</w:t>
      </w:r>
    </w:p>
    <w:p w14:paraId="70460EF9">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一</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kern w:val="2"/>
          <w:sz w:val="32"/>
          <w:szCs w:val="32"/>
        </w:rPr>
        <w:t>强化国有企业登记注册管理。县属国有企业是指纳入全省名录管理的县属融资平台公司。严禁为规避项目审批监管而新成立融资平台公司等开展政府性投资项目建设。</w:t>
      </w:r>
    </w:p>
    <w:p w14:paraId="64807BD7">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w:t>
      </w:r>
      <w:r>
        <w:rPr>
          <w:rFonts w:hint="eastAsia" w:ascii="仿宋" w:hAnsi="仿宋" w:eastAsia="仿宋" w:cs="仿宋"/>
          <w:snapToGrid/>
          <w:kern w:val="2"/>
          <w:sz w:val="32"/>
          <w:szCs w:val="32"/>
        </w:rPr>
        <w:t>国有企业投资建设的一定规模的经营性固定资产投资项目，在完成本级政府决策程序后，</w:t>
      </w:r>
      <w:r>
        <w:rPr>
          <w:rFonts w:hint="eastAsia" w:ascii="仿宋" w:hAnsi="仿宋" w:eastAsia="仿宋" w:cs="仿宋"/>
          <w:snapToGrid/>
          <w:kern w:val="2"/>
          <w:sz w:val="32"/>
          <w:szCs w:val="32"/>
          <w:lang w:eastAsia="zh-CN"/>
        </w:rPr>
        <w:t>由县发改局报</w:t>
      </w:r>
      <w:r>
        <w:rPr>
          <w:rFonts w:hint="eastAsia" w:ascii="仿宋" w:hAnsi="仿宋" w:eastAsia="仿宋" w:cs="仿宋"/>
          <w:snapToGrid/>
          <w:kern w:val="2"/>
          <w:sz w:val="32"/>
          <w:szCs w:val="32"/>
        </w:rPr>
        <w:t>上级发改部门牵头，对项目建设资金来源以及是否符合产业政策等开展联审。</w:t>
      </w:r>
    </w:p>
    <w:p w14:paraId="0045331C">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三</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国有企业投资建设的经营性固定资产投资项目按照有关规定采取核准制或备案制，并参照政府投资项目降成本等办法强化全过程管理，严控投资成本和防范债务风险。未按规定履行决策程序的，不得核准或备案。国有企业投资建设的非经营性固定资产投资项目按照政府投资项目审批和管理。</w:t>
      </w:r>
    </w:p>
    <w:p w14:paraId="41B81FAE">
      <w:pPr>
        <w:widowControl w:val="0"/>
        <w:kinsoku/>
        <w:autoSpaceDE/>
        <w:autoSpaceDN/>
        <w:adjustRightInd/>
        <w:snapToGrid/>
        <w:spacing w:line="560" w:lineRule="exact"/>
        <w:ind w:firstLine="643" w:firstLineChars="200"/>
        <w:jc w:val="both"/>
        <w:textAlignment w:val="center"/>
        <w:rPr>
          <w:rFonts w:hint="eastAsia"/>
          <w:color w:val="auto"/>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四</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w:t>
      </w:r>
      <w:r>
        <w:rPr>
          <w:rFonts w:hint="eastAsia" w:ascii="仿宋" w:hAnsi="仿宋" w:eastAsia="仿宋" w:cs="仿宋"/>
          <w:snapToGrid/>
          <w:color w:val="auto"/>
          <w:kern w:val="2"/>
          <w:sz w:val="32"/>
          <w:szCs w:val="32"/>
          <w:highlight w:val="none"/>
          <w:lang w:eastAsia="zh-CN"/>
        </w:rPr>
        <w:t>履行国有企业出资人职责机构</w:t>
      </w:r>
      <w:r>
        <w:rPr>
          <w:rFonts w:hint="eastAsia" w:ascii="仿宋" w:hAnsi="仿宋" w:eastAsia="仿宋" w:cs="仿宋"/>
          <w:snapToGrid/>
          <w:color w:val="auto"/>
          <w:kern w:val="2"/>
          <w:sz w:val="32"/>
          <w:szCs w:val="32"/>
          <w:highlight w:val="none"/>
        </w:rPr>
        <w:t>负责编制和管理</w:t>
      </w:r>
      <w:r>
        <w:rPr>
          <w:rFonts w:hint="eastAsia" w:ascii="仿宋" w:hAnsi="仿宋" w:eastAsia="仿宋" w:cs="仿宋"/>
          <w:snapToGrid/>
          <w:color w:val="auto"/>
          <w:kern w:val="2"/>
          <w:sz w:val="32"/>
          <w:szCs w:val="32"/>
          <w:highlight w:val="none"/>
          <w:lang w:eastAsia="zh-CN"/>
        </w:rPr>
        <w:t>所管理</w:t>
      </w:r>
      <w:r>
        <w:rPr>
          <w:rFonts w:hint="eastAsia" w:ascii="仿宋" w:hAnsi="仿宋" w:eastAsia="仿宋" w:cs="仿宋"/>
          <w:snapToGrid/>
          <w:color w:val="auto"/>
          <w:kern w:val="2"/>
          <w:sz w:val="32"/>
          <w:szCs w:val="32"/>
          <w:highlight w:val="none"/>
        </w:rPr>
        <w:t>国有企业经营性项目年度计划，并按程序报县人民政府常务会议审定。</w:t>
      </w:r>
    </w:p>
    <w:p w14:paraId="25A3FF74">
      <w:pPr>
        <w:spacing w:before="20" w:afterLines="100" w:line="560" w:lineRule="exact"/>
        <w:ind w:left="3334"/>
        <w:jc w:val="both"/>
        <w:rPr>
          <w:rFonts w:hint="eastAsia" w:ascii="黑体" w:hAnsi="黑体" w:eastAsia="黑体" w:cs="黑体"/>
          <w:b/>
          <w:bCs/>
          <w:color w:val="auto"/>
          <w:spacing w:val="-1"/>
          <w:sz w:val="32"/>
          <w:szCs w:val="32"/>
          <w:highlight w:val="none"/>
          <w:lang w:eastAsia="zh-CN"/>
        </w:rPr>
      </w:pPr>
      <w:r>
        <w:rPr>
          <w:rFonts w:hint="eastAsia" w:ascii="黑体" w:hAnsi="黑体" w:eastAsia="黑体" w:cs="黑体"/>
          <w:b/>
          <w:bCs/>
          <w:color w:val="auto"/>
          <w:spacing w:val="-1"/>
          <w:sz w:val="32"/>
          <w:szCs w:val="32"/>
          <w:highlight w:val="none"/>
          <w:lang w:eastAsia="zh-CN"/>
        </w:rPr>
        <w:t xml:space="preserve">第六章 </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lang w:eastAsia="zh-CN"/>
        </w:rPr>
        <w:t>实施管理</w:t>
      </w:r>
    </w:p>
    <w:p w14:paraId="09523A85">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五</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政府投资项目应当严格执行项目法人责任制、 招标投标制、工程监理制、合同管理制、安全生产责任制、工程质量终身负责制和重大项目跟踪审计制等相关制度</w:t>
      </w:r>
      <w:r>
        <w:rPr>
          <w:rFonts w:hint="eastAsia" w:ascii="仿宋" w:hAnsi="仿宋" w:eastAsia="仿宋" w:cs="仿宋"/>
          <w:strike w:val="0"/>
          <w:snapToGrid/>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strike w:val="0"/>
          <w:snapToGrid/>
          <w:color w:val="000000" w:themeColor="text1"/>
          <w:kern w:val="2"/>
          <w:sz w:val="32"/>
          <w:szCs w:val="32"/>
          <w:highlight w:val="none"/>
          <w:lang w:eastAsia="zh-CN"/>
          <w14:textFill>
            <w14:solidFill>
              <w14:schemeClr w14:val="tx1"/>
            </w14:solidFill>
          </w14:textFill>
        </w:rPr>
        <w:t>积极推行项目委托代建制</w:t>
      </w:r>
      <w:r>
        <w:rPr>
          <w:rFonts w:hint="eastAsia" w:ascii="仿宋" w:hAnsi="仿宋" w:eastAsia="仿宋" w:cs="仿宋"/>
          <w:snapToGrid/>
          <w:color w:val="auto"/>
          <w:kern w:val="2"/>
          <w:sz w:val="32"/>
          <w:szCs w:val="32"/>
          <w:highlight w:val="none"/>
        </w:rPr>
        <w:t>。</w:t>
      </w:r>
    </w:p>
    <w:p w14:paraId="3818B2AE">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第二十</w:t>
      </w:r>
      <w:r>
        <w:rPr>
          <w:rFonts w:hint="eastAsia" w:ascii="仿宋" w:hAnsi="仿宋" w:eastAsia="仿宋" w:cs="仿宋"/>
          <w:b/>
          <w:bCs/>
          <w:snapToGrid/>
          <w:color w:val="auto"/>
          <w:kern w:val="2"/>
          <w:sz w:val="32"/>
          <w:szCs w:val="32"/>
          <w:highlight w:val="none"/>
          <w:lang w:eastAsia="zh-CN"/>
        </w:rPr>
        <w:t>六</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政府投资建设项目应当在项目招标公告发布之日至少提前15天公开招标计划，项目的代建、勘察、设计、施工、监理和重要设备材料的采购等应当按照《</w:t>
      </w:r>
      <w:r>
        <w:rPr>
          <w:rFonts w:hint="eastAsia" w:ascii="仿宋" w:hAnsi="仿宋" w:eastAsia="仿宋" w:cs="仿宋"/>
          <w:snapToGrid/>
          <w:color w:val="auto"/>
          <w:kern w:val="2"/>
          <w:sz w:val="32"/>
          <w:szCs w:val="32"/>
          <w:highlight w:val="none"/>
          <w:lang w:eastAsia="zh-CN"/>
        </w:rPr>
        <w:t>中华人民共和国</w:t>
      </w:r>
      <w:r>
        <w:rPr>
          <w:rFonts w:hint="eastAsia" w:ascii="仿宋" w:hAnsi="仿宋" w:eastAsia="仿宋" w:cs="仿宋"/>
          <w:snapToGrid/>
          <w:color w:val="auto"/>
          <w:kern w:val="2"/>
          <w:sz w:val="32"/>
          <w:szCs w:val="32"/>
          <w:highlight w:val="none"/>
        </w:rPr>
        <w:t>政府采购法》和株洲市发布的现行办法等执行。</w:t>
      </w:r>
    </w:p>
    <w:p w14:paraId="3DF49D89">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二十七</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项目所需资金应当由财政年度预算安排，不得由施工单位垫资建设，严禁违法分包、转包，严禁拖欠工程款和农民工工资。政府投资项目结余的财政资金，应当按照国家有关规定缴回国库。财政部门应当根据已经批准的预算和政府投资年度计划，按照法律、法规和国库管理的有关规定，及时足额办理政府投资资金拨付。</w:t>
      </w:r>
    </w:p>
    <w:p w14:paraId="7CFD37B8">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二十八</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严格控制工程变更。工程实施过程中，任何单位不得无故擅自变更，确有必要调整和变更的，应当遵循“先批准，后变更”的程序，按照一般、较大和重大三个等级工程变更，实行分级管理、分级审批。未经批准而自行实施工程变更的，由项目单位或施工单位承担全部责任，并不予支付变更增加的费用。</w:t>
      </w:r>
    </w:p>
    <w:p w14:paraId="0D4F8F0F">
      <w:pPr>
        <w:widowControl w:val="0"/>
        <w:numPr>
          <w:ilvl w:val="0"/>
          <w:numId w:val="1"/>
        </w:numPr>
        <w:kinsoku/>
        <w:autoSpaceDE/>
        <w:autoSpaceDN/>
        <w:adjustRightInd/>
        <w:snapToGrid/>
        <w:spacing w:line="560" w:lineRule="exact"/>
        <w:ind w:firstLine="640" w:firstLineChars="200"/>
        <w:jc w:val="both"/>
        <w:textAlignment w:val="center"/>
        <w:rPr>
          <w:rFonts w:hint="eastAsia" w:ascii="仿宋" w:hAnsi="仿宋" w:eastAsia="仿宋" w:cs="仿宋"/>
          <w:b w:val="0"/>
          <w:bCs w:val="0"/>
          <w:snapToGrid w:val="0"/>
          <w:kern w:val="0"/>
          <w:sz w:val="32"/>
          <w:szCs w:val="32"/>
        </w:rPr>
      </w:pPr>
      <w:r>
        <w:rPr>
          <w:rFonts w:hint="eastAsia" w:ascii="仿宋" w:hAnsi="仿宋" w:eastAsia="仿宋" w:cs="仿宋"/>
          <w:b w:val="0"/>
          <w:bCs w:val="0"/>
          <w:snapToGrid w:val="0"/>
          <w:kern w:val="0"/>
          <w:sz w:val="32"/>
          <w:szCs w:val="32"/>
        </w:rPr>
        <w:t>政府投资的建设项目，在施工过程中实行部门综合监管制度，由建设单位牵头，组织</w:t>
      </w:r>
      <w:r>
        <w:rPr>
          <w:rFonts w:hint="eastAsia" w:ascii="仿宋" w:hAnsi="仿宋" w:eastAsia="仿宋" w:cs="仿宋"/>
          <w:b w:val="0"/>
          <w:bCs w:val="0"/>
          <w:snapToGrid w:val="0"/>
          <w:kern w:val="0"/>
          <w:sz w:val="32"/>
          <w:szCs w:val="32"/>
          <w:lang w:eastAsia="zh-CN"/>
        </w:rPr>
        <w:t>设计单位、勘察单位、监理单位、行业主管单位（住建、交通、水利、农业、自然资源）等</w:t>
      </w:r>
      <w:r>
        <w:rPr>
          <w:rFonts w:hint="eastAsia" w:ascii="仿宋" w:hAnsi="仿宋" w:eastAsia="仿宋" w:cs="仿宋"/>
          <w:b w:val="0"/>
          <w:bCs w:val="0"/>
          <w:snapToGrid w:val="0"/>
          <w:kern w:val="0"/>
          <w:sz w:val="32"/>
          <w:szCs w:val="32"/>
        </w:rPr>
        <w:t>综合监管部门参与，负责对</w:t>
      </w:r>
      <w:r>
        <w:rPr>
          <w:rFonts w:hint="eastAsia" w:ascii="仿宋" w:hAnsi="仿宋" w:eastAsia="仿宋" w:cs="仿宋"/>
          <w:b w:val="0"/>
          <w:bCs w:val="0"/>
          <w:snapToGrid w:val="0"/>
          <w:kern w:val="0"/>
          <w:sz w:val="32"/>
          <w:szCs w:val="32"/>
          <w:lang w:eastAsia="zh-CN"/>
        </w:rPr>
        <w:t>工程变更问题的处理</w:t>
      </w:r>
      <w:r>
        <w:rPr>
          <w:rFonts w:hint="eastAsia" w:ascii="仿宋" w:hAnsi="仿宋" w:eastAsia="仿宋" w:cs="仿宋"/>
          <w:b w:val="0"/>
          <w:bCs w:val="0"/>
          <w:snapToGrid w:val="0"/>
          <w:kern w:val="0"/>
          <w:sz w:val="32"/>
          <w:szCs w:val="32"/>
        </w:rPr>
        <w:t>。</w:t>
      </w:r>
    </w:p>
    <w:p w14:paraId="1AB2F4C9">
      <w:pPr>
        <w:widowControl w:val="0"/>
        <w:numPr>
          <w:ilvl w:val="0"/>
          <w:numId w:val="1"/>
        </w:numPr>
        <w:kinsoku/>
        <w:autoSpaceDE/>
        <w:autoSpaceDN/>
        <w:adjustRightInd/>
        <w:snapToGrid/>
        <w:spacing w:line="560" w:lineRule="exact"/>
        <w:ind w:left="0" w:leftChars="0" w:firstLine="640" w:firstLineChars="200"/>
        <w:jc w:val="both"/>
        <w:textAlignment w:val="center"/>
        <w:rPr>
          <w:rFonts w:hint="eastAsia" w:ascii="仿宋" w:hAnsi="仿宋" w:eastAsia="仿宋" w:cs="仿宋"/>
          <w:b w:val="0"/>
          <w:bCs w:val="0"/>
          <w:snapToGrid w:val="0"/>
          <w:color w:val="000000" w:themeColor="text1"/>
          <w:kern w:val="0"/>
          <w:sz w:val="32"/>
          <w:szCs w:val="32"/>
          <w:u w:val="none"/>
          <w:lang w:eastAsia="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u w:val="none"/>
          <w:lang w:eastAsia="zh-CN"/>
          <w14:textFill>
            <w14:solidFill>
              <w14:schemeClr w14:val="tx1"/>
            </w14:solidFill>
          </w14:textFill>
        </w:rPr>
        <w:t>工程变更种类包括：招标工程量清单错算、漏算，合同内工作内容变更，合同外增加工作内容，各类工程索赔和其他；</w:t>
      </w:r>
      <w:r>
        <w:rPr>
          <w:rFonts w:hint="eastAsia" w:ascii="仿宋" w:hAnsi="仿宋" w:eastAsia="仿宋" w:cs="仿宋"/>
          <w:b w:val="0"/>
          <w:bCs w:val="0"/>
          <w:snapToGrid w:val="0"/>
          <w:color w:val="000000" w:themeColor="text1"/>
          <w:kern w:val="0"/>
          <w:sz w:val="32"/>
          <w:szCs w:val="32"/>
          <w:u w:val="none"/>
          <w14:textFill>
            <w14:solidFill>
              <w14:schemeClr w14:val="tx1"/>
            </w14:solidFill>
          </w14:textFill>
        </w:rPr>
        <w:t>凡工程</w:t>
      </w:r>
      <w:r>
        <w:rPr>
          <w:rFonts w:hint="eastAsia" w:ascii="仿宋" w:hAnsi="仿宋" w:eastAsia="仿宋" w:cs="仿宋"/>
          <w:b w:val="0"/>
          <w:bCs w:val="0"/>
          <w:snapToGrid w:val="0"/>
          <w:color w:val="000000" w:themeColor="text1"/>
          <w:kern w:val="0"/>
          <w:sz w:val="32"/>
          <w:szCs w:val="32"/>
          <w:u w:val="none"/>
          <w:lang w:eastAsia="zh-CN"/>
          <w14:textFill>
            <w14:solidFill>
              <w14:schemeClr w14:val="tx1"/>
            </w14:solidFill>
          </w14:textFill>
        </w:rPr>
        <w:t>变更必须提供详细方案或设计文件、变更预算、变更金额来源。</w:t>
      </w:r>
    </w:p>
    <w:p w14:paraId="4DF61AC8">
      <w:pPr>
        <w:widowControl w:val="0"/>
        <w:numPr>
          <w:ilvl w:val="0"/>
          <w:numId w:val="1"/>
        </w:numPr>
        <w:kinsoku/>
        <w:autoSpaceDE/>
        <w:autoSpaceDN/>
        <w:adjustRightInd/>
        <w:snapToGrid/>
        <w:spacing w:line="560" w:lineRule="exact"/>
        <w:ind w:left="0" w:leftChars="0" w:firstLine="640" w:firstLineChars="200"/>
        <w:jc w:val="both"/>
        <w:textAlignment w:val="center"/>
        <w:rPr>
          <w:rFonts w:hint="eastAsia" w:ascii="仿宋" w:hAnsi="仿宋" w:eastAsia="仿宋" w:cs="仿宋"/>
          <w:b w:val="0"/>
          <w:bCs w:val="0"/>
          <w:snapToGrid w:val="0"/>
          <w:kern w:val="0"/>
          <w:sz w:val="32"/>
          <w:szCs w:val="32"/>
          <w:u w:val="none"/>
          <w:lang w:eastAsia="zh-CN"/>
        </w:rPr>
      </w:pPr>
      <w:r>
        <w:rPr>
          <w:rFonts w:hint="eastAsia" w:ascii="仿宋" w:hAnsi="仿宋" w:eastAsia="仿宋" w:cs="仿宋"/>
          <w:b w:val="0"/>
          <w:bCs w:val="0"/>
          <w:snapToGrid w:val="0"/>
          <w:kern w:val="0"/>
          <w:sz w:val="32"/>
          <w:szCs w:val="32"/>
          <w:u w:val="none"/>
          <w:lang w:eastAsia="zh-CN"/>
        </w:rPr>
        <w:t>根据《茶陵县政府投资评审管理办法》规定，</w:t>
      </w:r>
      <w:r>
        <w:rPr>
          <w:rFonts w:hint="eastAsia" w:ascii="仿宋" w:hAnsi="仿宋" w:eastAsia="仿宋" w:cs="仿宋"/>
          <w:b w:val="0"/>
          <w:bCs w:val="0"/>
          <w:snapToGrid w:val="0"/>
          <w:kern w:val="0"/>
          <w:sz w:val="32"/>
          <w:szCs w:val="32"/>
          <w:u w:val="none"/>
        </w:rPr>
        <w:t>工程变更单项或累计增加10万元以下的，由建设单位依据工程变更核定表进行审批；工程变更单项或累计增加10万元及以上的，由建设单位提供工程变更核定表，并填写好工程变更审批表报相关领导或部门审批；工程变更单项或累计增加50万元及以上的，由建设单位提供工程变更核定表，并填写好工程变更审批表报县政府主要领导或县政府主要领导召开的专题会议、县政府常务会议批准。</w:t>
      </w:r>
    </w:p>
    <w:p w14:paraId="353BD6B2">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二十九</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对工程实施过程中，因突发事件、紧急事务，为避免发生严重危害或危害结果进一步扩大，必须迅速实施工程变更的，按应急抢险救灾工程审批程序办理。变更完成后5个工作日内按程序补办变更审批手续，并提供影像等佐证资料。</w:t>
      </w:r>
    </w:p>
    <w:p w14:paraId="69819C1B">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三十</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政府投资项目在建设过程中因政策调整、价格上涨、地质条件发生重大变化、自然灾害等不可抗力因素，或县委</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县政府决策同意对项目建设规模、建设内容、建设方案等予以较大调整，导致原批复概算不能满足项目实际的，由项目单位提出调整申请，按以下程序进行调整。</w:t>
      </w:r>
    </w:p>
    <w:p w14:paraId="1E54E554">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rPr>
        <w:t>（一）增加的工程建设费和工程建设其他费(不含征地拆迁费)未超过最高投标限价，由项目单位审核并将审核意见报行业主管部门批准，抄报概算审批部门备案</w:t>
      </w:r>
      <w:r>
        <w:rPr>
          <w:rFonts w:hint="eastAsia" w:ascii="仿宋" w:hAnsi="仿宋" w:eastAsia="仿宋" w:cs="仿宋"/>
          <w:snapToGrid/>
          <w:color w:val="auto"/>
          <w:kern w:val="2"/>
          <w:sz w:val="32"/>
          <w:szCs w:val="32"/>
          <w:highlight w:val="none"/>
          <w:lang w:eastAsia="zh-CN"/>
        </w:rPr>
        <w:t>；</w:t>
      </w:r>
    </w:p>
    <w:p w14:paraId="0204F2BC">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rPr>
        <w:t>（二）增加的工程建设费和工程建设其他费(不含征地拆迁费)超过最高投标限价但可以通过使用预备费解决，由项目单位提出动用预备费申请，报概算审批部门审核批准</w:t>
      </w:r>
      <w:r>
        <w:rPr>
          <w:rFonts w:hint="eastAsia" w:ascii="仿宋" w:hAnsi="仿宋" w:eastAsia="仿宋" w:cs="仿宋"/>
          <w:snapToGrid/>
          <w:color w:val="auto"/>
          <w:kern w:val="2"/>
          <w:sz w:val="32"/>
          <w:szCs w:val="32"/>
          <w:highlight w:val="none"/>
          <w:lang w:eastAsia="zh-CN"/>
        </w:rPr>
        <w:t>；</w:t>
      </w:r>
    </w:p>
    <w:p w14:paraId="29EF0504">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rPr>
      </w:pPr>
      <w:r>
        <w:rPr>
          <w:rFonts w:hint="eastAsia" w:ascii="仿宋" w:hAnsi="仿宋" w:eastAsia="仿宋" w:cs="仿宋"/>
          <w:snapToGrid/>
          <w:kern w:val="2"/>
          <w:sz w:val="32"/>
          <w:szCs w:val="32"/>
        </w:rPr>
        <w:t>（三）增加的工程建设费和工程建设其他费(不含征地拆迁费)不能通过使用预备费解决，但未超过</w:t>
      </w:r>
      <w:r>
        <w:rPr>
          <w:rFonts w:hint="eastAsia" w:ascii="仿宋" w:hAnsi="仿宋" w:eastAsia="仿宋" w:cs="仿宋"/>
          <w:snapToGrid/>
          <w:kern w:val="2"/>
          <w:sz w:val="32"/>
          <w:szCs w:val="32"/>
          <w:lang w:eastAsia="zh-CN"/>
        </w:rPr>
        <w:t>概算</w:t>
      </w:r>
      <w:r>
        <w:rPr>
          <w:rFonts w:hint="eastAsia" w:ascii="仿宋" w:hAnsi="仿宋" w:eastAsia="仿宋" w:cs="仿宋"/>
          <w:snapToGrid/>
          <w:kern w:val="2"/>
          <w:sz w:val="32"/>
          <w:szCs w:val="32"/>
        </w:rPr>
        <w:t>的10%,先由审计部门进行专项审计并提出审计意见，项目单位落实增加部分资金来源后，概算审批部门结合审计意见报县人民政府常务副县长批准后，再按程序调整概算；</w:t>
      </w:r>
    </w:p>
    <w:p w14:paraId="3A860658">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kern w:val="2"/>
          <w:sz w:val="32"/>
          <w:szCs w:val="32"/>
        </w:rPr>
      </w:pPr>
      <w:r>
        <w:rPr>
          <w:rFonts w:hint="eastAsia" w:ascii="仿宋" w:hAnsi="仿宋" w:eastAsia="仿宋" w:cs="仿宋"/>
          <w:snapToGrid/>
          <w:kern w:val="2"/>
          <w:sz w:val="32"/>
          <w:szCs w:val="32"/>
        </w:rPr>
        <w:t>（四）增加的工程建设费和工程建设其他费(不含征地拆迁费)超过</w:t>
      </w:r>
      <w:r>
        <w:rPr>
          <w:rFonts w:hint="eastAsia" w:ascii="仿宋" w:hAnsi="仿宋" w:eastAsia="仿宋" w:cs="仿宋"/>
          <w:snapToGrid/>
          <w:kern w:val="2"/>
          <w:sz w:val="32"/>
          <w:szCs w:val="32"/>
          <w:lang w:eastAsia="zh-CN"/>
        </w:rPr>
        <w:t>概算</w:t>
      </w:r>
      <w:r>
        <w:rPr>
          <w:rFonts w:hint="eastAsia" w:ascii="仿宋" w:hAnsi="仿宋" w:eastAsia="仿宋" w:cs="仿宋"/>
          <w:snapToGrid/>
          <w:kern w:val="2"/>
          <w:sz w:val="32"/>
          <w:szCs w:val="32"/>
        </w:rPr>
        <w:t>的10%,先由审计部门进行专项审计并提出审计意见，项目单位落实增加部分资金来源后，概算审批部门结合审计意见报县人民政府常务副县长、县长批准后，再按程序调整概算。</w:t>
      </w:r>
    </w:p>
    <w:p w14:paraId="5FC92F99">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第三十</w:t>
      </w:r>
      <w:r>
        <w:rPr>
          <w:rFonts w:hint="eastAsia" w:ascii="仿宋" w:hAnsi="仿宋" w:eastAsia="仿宋" w:cs="仿宋"/>
          <w:b/>
          <w:bCs/>
          <w:snapToGrid/>
          <w:color w:val="auto"/>
          <w:kern w:val="2"/>
          <w:sz w:val="32"/>
          <w:szCs w:val="32"/>
          <w:highlight w:val="none"/>
          <w:lang w:eastAsia="zh-CN"/>
        </w:rPr>
        <w:t>一</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lang w:val="en-US" w:eastAsia="zh-CN"/>
        </w:rPr>
        <w:t xml:space="preserve">  </w:t>
      </w:r>
      <w:r>
        <w:rPr>
          <w:rFonts w:hint="eastAsia" w:ascii="仿宋" w:hAnsi="仿宋" w:eastAsia="仿宋" w:cs="仿宋"/>
          <w:snapToGrid/>
          <w:color w:val="auto"/>
          <w:kern w:val="2"/>
          <w:sz w:val="32"/>
          <w:szCs w:val="32"/>
          <w:highlight w:val="none"/>
        </w:rPr>
        <w:t>概算审批部门必须严格落实政府投资项目的概算审批、监督和调整职责，在项目建设过程中定期开展概算控制检查，发现违规超概算的，应当责令停工整改，并书面通知同级财政部门暂停付款，对相关责任单位及责任人先行追责问责到位，再严格按程序履行评估论证、重新决策、调整概算等手续后，方可继续实施。</w:t>
      </w:r>
    </w:p>
    <w:p w14:paraId="344EB6EA">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（一）行业主管部门应当督促项目各有关责任主体严格按照 审定的施工图设计文件实施项目，发现违规的及时处罚处置，并将可能引起的概算变化情况书面告知概算审批部门、财政部门、审计部门。</w:t>
      </w:r>
    </w:p>
    <w:p w14:paraId="3F40809D">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（二）</w:t>
      </w:r>
      <w:r>
        <w:rPr>
          <w:rFonts w:hint="eastAsia" w:ascii="仿宋" w:hAnsi="仿宋" w:eastAsia="仿宋" w:cs="仿宋"/>
          <w:snapToGrid/>
          <w:color w:val="auto"/>
          <w:kern w:val="2"/>
          <w:sz w:val="32"/>
          <w:szCs w:val="32"/>
          <w:highlight w:val="none"/>
          <w:lang w:eastAsia="zh-CN"/>
        </w:rPr>
        <w:t>项目主管</w:t>
      </w:r>
      <w:r>
        <w:rPr>
          <w:rFonts w:hint="eastAsia" w:ascii="仿宋" w:hAnsi="仿宋" w:eastAsia="仿宋" w:cs="仿宋"/>
          <w:snapToGrid/>
          <w:color w:val="auto"/>
          <w:kern w:val="2"/>
          <w:sz w:val="32"/>
          <w:szCs w:val="32"/>
          <w:highlight w:val="none"/>
        </w:rPr>
        <w:t>部门</w:t>
      </w:r>
      <w:r>
        <w:rPr>
          <w:rFonts w:hint="eastAsia" w:ascii="仿宋" w:hAnsi="仿宋" w:eastAsia="仿宋" w:cs="仿宋"/>
          <w:snapToGrid/>
          <w:color w:val="auto"/>
          <w:kern w:val="2"/>
          <w:sz w:val="32"/>
          <w:szCs w:val="32"/>
          <w:highlight w:val="none"/>
          <w:lang w:eastAsia="zh-CN"/>
        </w:rPr>
        <w:t>或财政部门</w:t>
      </w:r>
      <w:r>
        <w:rPr>
          <w:rFonts w:hint="eastAsia" w:ascii="仿宋" w:hAnsi="仿宋" w:eastAsia="仿宋" w:cs="仿宋"/>
          <w:snapToGrid/>
          <w:color w:val="auto"/>
          <w:kern w:val="2"/>
          <w:sz w:val="32"/>
          <w:szCs w:val="32"/>
          <w:highlight w:val="none"/>
        </w:rPr>
        <w:t>根据批复或核定的投资概算及行业主管部门核定的项目资金申请，按工程进度拨付资金。对于超过概算的项目，未经批复调整，不得拨付资金。</w:t>
      </w:r>
    </w:p>
    <w:p w14:paraId="056A241F">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三）审计部门根据相关规定，配合做好项目概算调整过程中审计工作和审计意见的出具,从严实施对增加工程造价导致概算调整的监督。（四）项目单位对概算控制负主要责任，并按照批复概算严格控制资金使用，在施工图设计(含装修设计)、招投标、主体结构封顶、装修、设备安装等重要节点开展概算控制自查，并通过合同约定、第三方评审、绩效考核等加强对参建单位的监督管理，制止并纠正违规超概算行为，相关情况应当及时书面告知概算审批部门。造价咨询、招标代理、勘察、设计、施工、监理、设备材料供应商等机构依据法律法规和合同约定，履行相应的概算控制责任。</w:t>
      </w:r>
    </w:p>
    <w:p w14:paraId="305E3F0E">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三十二</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w:t>
      </w:r>
      <w:r>
        <w:rPr>
          <w:rFonts w:hint="eastAsia" w:ascii="仿宋" w:hAnsi="仿宋" w:eastAsia="仿宋" w:cs="仿宋"/>
          <w:snapToGrid/>
          <w:color w:val="auto"/>
          <w:kern w:val="2"/>
          <w:sz w:val="32"/>
          <w:szCs w:val="32"/>
          <w:highlight w:val="none"/>
          <w:lang w:val="en-US" w:eastAsia="zh-CN"/>
        </w:rPr>
        <w:t>预</w:t>
      </w:r>
      <w:r>
        <w:rPr>
          <w:rFonts w:hint="eastAsia" w:ascii="仿宋" w:hAnsi="仿宋" w:eastAsia="仿宋" w:cs="仿宋"/>
          <w:snapToGrid/>
          <w:color w:val="auto"/>
          <w:kern w:val="2"/>
          <w:sz w:val="32"/>
          <w:szCs w:val="32"/>
          <w:highlight w:val="none"/>
        </w:rPr>
        <w:t>结算评审。政府性投资项目</w:t>
      </w:r>
      <w:r>
        <w:rPr>
          <w:rFonts w:hint="eastAsia" w:ascii="仿宋" w:hAnsi="仿宋" w:eastAsia="仿宋" w:cs="仿宋"/>
          <w:snapToGrid/>
          <w:color w:val="auto"/>
          <w:kern w:val="2"/>
          <w:sz w:val="32"/>
          <w:szCs w:val="32"/>
          <w:highlight w:val="none"/>
          <w:lang w:val="en-US" w:eastAsia="zh-CN"/>
        </w:rPr>
        <w:t>预（</w:t>
      </w:r>
      <w:r>
        <w:rPr>
          <w:rFonts w:hint="eastAsia" w:ascii="仿宋" w:hAnsi="仿宋" w:eastAsia="仿宋" w:cs="仿宋"/>
          <w:snapToGrid/>
          <w:color w:val="auto"/>
          <w:kern w:val="2"/>
          <w:sz w:val="32"/>
          <w:szCs w:val="32"/>
          <w:highlight w:val="none"/>
        </w:rPr>
        <w:t>结</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算评审由县财政局组织实施</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预算金额在30万元（含）以上的项目</w:t>
      </w:r>
      <w:ins w:id="0" w:author="Administrator" w:date="2024-03-22T15:43:19Z">
        <w:r>
          <w:rPr>
            <w:rFonts w:hint="eastAsia" w:ascii="仿宋" w:hAnsi="仿宋" w:eastAsia="仿宋" w:cs="仿宋"/>
            <w:snapToGrid/>
            <w:color w:val="auto"/>
            <w:kern w:val="2"/>
            <w:sz w:val="32"/>
            <w:szCs w:val="32"/>
            <w:highlight w:val="none"/>
            <w:lang w:eastAsia="zh-CN"/>
          </w:rPr>
          <w:t>、</w:t>
        </w:r>
      </w:ins>
      <w:r>
        <w:rPr>
          <w:rFonts w:hint="eastAsia" w:ascii="仿宋" w:hAnsi="仿宋" w:eastAsia="仿宋" w:cs="仿宋"/>
          <w:snapToGrid/>
          <w:color w:val="auto"/>
          <w:kern w:val="2"/>
          <w:sz w:val="32"/>
          <w:szCs w:val="32"/>
          <w:highlight w:val="none"/>
        </w:rPr>
        <w:t>结算</w:t>
      </w:r>
      <w:r>
        <w:rPr>
          <w:rFonts w:hint="eastAsia" w:ascii="仿宋" w:hAnsi="仿宋" w:eastAsia="仿宋" w:cs="仿宋"/>
          <w:snapToGrid/>
          <w:color w:val="auto"/>
          <w:kern w:val="2"/>
          <w:sz w:val="32"/>
          <w:szCs w:val="32"/>
          <w:highlight w:val="none"/>
          <w:lang w:val="en-US" w:eastAsia="zh-CN"/>
        </w:rPr>
        <w:t>金额10</w:t>
      </w:r>
      <w:r>
        <w:rPr>
          <w:rFonts w:hint="eastAsia" w:ascii="仿宋" w:hAnsi="仿宋" w:eastAsia="仿宋" w:cs="仿宋"/>
          <w:snapToGrid/>
          <w:color w:val="auto"/>
          <w:kern w:val="2"/>
          <w:sz w:val="32"/>
          <w:szCs w:val="32"/>
          <w:highlight w:val="none"/>
        </w:rPr>
        <w:t>万元（含）以</w:t>
      </w:r>
      <w:r>
        <w:rPr>
          <w:rFonts w:hint="eastAsia" w:ascii="仿宋" w:hAnsi="仿宋" w:eastAsia="仿宋" w:cs="仿宋"/>
          <w:snapToGrid/>
          <w:color w:val="auto"/>
          <w:kern w:val="2"/>
          <w:sz w:val="32"/>
          <w:szCs w:val="32"/>
          <w:highlight w:val="none"/>
          <w:lang w:val="en-US" w:eastAsia="zh-CN"/>
        </w:rPr>
        <w:t>上</w:t>
      </w:r>
      <w:r>
        <w:rPr>
          <w:rFonts w:hint="eastAsia" w:ascii="仿宋" w:hAnsi="仿宋" w:eastAsia="仿宋" w:cs="仿宋"/>
          <w:snapToGrid/>
          <w:color w:val="auto"/>
          <w:kern w:val="2"/>
          <w:sz w:val="32"/>
          <w:szCs w:val="32"/>
          <w:highlight w:val="none"/>
        </w:rPr>
        <w:t>的项目</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建设单位报送</w:t>
      </w:r>
      <w:r>
        <w:rPr>
          <w:rFonts w:hint="eastAsia" w:ascii="仿宋" w:hAnsi="仿宋" w:eastAsia="仿宋" w:cs="仿宋"/>
          <w:snapToGrid/>
          <w:color w:val="auto"/>
          <w:kern w:val="2"/>
          <w:sz w:val="32"/>
          <w:szCs w:val="32"/>
          <w:highlight w:val="none"/>
          <w:lang w:val="en-US" w:eastAsia="zh-CN"/>
        </w:rPr>
        <w:t>预（</w:t>
      </w:r>
      <w:r>
        <w:rPr>
          <w:rFonts w:hint="eastAsia" w:ascii="仿宋" w:hAnsi="仿宋" w:eastAsia="仿宋" w:cs="仿宋"/>
          <w:snapToGrid/>
          <w:color w:val="auto"/>
          <w:kern w:val="2"/>
          <w:sz w:val="32"/>
          <w:szCs w:val="32"/>
          <w:highlight w:val="none"/>
        </w:rPr>
        <w:t>结</w:t>
      </w:r>
      <w:r>
        <w:rPr>
          <w:rFonts w:hint="eastAsia" w:ascii="仿宋" w:hAnsi="仿宋" w:eastAsia="仿宋" w:cs="仿宋"/>
          <w:snapToGrid/>
          <w:color w:val="auto"/>
          <w:kern w:val="2"/>
          <w:sz w:val="32"/>
          <w:szCs w:val="32"/>
          <w:highlight w:val="none"/>
          <w:lang w:val="en-US" w:eastAsia="zh-CN"/>
        </w:rPr>
        <w:t>)</w:t>
      </w:r>
      <w:r>
        <w:rPr>
          <w:rFonts w:hint="eastAsia" w:ascii="仿宋" w:hAnsi="仿宋" w:eastAsia="仿宋" w:cs="仿宋"/>
          <w:snapToGrid/>
          <w:color w:val="auto"/>
          <w:kern w:val="2"/>
          <w:sz w:val="32"/>
          <w:szCs w:val="32"/>
          <w:highlight w:val="none"/>
        </w:rPr>
        <w:t>算资料至县财政局，由县财政局统一</w:t>
      </w:r>
      <w:r>
        <w:rPr>
          <w:rFonts w:hint="eastAsia" w:ascii="仿宋" w:hAnsi="仿宋" w:eastAsia="仿宋" w:cs="仿宋"/>
          <w:snapToGrid/>
          <w:color w:val="auto"/>
          <w:kern w:val="2"/>
          <w:sz w:val="32"/>
          <w:szCs w:val="32"/>
          <w:highlight w:val="none"/>
          <w:lang w:val="en-US" w:eastAsia="zh-CN"/>
        </w:rPr>
        <w:t>组织评审并</w:t>
      </w:r>
      <w:r>
        <w:rPr>
          <w:rFonts w:hint="eastAsia" w:ascii="仿宋" w:hAnsi="仿宋" w:eastAsia="仿宋" w:cs="仿宋"/>
          <w:snapToGrid/>
          <w:color w:val="auto"/>
          <w:kern w:val="2"/>
          <w:sz w:val="32"/>
          <w:szCs w:val="32"/>
          <w:highlight w:val="none"/>
        </w:rPr>
        <w:t>出具</w:t>
      </w:r>
      <w:r>
        <w:rPr>
          <w:rFonts w:hint="eastAsia" w:ascii="仿宋" w:hAnsi="仿宋" w:eastAsia="仿宋" w:cs="仿宋"/>
          <w:snapToGrid/>
          <w:color w:val="auto"/>
          <w:kern w:val="2"/>
          <w:sz w:val="32"/>
          <w:szCs w:val="32"/>
          <w:highlight w:val="none"/>
          <w:lang w:val="en-US" w:eastAsia="zh-CN"/>
        </w:rPr>
        <w:t>预（</w:t>
      </w:r>
      <w:r>
        <w:rPr>
          <w:rFonts w:hint="eastAsia" w:ascii="仿宋" w:hAnsi="仿宋" w:eastAsia="仿宋" w:cs="仿宋"/>
          <w:snapToGrid/>
          <w:color w:val="auto"/>
          <w:kern w:val="2"/>
          <w:sz w:val="32"/>
          <w:szCs w:val="32"/>
          <w:highlight w:val="none"/>
        </w:rPr>
        <w:t>结</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rPr>
        <w:t>算评审结论。</w:t>
      </w:r>
    </w:p>
    <w:p w14:paraId="26266374">
      <w:pPr>
        <w:widowControl w:val="0"/>
        <w:kinsoku/>
        <w:autoSpaceDE/>
        <w:autoSpaceDN/>
        <w:adjustRightInd/>
        <w:snapToGrid/>
        <w:spacing w:line="560" w:lineRule="exact"/>
        <w:ind w:firstLine="640" w:firstLineChars="200"/>
        <w:jc w:val="both"/>
        <w:textAlignment w:val="center"/>
        <w:rPr>
          <w:rFonts w:hint="eastAsia"/>
          <w:color w:val="auto"/>
          <w:highlight w:val="none"/>
        </w:rPr>
      </w:pPr>
      <w:r>
        <w:rPr>
          <w:rFonts w:hint="eastAsia" w:ascii="仿宋" w:hAnsi="仿宋" w:eastAsia="仿宋" w:cs="仿宋"/>
          <w:snapToGrid/>
          <w:color w:val="auto"/>
          <w:kern w:val="2"/>
          <w:sz w:val="32"/>
          <w:szCs w:val="32"/>
          <w:highlight w:val="none"/>
        </w:rPr>
        <w:t>房屋建筑和市政基础设施工程推行施工过程结算。</w:t>
      </w:r>
    </w:p>
    <w:p w14:paraId="17F86E17">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第三十</w:t>
      </w:r>
      <w:r>
        <w:rPr>
          <w:rFonts w:hint="eastAsia" w:ascii="仿宋" w:hAnsi="仿宋" w:eastAsia="仿宋" w:cs="仿宋"/>
          <w:b/>
          <w:bCs/>
          <w:snapToGrid/>
          <w:color w:val="auto"/>
          <w:kern w:val="2"/>
          <w:sz w:val="32"/>
          <w:szCs w:val="32"/>
          <w:highlight w:val="none"/>
          <w:lang w:val="en-US" w:eastAsia="zh-CN"/>
        </w:rPr>
        <w:t>三</w:t>
      </w:r>
      <w:r>
        <w:rPr>
          <w:rFonts w:hint="eastAsia" w:ascii="仿宋" w:hAnsi="仿宋" w:eastAsia="仿宋" w:cs="仿宋"/>
          <w:b/>
          <w:bCs/>
          <w:snapToGrid/>
          <w:color w:val="auto"/>
          <w:kern w:val="2"/>
          <w:sz w:val="32"/>
          <w:szCs w:val="32"/>
          <w:highlight w:val="none"/>
        </w:rPr>
        <w:t xml:space="preserve">条  </w:t>
      </w:r>
      <w:r>
        <w:rPr>
          <w:rFonts w:hint="eastAsia" w:ascii="仿宋" w:hAnsi="仿宋" w:eastAsia="仿宋" w:cs="仿宋"/>
          <w:snapToGrid/>
          <w:color w:val="auto"/>
          <w:kern w:val="2"/>
          <w:sz w:val="32"/>
          <w:szCs w:val="32"/>
          <w:highlight w:val="none"/>
        </w:rPr>
        <w:t>项目建成后，项目单位应当按照有关规定及时办理结算和竣工财务决算。竣工财务决算投资总额不得超过批复的概算或按程序调整后的概算。</w:t>
      </w:r>
    </w:p>
    <w:p w14:paraId="7DD37913">
      <w:pPr>
        <w:widowControl w:val="0"/>
        <w:kinsoku/>
        <w:autoSpaceDE/>
        <w:autoSpaceDN/>
        <w:adjustRightInd/>
        <w:snapToGrid/>
        <w:spacing w:line="560" w:lineRule="exact"/>
        <w:ind w:firstLine="643" w:firstLineChars="200"/>
        <w:jc w:val="both"/>
        <w:textAlignment w:val="center"/>
        <w:rPr>
          <w:rFonts w:hint="eastAsia"/>
          <w:color w:val="auto"/>
          <w:highlight w:val="none"/>
        </w:rPr>
      </w:pPr>
      <w:r>
        <w:rPr>
          <w:rFonts w:hint="eastAsia" w:ascii="仿宋" w:hAnsi="仿宋" w:eastAsia="仿宋" w:cs="仿宋"/>
          <w:b/>
          <w:bCs/>
          <w:snapToGrid/>
          <w:color w:val="auto"/>
          <w:kern w:val="2"/>
          <w:sz w:val="32"/>
          <w:szCs w:val="32"/>
          <w:highlight w:val="none"/>
        </w:rPr>
        <w:t>第三十</w:t>
      </w:r>
      <w:r>
        <w:rPr>
          <w:rFonts w:hint="eastAsia" w:ascii="仿宋" w:hAnsi="仿宋" w:eastAsia="仿宋" w:cs="仿宋"/>
          <w:b/>
          <w:bCs/>
          <w:snapToGrid/>
          <w:color w:val="auto"/>
          <w:kern w:val="2"/>
          <w:sz w:val="32"/>
          <w:szCs w:val="32"/>
          <w:highlight w:val="none"/>
          <w:lang w:val="en-US" w:eastAsia="zh-CN"/>
        </w:rPr>
        <w:t>四</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政府投资项目建立节约投资奖励机制，在项目竣工决算后确有节约投资，为有效节约财政性资金做出具体贡献的单位和个人，按照有关办法给予奖励。</w:t>
      </w:r>
    </w:p>
    <w:p w14:paraId="6330CBC6">
      <w:pPr>
        <w:spacing w:before="20" w:afterLines="100" w:line="560" w:lineRule="exact"/>
        <w:ind w:left="3334"/>
        <w:jc w:val="both"/>
        <w:rPr>
          <w:rFonts w:hint="default" w:ascii="仿宋" w:hAnsi="仿宋" w:eastAsia="仿宋" w:cs="仿宋"/>
          <w:b/>
          <w:bCs/>
          <w:snapToGrid/>
          <w:color w:val="auto"/>
          <w:kern w:val="2"/>
          <w:sz w:val="32"/>
          <w:szCs w:val="32"/>
          <w:highlight w:val="none"/>
          <w:lang w:val="en-US"/>
        </w:rPr>
      </w:pPr>
      <w:r>
        <w:rPr>
          <w:rFonts w:hint="eastAsia" w:ascii="黑体" w:hAnsi="黑体" w:eastAsia="黑体" w:cs="黑体"/>
          <w:b/>
          <w:bCs/>
          <w:color w:val="auto"/>
          <w:spacing w:val="-1"/>
          <w:sz w:val="32"/>
          <w:szCs w:val="32"/>
          <w:highlight w:val="none"/>
          <w:lang w:eastAsia="zh-CN"/>
        </w:rPr>
        <w:t xml:space="preserve">第七章 </w:t>
      </w:r>
      <w:r>
        <w:rPr>
          <w:rFonts w:hint="eastAsia" w:ascii="黑体" w:hAnsi="黑体" w:eastAsia="黑体" w:cs="黑体"/>
          <w:b/>
          <w:bCs/>
          <w:color w:val="auto"/>
          <w:spacing w:val="-1"/>
          <w:sz w:val="32"/>
          <w:szCs w:val="32"/>
          <w:highlight w:val="none"/>
          <w:lang w:val="en-US" w:eastAsia="zh-CN"/>
        </w:rPr>
        <w:t xml:space="preserve"> </w:t>
      </w:r>
      <w:r>
        <w:rPr>
          <w:rFonts w:hint="eastAsia" w:ascii="黑体" w:hAnsi="黑体" w:eastAsia="黑体" w:cs="黑体"/>
          <w:b/>
          <w:bCs/>
          <w:color w:val="auto"/>
          <w:spacing w:val="-1"/>
          <w:sz w:val="32"/>
          <w:szCs w:val="32"/>
          <w:highlight w:val="none"/>
          <w:lang w:eastAsia="zh-CN"/>
        </w:rPr>
        <w:t>监督管理</w:t>
      </w:r>
    </w:p>
    <w:p w14:paraId="4A680B63">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第三十</w:t>
      </w:r>
      <w:r>
        <w:rPr>
          <w:rFonts w:hint="eastAsia" w:ascii="仿宋" w:hAnsi="仿宋" w:eastAsia="仿宋" w:cs="仿宋"/>
          <w:b/>
          <w:bCs/>
          <w:snapToGrid/>
          <w:color w:val="auto"/>
          <w:kern w:val="2"/>
          <w:sz w:val="32"/>
          <w:szCs w:val="32"/>
          <w:highlight w:val="none"/>
          <w:lang w:val="en-US" w:eastAsia="zh-CN"/>
        </w:rPr>
        <w:t>五</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加强全生命周期管理，建立全县“估算、概算、预算、结算、决算”的五算闭环系统，行业主管部门对照各自职能，对“五算”闭环系统各环节进行严格把关，发改、纪委监委等部门对项目进行全流程监督管理，推动构建项目成本控制全过程监督管理信息平台。</w:t>
      </w:r>
    </w:p>
    <w:p w14:paraId="3936E4B3">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三十六</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行业主管部门负责本行业内政府投资项目行业监管和统筹调度，并按照统计要求，及时指导新开工项目单位通过本县统计联网直报平台申报固定资产投资入库入统。对项目实施过程中出现的问题应当及时反馈至发改部门，涉及重大问题应当及时报告县人民政府。</w:t>
      </w:r>
    </w:p>
    <w:p w14:paraId="73C5E85B">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三十七</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发改部门和纪委监委、财政、审计等负有监督管理职责的部门应当采取在线监测、现场核查等方式，加强对政府投资项目实施情况的监督检查。</w:t>
      </w:r>
    </w:p>
    <w:p w14:paraId="3302BFC5">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三十八</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强化政府投资建设项目的事中事后监管，发改部门和行业主管部门应当建立完善政府投资项目评估督导制度并组织实施，提出相关评价意见和改进措施建议。建立政府投资项目后评价制度，发改部门会同有关部门按照国家规定选择有代表性的已建成政府投资项目，委托中介服务机构对所选项目进行后评价。后评价应当根据项目建成后的实际效果，对项目审批和实施进行全面评价并提出明确意见。后评价结果作为下年度安排行业内政府投资项目计划和财政预算资金的重要依据。</w:t>
      </w:r>
    </w:p>
    <w:p w14:paraId="5710B1EC">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三十九</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职能部门在履行政府投资管理职能的同时，不得向项目单位收取任何费用，不得利用职权推荐或介绍施工企业、分包企业，不得推荐建筑材料、设备供应商等谋取私利。受委托的审查和服务单位也必须执行前述廉洁规定。项目评审</w:t>
      </w:r>
      <w:r>
        <w:rPr>
          <w:rFonts w:hint="eastAsia" w:ascii="仿宋" w:hAnsi="仿宋" w:eastAsia="仿宋" w:cs="仿宋"/>
          <w:snapToGrid/>
          <w:color w:val="auto"/>
          <w:kern w:val="2"/>
          <w:sz w:val="32"/>
          <w:szCs w:val="32"/>
          <w:highlight w:val="none"/>
          <w:lang w:eastAsia="zh-CN"/>
        </w:rPr>
        <w:t>、</w:t>
      </w:r>
      <w:r>
        <w:rPr>
          <w:rFonts w:hint="eastAsia" w:ascii="仿宋" w:hAnsi="仿宋" w:eastAsia="仿宋" w:cs="仿宋"/>
          <w:snapToGrid/>
          <w:color w:val="auto"/>
          <w:kern w:val="2"/>
          <w:sz w:val="32"/>
          <w:szCs w:val="32"/>
          <w:highlight w:val="none"/>
          <w:lang w:val="en-US" w:eastAsia="zh-CN"/>
        </w:rPr>
        <w:t>审计</w:t>
      </w:r>
      <w:r>
        <w:rPr>
          <w:rFonts w:hint="eastAsia" w:ascii="仿宋" w:hAnsi="仿宋" w:eastAsia="仿宋" w:cs="仿宋"/>
          <w:snapToGrid/>
          <w:color w:val="auto"/>
          <w:kern w:val="2"/>
          <w:sz w:val="32"/>
          <w:szCs w:val="32"/>
          <w:highlight w:val="none"/>
        </w:rPr>
        <w:t>等经费由同级财政预算予以保障。</w:t>
      </w:r>
    </w:p>
    <w:p w14:paraId="499DA1EE">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第四十条</w:t>
      </w:r>
      <w:r>
        <w:rPr>
          <w:rFonts w:hint="eastAsia" w:ascii="仿宋" w:hAnsi="仿宋" w:eastAsia="仿宋" w:cs="仿宋"/>
          <w:snapToGrid/>
          <w:color w:val="auto"/>
          <w:kern w:val="2"/>
          <w:sz w:val="32"/>
          <w:szCs w:val="32"/>
          <w:highlight w:val="none"/>
        </w:rPr>
        <w:t xml:space="preserve">  加强超概算建设项目监管。</w:t>
      </w:r>
    </w:p>
    <w:p w14:paraId="7D064D30">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（一）对项目实施过程中变更较多、存在超合同价、超概算风险的项目，行业主管部门</w:t>
      </w:r>
      <w:r>
        <w:rPr>
          <w:rFonts w:hint="eastAsia" w:ascii="仿宋" w:hAnsi="仿宋" w:eastAsia="仿宋" w:cs="仿宋"/>
          <w:strike w:val="0"/>
          <w:snapToGrid/>
          <w:color w:val="auto"/>
          <w:kern w:val="2"/>
          <w:sz w:val="32"/>
          <w:szCs w:val="32"/>
          <w:highlight w:val="none"/>
        </w:rPr>
        <w:t>可</w:t>
      </w:r>
      <w:r>
        <w:rPr>
          <w:rFonts w:hint="eastAsia" w:ascii="仿宋" w:hAnsi="仿宋" w:eastAsia="仿宋" w:cs="仿宋"/>
          <w:snapToGrid/>
          <w:color w:val="auto"/>
          <w:kern w:val="2"/>
          <w:sz w:val="32"/>
          <w:szCs w:val="32"/>
          <w:highlight w:val="none"/>
        </w:rPr>
        <w:t>发函警示或约谈项目负责人、项目单位负责人。因项目单位原因导致超概算的，由相关部门依法依规对相关责任人予以处分。</w:t>
      </w:r>
    </w:p>
    <w:p w14:paraId="4BF1219D">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（二）对因勘察设计深度不够或设计缺陷造成项目建设发生重大变更，以及工程咨询、造价、评估等中介成果存在漏项、缺项导致建设项目超概算的，依据相关规定对中介机构开展联合惩戒。</w:t>
      </w:r>
    </w:p>
    <w:p w14:paraId="591C142E">
      <w:pPr>
        <w:widowControl w:val="0"/>
        <w:kinsoku/>
        <w:autoSpaceDE/>
        <w:autoSpaceDN/>
        <w:adjustRightInd/>
        <w:snapToGrid/>
        <w:spacing w:line="560" w:lineRule="exact"/>
        <w:ind w:firstLine="643" w:firstLineChars="200"/>
        <w:jc w:val="both"/>
        <w:textAlignment w:val="center"/>
        <w:rPr>
          <w:rFonts w:hint="eastAsia" w:ascii="仿宋" w:hAnsi="仿宋" w:eastAsia="仿宋" w:cs="仿宋"/>
          <w:b w:val="0"/>
          <w:bCs w:val="0"/>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四十一</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w:t>
      </w:r>
      <w:r>
        <w:rPr>
          <w:rFonts w:hint="eastAsia" w:ascii="仿宋" w:hAnsi="仿宋" w:eastAsia="仿宋" w:cs="仿宋"/>
          <w:snapToGrid/>
          <w:color w:val="auto"/>
          <w:kern w:val="2"/>
          <w:sz w:val="32"/>
          <w:szCs w:val="32"/>
          <w:highlight w:val="none"/>
          <w:lang w:eastAsia="zh-CN"/>
        </w:rPr>
        <w:t>加强政府投资项目的审计监督。县审计局依据相关法律法规，开展全过程审计或跟踪审计。对重点政府投资项目开展全过程审计，对其他政府投资项目开展以造价真实性为主的结算审计。</w:t>
      </w:r>
      <w:r>
        <w:rPr>
          <w:rFonts w:hint="eastAsia" w:ascii="仿宋" w:hAnsi="仿宋" w:eastAsia="仿宋" w:cs="仿宋"/>
          <w:b w:val="0"/>
          <w:bCs w:val="0"/>
          <w:snapToGrid/>
          <w:color w:val="auto"/>
          <w:kern w:val="2"/>
          <w:sz w:val="32"/>
          <w:szCs w:val="32"/>
          <w:highlight w:val="none"/>
          <w:u w:val="none"/>
          <w:lang w:eastAsia="zh-CN"/>
        </w:rPr>
        <w:t>结算金额</w:t>
      </w:r>
      <w:r>
        <w:rPr>
          <w:rFonts w:hint="eastAsia" w:ascii="仿宋" w:hAnsi="仿宋" w:eastAsia="仿宋" w:cs="仿宋"/>
          <w:b w:val="0"/>
          <w:bCs w:val="0"/>
          <w:snapToGrid/>
          <w:color w:val="auto"/>
          <w:kern w:val="2"/>
          <w:sz w:val="32"/>
          <w:szCs w:val="32"/>
          <w:highlight w:val="none"/>
          <w:u w:val="none"/>
          <w:lang w:val="en-US" w:eastAsia="zh-CN"/>
        </w:rPr>
        <w:t>400万元以上的项目，县审计局必须进行结算审计，结算金额400万元以下的项目，县审计局视情况进行抽审。</w:t>
      </w:r>
      <w:r>
        <w:rPr>
          <w:rFonts w:hint="eastAsia" w:ascii="仿宋" w:hAnsi="仿宋" w:eastAsia="仿宋" w:cs="仿宋"/>
          <w:snapToGrid/>
          <w:color w:val="auto"/>
          <w:kern w:val="2"/>
          <w:sz w:val="32"/>
          <w:szCs w:val="32"/>
          <w:highlight w:val="none"/>
          <w:lang w:val="en-US" w:eastAsia="zh-CN"/>
        </w:rPr>
        <w:t>对参与到政府投资项目过程中的项目业主单位、职能部门，可研、勘察、设计、监理、代理、咨询、预结算编制和审核，代建等单位和机构的工作质量影响政府投资决策和降本增效的，审计机关提出处理意见，具体要求参照《株洲市国有投资建设项目审计监督办法》执行。</w:t>
      </w:r>
    </w:p>
    <w:p w14:paraId="1EE5E9E8">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第四十</w:t>
      </w:r>
      <w:r>
        <w:rPr>
          <w:rFonts w:hint="eastAsia" w:ascii="仿宋" w:hAnsi="仿宋" w:eastAsia="仿宋" w:cs="仿宋"/>
          <w:b/>
          <w:bCs/>
          <w:snapToGrid/>
          <w:color w:val="auto"/>
          <w:kern w:val="2"/>
          <w:sz w:val="32"/>
          <w:szCs w:val="32"/>
          <w:highlight w:val="none"/>
          <w:lang w:val="en-US" w:eastAsia="zh-CN"/>
        </w:rPr>
        <w:t>二</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项目单位应当按照国家有关规定加强政府投资项目档案管理，将项目审批、实施到工程竣工验收过程中的有关文件、资料存档备查。</w:t>
      </w:r>
    </w:p>
    <w:p w14:paraId="1BB38F98">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第四十</w:t>
      </w:r>
      <w:r>
        <w:rPr>
          <w:rFonts w:hint="eastAsia" w:ascii="仿宋" w:hAnsi="仿宋" w:eastAsia="仿宋" w:cs="仿宋"/>
          <w:b/>
          <w:bCs/>
          <w:snapToGrid/>
          <w:color w:val="auto"/>
          <w:kern w:val="2"/>
          <w:sz w:val="32"/>
          <w:szCs w:val="32"/>
          <w:highlight w:val="none"/>
          <w:lang w:val="en-US" w:eastAsia="zh-CN"/>
        </w:rPr>
        <w:t>三</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政府投资相关信息应当依法公开，并接受人大代表、政协委员、新闻媒体和社会各界的监督。</w:t>
      </w:r>
    </w:p>
    <w:p w14:paraId="28EFAAF7">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第四十</w:t>
      </w:r>
      <w:r>
        <w:rPr>
          <w:rFonts w:hint="eastAsia" w:ascii="仿宋" w:hAnsi="仿宋" w:eastAsia="仿宋" w:cs="仿宋"/>
          <w:b/>
          <w:bCs/>
          <w:snapToGrid/>
          <w:color w:val="auto"/>
          <w:kern w:val="2"/>
          <w:sz w:val="32"/>
          <w:szCs w:val="32"/>
          <w:highlight w:val="none"/>
          <w:lang w:val="en-US" w:eastAsia="zh-CN"/>
        </w:rPr>
        <w:t>四</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政府投资项目的绩效管理、建设工程质量管理、安全生产管理等事项，依照有关法律、行政法规和有关规定执行。</w:t>
      </w:r>
    </w:p>
    <w:p w14:paraId="1F6C3D7B">
      <w:pPr>
        <w:spacing w:before="20" w:afterLines="100" w:line="560" w:lineRule="exact"/>
        <w:ind w:left="3334"/>
        <w:jc w:val="both"/>
        <w:rPr>
          <w:rFonts w:hint="eastAsia" w:ascii="黑体" w:hAnsi="黑体" w:eastAsia="黑体" w:cs="黑体"/>
          <w:b/>
          <w:bCs/>
          <w:color w:val="auto"/>
          <w:spacing w:val="-1"/>
          <w:sz w:val="32"/>
          <w:szCs w:val="32"/>
          <w:highlight w:val="none"/>
          <w:lang w:eastAsia="zh-CN"/>
        </w:rPr>
      </w:pPr>
      <w:r>
        <w:rPr>
          <w:rFonts w:hint="eastAsia" w:ascii="黑体" w:hAnsi="黑体" w:eastAsia="黑体" w:cs="黑体"/>
          <w:b/>
          <w:bCs/>
          <w:color w:val="auto"/>
          <w:spacing w:val="-1"/>
          <w:sz w:val="32"/>
          <w:szCs w:val="32"/>
          <w:highlight w:val="none"/>
          <w:lang w:eastAsia="zh-CN"/>
        </w:rPr>
        <w:t>第八章 责任追究</w:t>
      </w:r>
    </w:p>
    <w:p w14:paraId="68B245E2">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第四十</w:t>
      </w:r>
      <w:r>
        <w:rPr>
          <w:rFonts w:hint="eastAsia" w:ascii="仿宋" w:hAnsi="仿宋" w:eastAsia="仿宋" w:cs="仿宋"/>
          <w:b/>
          <w:bCs/>
          <w:snapToGrid/>
          <w:color w:val="auto"/>
          <w:kern w:val="2"/>
          <w:sz w:val="32"/>
          <w:szCs w:val="32"/>
          <w:highlight w:val="none"/>
          <w:lang w:val="en-US" w:eastAsia="zh-CN"/>
        </w:rPr>
        <w:t>五</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有下列情形的，责令改正，对负有责任的领导和直接责任人依规给予处分。存在违纪违法行为的，移交纪检监察机关或者司法机关处置。</w:t>
      </w:r>
    </w:p>
    <w:p w14:paraId="5FE5E3EF">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一</w:t>
      </w:r>
      <w:r>
        <w:rPr>
          <w:rFonts w:hint="eastAsia" w:ascii="仿宋" w:hAnsi="仿宋" w:eastAsia="仿宋" w:cs="仿宋"/>
          <w:snapToGrid/>
          <w:color w:val="auto"/>
          <w:kern w:val="2"/>
          <w:sz w:val="32"/>
          <w:szCs w:val="32"/>
          <w:highlight w:val="none"/>
        </w:rPr>
        <w:t>）人为压低投资规模或拆分项目，规避决策程序的，追究项目单位相关人员责任；</w:t>
      </w:r>
    </w:p>
    <w:p w14:paraId="785B7584">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二</w:t>
      </w:r>
      <w:r>
        <w:rPr>
          <w:rFonts w:hint="eastAsia" w:ascii="仿宋" w:hAnsi="仿宋" w:eastAsia="仿宋" w:cs="仿宋"/>
          <w:snapToGrid/>
          <w:color w:val="auto"/>
          <w:kern w:val="2"/>
          <w:sz w:val="32"/>
          <w:szCs w:val="32"/>
          <w:highlight w:val="none"/>
        </w:rPr>
        <w:t>）资金来源评估论证文件等必要文件弄虚作假的，追究对应主管部门相关人员责任；项目单位提供的相关数据、文件弄虚作假的，追究项目单位相关人员责任；</w:t>
      </w:r>
    </w:p>
    <w:p w14:paraId="521E91B6">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三</w:t>
      </w:r>
      <w:r>
        <w:rPr>
          <w:rFonts w:hint="eastAsia" w:ascii="仿宋" w:hAnsi="仿宋" w:eastAsia="仿宋" w:cs="仿宋"/>
          <w:snapToGrid/>
          <w:color w:val="auto"/>
          <w:kern w:val="2"/>
          <w:sz w:val="32"/>
          <w:szCs w:val="32"/>
          <w:highlight w:val="none"/>
        </w:rPr>
        <w:t>）未履行概算调整决策及审批程序，超概算的，追究项目单位法定代表人及相关人员、代建单位责任；</w:t>
      </w:r>
    </w:p>
    <w:p w14:paraId="02F20580">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eastAsia="zh-CN"/>
        </w:rPr>
        <w:t>四</w:t>
      </w:r>
      <w:r>
        <w:rPr>
          <w:rFonts w:hint="eastAsia" w:ascii="仿宋" w:hAnsi="仿宋" w:eastAsia="仿宋" w:cs="仿宋"/>
          <w:snapToGrid/>
          <w:color w:val="auto"/>
          <w:kern w:val="2"/>
          <w:sz w:val="32"/>
          <w:szCs w:val="32"/>
          <w:highlight w:val="none"/>
        </w:rPr>
        <w:t>）未及时按照程序实施应急抢险救灾工程并造成生命财产损失的，追究行业主管部门和项目单位责任；</w:t>
      </w:r>
    </w:p>
    <w:p w14:paraId="19F804DC">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w:t>
      </w:r>
      <w:r>
        <w:rPr>
          <w:rFonts w:hint="eastAsia" w:ascii="仿宋" w:hAnsi="仿宋" w:eastAsia="仿宋" w:cs="仿宋"/>
          <w:snapToGrid/>
          <w:color w:val="auto"/>
          <w:kern w:val="2"/>
          <w:sz w:val="32"/>
          <w:szCs w:val="32"/>
          <w:highlight w:val="none"/>
          <w:lang w:val="en-US" w:eastAsia="zh-CN"/>
        </w:rPr>
        <w:t>五</w:t>
      </w:r>
      <w:r>
        <w:rPr>
          <w:rFonts w:hint="eastAsia" w:ascii="仿宋" w:hAnsi="仿宋" w:eastAsia="仿宋" w:cs="仿宋"/>
          <w:snapToGrid/>
          <w:color w:val="auto"/>
          <w:kern w:val="2"/>
          <w:sz w:val="32"/>
          <w:szCs w:val="32"/>
          <w:highlight w:val="none"/>
        </w:rPr>
        <w:t>）履行政府投资管理职责中行政不作为或乱作为、失职渎职、玩忽职守、滥用职权、徇私舞弊等情形，依法追究相关单位和人员责任。</w:t>
      </w:r>
    </w:p>
    <w:p w14:paraId="468395C0">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四十六</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项目单位有下列行为之一的，责令整改，根据具体情况，暂停、停止拨付资金或者收回已拨付的资金，暂停或者停止建设活动，由相关部门对负有责任的领导和直接责任人</w:t>
      </w:r>
      <w:r>
        <w:rPr>
          <w:rFonts w:hint="eastAsia" w:ascii="仿宋" w:hAnsi="仿宋" w:eastAsia="仿宋" w:cs="仿宋"/>
          <w:snapToGrid/>
          <w:color w:val="auto"/>
          <w:kern w:val="2"/>
          <w:sz w:val="32"/>
          <w:szCs w:val="32"/>
          <w:highlight w:val="none"/>
          <w:lang w:eastAsia="zh-CN"/>
        </w:rPr>
        <w:t>依法</w:t>
      </w:r>
      <w:r>
        <w:rPr>
          <w:rFonts w:hint="eastAsia" w:ascii="仿宋" w:hAnsi="仿宋" w:eastAsia="仿宋" w:cs="仿宋"/>
          <w:snapToGrid/>
          <w:color w:val="auto"/>
          <w:kern w:val="2"/>
          <w:sz w:val="32"/>
          <w:szCs w:val="32"/>
          <w:highlight w:val="none"/>
        </w:rPr>
        <w:t>依规给予处分。</w:t>
      </w:r>
    </w:p>
    <w:p w14:paraId="4917CB03">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（一）未经批准或不符合规定建设条件擅自开工建设政府投资项目；</w:t>
      </w:r>
    </w:p>
    <w:p w14:paraId="3AF54838">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（二）弄虚作假骗取政府投资项目审批或者投资补助、贷款贴息等政府投资资金；</w:t>
      </w:r>
    </w:p>
    <w:p w14:paraId="4D594983">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（三）</w:t>
      </w:r>
      <w:r>
        <w:rPr>
          <w:rFonts w:hint="eastAsia" w:ascii="仿宋" w:hAnsi="仿宋" w:eastAsia="仿宋" w:cs="仿宋"/>
          <w:snapToGrid/>
          <w:color w:val="auto"/>
          <w:kern w:val="2"/>
          <w:sz w:val="32"/>
          <w:szCs w:val="32"/>
          <w:highlight w:val="none"/>
          <w:lang w:eastAsia="zh-CN"/>
        </w:rPr>
        <w:t>未经批准</w:t>
      </w:r>
      <w:r>
        <w:rPr>
          <w:rFonts w:hint="eastAsia" w:ascii="仿宋" w:hAnsi="仿宋" w:eastAsia="仿宋" w:cs="仿宋"/>
          <w:snapToGrid/>
          <w:color w:val="auto"/>
          <w:kern w:val="2"/>
          <w:sz w:val="32"/>
          <w:szCs w:val="32"/>
          <w:highlight w:val="none"/>
        </w:rPr>
        <w:t>擅自变更建设地点、建设标准、建设规模、建设内容等；</w:t>
      </w:r>
    </w:p>
    <w:p w14:paraId="68987A70">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（四）无正当理由不实施或者不按照建设工期实施已批准的政府投资项目；</w:t>
      </w:r>
    </w:p>
    <w:p w14:paraId="1071EBBB">
      <w:pPr>
        <w:widowControl w:val="0"/>
        <w:kinsoku/>
        <w:autoSpaceDE/>
        <w:autoSpaceDN/>
        <w:adjustRightInd/>
        <w:snapToGrid/>
        <w:spacing w:line="560" w:lineRule="exact"/>
        <w:ind w:firstLine="640"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snapToGrid/>
          <w:color w:val="auto"/>
          <w:kern w:val="2"/>
          <w:sz w:val="32"/>
          <w:szCs w:val="32"/>
          <w:highlight w:val="none"/>
        </w:rPr>
        <w:t>（五）未按规定将政府投资项目立项和实施过程中的有关文件、资料存档备查，或者转移、隐匿、篡改、毁弃项目有关文件、资料。</w:t>
      </w:r>
    </w:p>
    <w:p w14:paraId="4E46C9C6">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color w:val="auto"/>
          <w:kern w:val="2"/>
          <w:sz w:val="32"/>
          <w:szCs w:val="32"/>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eastAsia="zh-CN"/>
        </w:rPr>
        <w:t>四十七</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规范项目咨询、代建、勘察、设计、施工、监理、招标代理等中介机构及其从业人员管理。对于与项目单位或相关方串通进行违规操作的，出具的成果报告或审查结论弄虚作假、严重失实的，或未履行合同职责导致项目各种损失(包含但不限于经济损失、质量安全事故损失等)的，根据情节轻重，将其不良行为记入信用档案，同时在媒体上予以公布，并依据相关规定开展联合惩戒。对造成经济等损失的，依法承担赔偿责任。</w:t>
      </w:r>
    </w:p>
    <w:p w14:paraId="436F1EAD">
      <w:pPr>
        <w:widowControl w:val="0"/>
        <w:kinsoku/>
        <w:autoSpaceDE/>
        <w:autoSpaceDN/>
        <w:adjustRightInd/>
        <w:snapToGrid/>
        <w:spacing w:line="560" w:lineRule="exact"/>
        <w:ind w:firstLine="643" w:firstLineChars="200"/>
        <w:jc w:val="both"/>
        <w:textAlignment w:val="center"/>
        <w:rPr>
          <w:rFonts w:hint="eastAsia"/>
          <w:color w:val="auto"/>
          <w:highlight w:val="none"/>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四十八</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在政府投资项目审批、监管和实施过程中，构成犯罪的，依法追究刑事责任。</w:t>
      </w:r>
    </w:p>
    <w:p w14:paraId="38A68CC2">
      <w:pPr>
        <w:spacing w:before="20" w:afterLines="100" w:line="560" w:lineRule="exact"/>
        <w:ind w:left="3334"/>
        <w:rPr>
          <w:rFonts w:hint="eastAsia" w:ascii="仿宋" w:hAnsi="仿宋" w:eastAsia="仿宋" w:cs="仿宋"/>
          <w:b/>
          <w:bCs/>
          <w:color w:val="auto"/>
          <w:spacing w:val="-1"/>
          <w:sz w:val="32"/>
          <w:szCs w:val="32"/>
          <w:highlight w:val="none"/>
        </w:rPr>
      </w:pPr>
      <w:r>
        <w:rPr>
          <w:rFonts w:hint="eastAsia" w:ascii="仿宋" w:hAnsi="仿宋" w:eastAsia="仿宋" w:cs="仿宋"/>
          <w:b/>
          <w:bCs/>
          <w:color w:val="auto"/>
          <w:spacing w:val="-1"/>
          <w:sz w:val="32"/>
          <w:szCs w:val="32"/>
          <w:highlight w:val="none"/>
          <w:lang w:eastAsia="zh-CN"/>
        </w:rPr>
        <w:t>第九章</w:t>
      </w:r>
      <w:r>
        <w:rPr>
          <w:rFonts w:hint="eastAsia" w:ascii="仿宋" w:hAnsi="仿宋" w:eastAsia="仿宋" w:cs="仿宋"/>
          <w:b/>
          <w:bCs/>
          <w:color w:val="auto"/>
          <w:spacing w:val="-1"/>
          <w:sz w:val="32"/>
          <w:szCs w:val="32"/>
          <w:highlight w:val="none"/>
          <w:lang w:val="en-US" w:eastAsia="zh-CN"/>
        </w:rPr>
        <w:t xml:space="preserve">  </w:t>
      </w:r>
      <w:r>
        <w:rPr>
          <w:rFonts w:hint="eastAsia" w:ascii="仿宋" w:hAnsi="仿宋" w:eastAsia="仿宋" w:cs="仿宋"/>
          <w:b/>
          <w:bCs/>
          <w:color w:val="auto"/>
          <w:spacing w:val="-1"/>
          <w:sz w:val="32"/>
          <w:szCs w:val="32"/>
          <w:highlight w:val="none"/>
        </w:rPr>
        <w:t>附  则</w:t>
      </w:r>
    </w:p>
    <w:p w14:paraId="6EF7D636">
      <w:pPr>
        <w:widowControl w:val="0"/>
        <w:kinsoku/>
        <w:autoSpaceDE/>
        <w:autoSpaceDN/>
        <w:adjustRightInd/>
        <w:snapToGrid/>
        <w:spacing w:line="560" w:lineRule="exact"/>
        <w:ind w:firstLine="643" w:firstLineChars="200"/>
        <w:jc w:val="both"/>
        <w:textAlignment w:val="center"/>
        <w:rPr>
          <w:rFonts w:hint="eastAsia" w:ascii="仿宋" w:hAnsi="仿宋" w:eastAsia="仿宋" w:cs="仿宋"/>
          <w:snapToGrid/>
          <w:kern w:val="2"/>
          <w:sz w:val="32"/>
          <w:szCs w:val="32"/>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四十九</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w:t>
      </w:r>
      <w:r>
        <w:rPr>
          <w:rFonts w:hint="eastAsia" w:ascii="仿宋" w:hAnsi="仿宋" w:eastAsia="仿宋" w:cs="仿宋"/>
          <w:snapToGrid/>
          <w:kern w:val="2"/>
          <w:sz w:val="32"/>
          <w:szCs w:val="32"/>
        </w:rPr>
        <w:t>党政机关办公楼等楼堂馆所建设项目，按照有关规定严格执行。县域内国有投资项目和县属国有企业投资建设项目，参照本办法规定执行。</w:t>
      </w:r>
    </w:p>
    <w:p w14:paraId="5559614C">
      <w:pPr>
        <w:widowControl w:val="0"/>
        <w:kinsoku/>
        <w:autoSpaceDE/>
        <w:autoSpaceDN/>
        <w:adjustRightInd/>
        <w:snapToGrid/>
        <w:spacing w:line="560" w:lineRule="exact"/>
        <w:ind w:firstLine="643" w:firstLineChars="200"/>
        <w:jc w:val="both"/>
        <w:textAlignment w:val="center"/>
        <w:rPr>
          <w:ins w:id="1" w:author="Administrator" w:date="2024-06-21T12:41:14Z"/>
          <w:rFonts w:hint="eastAsia" w:ascii="仿宋" w:hAnsi="仿宋" w:eastAsia="仿宋" w:cs="仿宋"/>
          <w:snapToGrid/>
          <w:color w:val="auto"/>
          <w:kern w:val="2"/>
          <w:sz w:val="32"/>
          <w:szCs w:val="32"/>
          <w:highlight w:val="none"/>
          <w:lang w:eastAsia="zh-CN"/>
        </w:rPr>
      </w:pPr>
      <w:r>
        <w:rPr>
          <w:rFonts w:hint="eastAsia" w:ascii="仿宋" w:hAnsi="仿宋" w:eastAsia="仿宋" w:cs="仿宋"/>
          <w:b/>
          <w:bCs/>
          <w:snapToGrid/>
          <w:color w:val="auto"/>
          <w:kern w:val="2"/>
          <w:sz w:val="32"/>
          <w:szCs w:val="32"/>
          <w:highlight w:val="none"/>
        </w:rPr>
        <w:t>第</w:t>
      </w:r>
      <w:r>
        <w:rPr>
          <w:rFonts w:hint="eastAsia" w:ascii="仿宋" w:hAnsi="仿宋" w:eastAsia="仿宋" w:cs="仿宋"/>
          <w:b/>
          <w:bCs/>
          <w:snapToGrid/>
          <w:color w:val="auto"/>
          <w:kern w:val="2"/>
          <w:sz w:val="32"/>
          <w:szCs w:val="32"/>
          <w:highlight w:val="none"/>
          <w:lang w:val="en-US" w:eastAsia="zh-CN"/>
        </w:rPr>
        <w:t>五十</w:t>
      </w:r>
      <w:r>
        <w:rPr>
          <w:rFonts w:hint="eastAsia" w:ascii="仿宋" w:hAnsi="仿宋" w:eastAsia="仿宋" w:cs="仿宋"/>
          <w:b/>
          <w:bCs/>
          <w:snapToGrid/>
          <w:color w:val="auto"/>
          <w:kern w:val="2"/>
          <w:sz w:val="32"/>
          <w:szCs w:val="32"/>
          <w:highlight w:val="none"/>
        </w:rPr>
        <w:t>条</w:t>
      </w:r>
      <w:r>
        <w:rPr>
          <w:rFonts w:hint="eastAsia" w:ascii="仿宋" w:hAnsi="仿宋" w:eastAsia="仿宋" w:cs="仿宋"/>
          <w:snapToGrid/>
          <w:color w:val="auto"/>
          <w:kern w:val="2"/>
          <w:sz w:val="32"/>
          <w:szCs w:val="32"/>
          <w:highlight w:val="none"/>
        </w:rPr>
        <w:t xml:space="preserve">  本办法涉及行业管理未尽事宜，行业主管部门应当按照本办法规定制定实施细则。法律、法规、规章以及上位规范性文件另有规定的，从其规定。本办法自公布之日起施行</w:t>
      </w:r>
      <w:r>
        <w:rPr>
          <w:rFonts w:hint="eastAsia" w:ascii="仿宋" w:hAnsi="仿宋" w:eastAsia="仿宋" w:cs="仿宋"/>
          <w:snapToGrid/>
          <w:color w:val="auto"/>
          <w:kern w:val="2"/>
          <w:sz w:val="32"/>
          <w:szCs w:val="32"/>
          <w:highlight w:val="none"/>
          <w:lang w:eastAsia="zh-CN"/>
        </w:rPr>
        <w:t>，县内已</w:t>
      </w:r>
      <w:r>
        <w:rPr>
          <w:rFonts w:hint="eastAsia" w:ascii="仿宋" w:hAnsi="仿宋" w:eastAsia="仿宋" w:cs="仿宋"/>
          <w:snapToGrid/>
          <w:color w:val="auto"/>
          <w:kern w:val="2"/>
          <w:sz w:val="32"/>
          <w:szCs w:val="32"/>
          <w:highlight w:val="none"/>
        </w:rPr>
        <w:t>发文件与本办法有冲突的，以本办法为准</w:t>
      </w:r>
      <w:r>
        <w:rPr>
          <w:rFonts w:hint="eastAsia" w:ascii="仿宋" w:hAnsi="仿宋" w:eastAsia="仿宋" w:cs="仿宋"/>
          <w:snapToGrid/>
          <w:color w:val="auto"/>
          <w:kern w:val="2"/>
          <w:sz w:val="32"/>
          <w:szCs w:val="32"/>
          <w:highlight w:val="none"/>
          <w:lang w:eastAsia="zh-CN"/>
        </w:rPr>
        <w:t>。</w:t>
      </w:r>
    </w:p>
    <w:p w14:paraId="3684D09C">
      <w:pPr>
        <w:widowControl w:val="0"/>
        <w:kinsoku/>
        <w:autoSpaceDE/>
        <w:autoSpaceDN/>
        <w:adjustRightInd/>
        <w:snapToGrid/>
        <w:spacing w:line="560" w:lineRule="exact"/>
        <w:ind w:firstLine="640" w:firstLineChars="200"/>
        <w:jc w:val="both"/>
        <w:textAlignment w:val="center"/>
        <w:rPr>
          <w:ins w:id="2" w:author="Administrator" w:date="2024-06-21T12:41:16Z"/>
          <w:rFonts w:hint="eastAsia" w:ascii="仿宋" w:hAnsi="仿宋" w:eastAsia="仿宋" w:cs="仿宋"/>
          <w:snapToGrid/>
          <w:color w:val="auto"/>
          <w:kern w:val="2"/>
          <w:sz w:val="32"/>
          <w:szCs w:val="32"/>
          <w:highlight w:val="none"/>
          <w:lang w:eastAsia="zh-CN"/>
        </w:rPr>
      </w:pPr>
    </w:p>
    <w:p w14:paraId="3BBE5866">
      <w:pPr>
        <w:widowControl w:val="0"/>
        <w:kinsoku/>
        <w:autoSpaceDE/>
        <w:autoSpaceDN/>
        <w:adjustRightInd/>
        <w:snapToGrid/>
        <w:spacing w:line="560" w:lineRule="exact"/>
        <w:ind w:firstLine="640" w:firstLineChars="200"/>
        <w:jc w:val="both"/>
        <w:textAlignment w:val="center"/>
        <w:rPr>
          <w:rFonts w:hint="default" w:ascii="仿宋" w:hAnsi="仿宋" w:eastAsia="仿宋" w:cs="仿宋"/>
          <w:snapToGrid/>
          <w:color w:val="auto"/>
          <w:kern w:val="2"/>
          <w:sz w:val="32"/>
          <w:szCs w:val="32"/>
          <w:highlight w:val="none"/>
          <w:lang w:val="en-US" w:eastAsia="zh-CN"/>
        </w:rPr>
      </w:pPr>
    </w:p>
    <w:sectPr>
      <w:footerReference r:id="rId3" w:type="default"/>
      <w:pgSz w:w="11910" w:h="16840"/>
      <w:pgMar w:top="1429" w:right="1701" w:bottom="1769" w:left="1372" w:header="0" w:footer="150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01A197-7DA2-47D4-BEE6-AB14DFE764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embedRegular r:id="rId2" w:fontKey="{5BF6C2B7-3F84-4F80-8BE1-19D0D3BEF2A8}"/>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ED372EE1-4366-495E-8CC2-65B5A11F1820}"/>
  </w:font>
  <w:font w:name="仿宋">
    <w:panose1 w:val="02010609060101010101"/>
    <w:charset w:val="86"/>
    <w:family w:val="modern"/>
    <w:pitch w:val="default"/>
    <w:sig w:usb0="800002BF" w:usb1="38CF7CFA" w:usb2="00000016" w:usb3="00000000" w:csb0="00040001" w:csb1="00000000"/>
    <w:embedRegular r:id="rId4" w:fontKey="{E1EEB919-C1C4-4714-9D1E-924EAD8BB05B}"/>
  </w:font>
  <w:font w:name="仿宋_GB2312">
    <w:panose1 w:val="02010609030101010101"/>
    <w:charset w:val="86"/>
    <w:family w:val="modern"/>
    <w:pitch w:val="default"/>
    <w:sig w:usb0="00000001" w:usb1="080E0000" w:usb2="00000000" w:usb3="00000000" w:csb0="00040000" w:csb1="00000000"/>
    <w:embedRegular r:id="rId5" w:fontKey="{1970BF8A-546A-4D56-9479-F0C31F2852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BFFB">
    <w:pPr>
      <w:spacing w:line="183" w:lineRule="auto"/>
      <w:rPr>
        <w:rFonts w:ascii="宋体" w:hAnsi="宋体" w:eastAsia="宋体" w:cs="宋体"/>
        <w:sz w:val="27"/>
        <w:szCs w:val="27"/>
      </w:rPr>
    </w:pPr>
  </w:p>
  <w:p w14:paraId="0C707825">
    <w:pPr>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E232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96E232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1439F"/>
    <w:multiLevelType w:val="singleLevel"/>
    <w:tmpl w:val="0301439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zhiODhiYWFiMTI0NjZjOWYyODM4YzM2ODk5MTkifQ=="/>
  </w:docVars>
  <w:rsids>
    <w:rsidRoot w:val="003D07CA"/>
    <w:rsid w:val="0010081C"/>
    <w:rsid w:val="001D492D"/>
    <w:rsid w:val="003D07CA"/>
    <w:rsid w:val="007E7E5C"/>
    <w:rsid w:val="009D09BD"/>
    <w:rsid w:val="00A2690B"/>
    <w:rsid w:val="00A60131"/>
    <w:rsid w:val="00AD558A"/>
    <w:rsid w:val="00B0559E"/>
    <w:rsid w:val="00C61894"/>
    <w:rsid w:val="00CD0B7B"/>
    <w:rsid w:val="01233A9E"/>
    <w:rsid w:val="01655E65"/>
    <w:rsid w:val="017B5688"/>
    <w:rsid w:val="01D9415D"/>
    <w:rsid w:val="021F4265"/>
    <w:rsid w:val="0224362A"/>
    <w:rsid w:val="0233386D"/>
    <w:rsid w:val="02477318"/>
    <w:rsid w:val="02AF383B"/>
    <w:rsid w:val="02AF7E78"/>
    <w:rsid w:val="02B7449E"/>
    <w:rsid w:val="02B7624C"/>
    <w:rsid w:val="02C771B3"/>
    <w:rsid w:val="02EE59E6"/>
    <w:rsid w:val="03196F07"/>
    <w:rsid w:val="03457CFC"/>
    <w:rsid w:val="034B0E0C"/>
    <w:rsid w:val="036F2FCB"/>
    <w:rsid w:val="038C76D9"/>
    <w:rsid w:val="03B1713F"/>
    <w:rsid w:val="03FA4EFF"/>
    <w:rsid w:val="04471852"/>
    <w:rsid w:val="0466617C"/>
    <w:rsid w:val="04684391"/>
    <w:rsid w:val="04A942BA"/>
    <w:rsid w:val="04C133B2"/>
    <w:rsid w:val="050140F6"/>
    <w:rsid w:val="05316D8F"/>
    <w:rsid w:val="053C6EDC"/>
    <w:rsid w:val="05C1256C"/>
    <w:rsid w:val="05DF3CA9"/>
    <w:rsid w:val="0661309E"/>
    <w:rsid w:val="06677F89"/>
    <w:rsid w:val="066A7A79"/>
    <w:rsid w:val="069468A4"/>
    <w:rsid w:val="06D4250D"/>
    <w:rsid w:val="06E67100"/>
    <w:rsid w:val="06F41AA5"/>
    <w:rsid w:val="075E75DE"/>
    <w:rsid w:val="07AC659B"/>
    <w:rsid w:val="07C03DF5"/>
    <w:rsid w:val="07CC3EDE"/>
    <w:rsid w:val="08030185"/>
    <w:rsid w:val="08191145"/>
    <w:rsid w:val="08397703"/>
    <w:rsid w:val="086B3A7B"/>
    <w:rsid w:val="088A61B1"/>
    <w:rsid w:val="089112ED"/>
    <w:rsid w:val="08AA0601"/>
    <w:rsid w:val="094C3466"/>
    <w:rsid w:val="09A3752A"/>
    <w:rsid w:val="09AB4631"/>
    <w:rsid w:val="09AD65FB"/>
    <w:rsid w:val="09CB4CD3"/>
    <w:rsid w:val="0A2A19F9"/>
    <w:rsid w:val="0AAB16F3"/>
    <w:rsid w:val="0AAC240E"/>
    <w:rsid w:val="0AB063A2"/>
    <w:rsid w:val="0ACE4A7B"/>
    <w:rsid w:val="0AD6392F"/>
    <w:rsid w:val="0ADD2F10"/>
    <w:rsid w:val="0B1B7594"/>
    <w:rsid w:val="0B3D750A"/>
    <w:rsid w:val="0B492353"/>
    <w:rsid w:val="0B61144B"/>
    <w:rsid w:val="0B811AED"/>
    <w:rsid w:val="0BB90708"/>
    <w:rsid w:val="0C8777AA"/>
    <w:rsid w:val="0C915D60"/>
    <w:rsid w:val="0CBD6B55"/>
    <w:rsid w:val="0CCC323C"/>
    <w:rsid w:val="0D0C53E6"/>
    <w:rsid w:val="0D1424ED"/>
    <w:rsid w:val="0D307327"/>
    <w:rsid w:val="0DF90060"/>
    <w:rsid w:val="0E3665B7"/>
    <w:rsid w:val="0EC046DA"/>
    <w:rsid w:val="0EF34AB0"/>
    <w:rsid w:val="0F0E7E24"/>
    <w:rsid w:val="0F384BB8"/>
    <w:rsid w:val="0F696B20"/>
    <w:rsid w:val="0F8968B2"/>
    <w:rsid w:val="0FA22032"/>
    <w:rsid w:val="0FBC1346"/>
    <w:rsid w:val="0FDC5544"/>
    <w:rsid w:val="1012265C"/>
    <w:rsid w:val="1021564D"/>
    <w:rsid w:val="103A04BC"/>
    <w:rsid w:val="10472915"/>
    <w:rsid w:val="106519DD"/>
    <w:rsid w:val="107439CE"/>
    <w:rsid w:val="10973B61"/>
    <w:rsid w:val="109C07A3"/>
    <w:rsid w:val="109E4EEF"/>
    <w:rsid w:val="11182F6F"/>
    <w:rsid w:val="11186A50"/>
    <w:rsid w:val="114F1D45"/>
    <w:rsid w:val="1202500A"/>
    <w:rsid w:val="1232769D"/>
    <w:rsid w:val="12371157"/>
    <w:rsid w:val="124A7D72"/>
    <w:rsid w:val="126F6B43"/>
    <w:rsid w:val="129465AA"/>
    <w:rsid w:val="134A57B8"/>
    <w:rsid w:val="138403CC"/>
    <w:rsid w:val="139062C0"/>
    <w:rsid w:val="139525D9"/>
    <w:rsid w:val="13985C26"/>
    <w:rsid w:val="13CE1647"/>
    <w:rsid w:val="13E40E6B"/>
    <w:rsid w:val="13FF7A53"/>
    <w:rsid w:val="146975C2"/>
    <w:rsid w:val="14721212"/>
    <w:rsid w:val="149B0594"/>
    <w:rsid w:val="15007F26"/>
    <w:rsid w:val="15023C9F"/>
    <w:rsid w:val="150572EB"/>
    <w:rsid w:val="152A0AFF"/>
    <w:rsid w:val="15493162"/>
    <w:rsid w:val="15793835"/>
    <w:rsid w:val="1594066F"/>
    <w:rsid w:val="15F335E7"/>
    <w:rsid w:val="15FB24A7"/>
    <w:rsid w:val="16C8533A"/>
    <w:rsid w:val="17470DAC"/>
    <w:rsid w:val="174A7237"/>
    <w:rsid w:val="17DA4A5F"/>
    <w:rsid w:val="18754787"/>
    <w:rsid w:val="1890511D"/>
    <w:rsid w:val="18B90B18"/>
    <w:rsid w:val="18D25736"/>
    <w:rsid w:val="18ED07C2"/>
    <w:rsid w:val="191171B2"/>
    <w:rsid w:val="193451BA"/>
    <w:rsid w:val="194A5C14"/>
    <w:rsid w:val="19832ED4"/>
    <w:rsid w:val="1993062A"/>
    <w:rsid w:val="19C05ED6"/>
    <w:rsid w:val="1A1678A4"/>
    <w:rsid w:val="1A1E49AB"/>
    <w:rsid w:val="1A22449B"/>
    <w:rsid w:val="1A473F02"/>
    <w:rsid w:val="1AAB623F"/>
    <w:rsid w:val="1B3627AD"/>
    <w:rsid w:val="1B4D379A"/>
    <w:rsid w:val="1B852A0F"/>
    <w:rsid w:val="1BCA6B98"/>
    <w:rsid w:val="1C085913"/>
    <w:rsid w:val="1C24274C"/>
    <w:rsid w:val="1C2838BF"/>
    <w:rsid w:val="1C427076"/>
    <w:rsid w:val="1C4E11FC"/>
    <w:rsid w:val="1C60602A"/>
    <w:rsid w:val="1C662D65"/>
    <w:rsid w:val="1C694603"/>
    <w:rsid w:val="1CC21F65"/>
    <w:rsid w:val="1CE27F12"/>
    <w:rsid w:val="1D1F4CC2"/>
    <w:rsid w:val="1E4C1AE7"/>
    <w:rsid w:val="1E625A64"/>
    <w:rsid w:val="1E7D4396"/>
    <w:rsid w:val="1EE75CB3"/>
    <w:rsid w:val="1F2111C5"/>
    <w:rsid w:val="1F3C7DAD"/>
    <w:rsid w:val="1F4E188E"/>
    <w:rsid w:val="1F8C207E"/>
    <w:rsid w:val="1FDC6E9A"/>
    <w:rsid w:val="200C59D1"/>
    <w:rsid w:val="20370574"/>
    <w:rsid w:val="20531852"/>
    <w:rsid w:val="21584C46"/>
    <w:rsid w:val="216E7FC6"/>
    <w:rsid w:val="217557F8"/>
    <w:rsid w:val="217A4BBD"/>
    <w:rsid w:val="21D544E9"/>
    <w:rsid w:val="21E36C06"/>
    <w:rsid w:val="223C00C4"/>
    <w:rsid w:val="22405E06"/>
    <w:rsid w:val="2254540E"/>
    <w:rsid w:val="22857CBD"/>
    <w:rsid w:val="22996703"/>
    <w:rsid w:val="22CC31F6"/>
    <w:rsid w:val="232A43C0"/>
    <w:rsid w:val="23445482"/>
    <w:rsid w:val="234C4337"/>
    <w:rsid w:val="235C53E9"/>
    <w:rsid w:val="237815D0"/>
    <w:rsid w:val="239F6B5C"/>
    <w:rsid w:val="23B63535"/>
    <w:rsid w:val="23BA3996"/>
    <w:rsid w:val="240864B0"/>
    <w:rsid w:val="244D480A"/>
    <w:rsid w:val="245E4322"/>
    <w:rsid w:val="24855D52"/>
    <w:rsid w:val="24B71C84"/>
    <w:rsid w:val="2554391C"/>
    <w:rsid w:val="25733DFD"/>
    <w:rsid w:val="25EC3BAF"/>
    <w:rsid w:val="26213859"/>
    <w:rsid w:val="26437C73"/>
    <w:rsid w:val="26A83F7A"/>
    <w:rsid w:val="26F45411"/>
    <w:rsid w:val="27C546B8"/>
    <w:rsid w:val="27E17743"/>
    <w:rsid w:val="280D0539"/>
    <w:rsid w:val="280E2503"/>
    <w:rsid w:val="283D6944"/>
    <w:rsid w:val="284A5FCC"/>
    <w:rsid w:val="285D32D9"/>
    <w:rsid w:val="28D64DCE"/>
    <w:rsid w:val="28D92B11"/>
    <w:rsid w:val="29341AF5"/>
    <w:rsid w:val="294D2BB7"/>
    <w:rsid w:val="297B7724"/>
    <w:rsid w:val="29BD1AEA"/>
    <w:rsid w:val="29E17ECF"/>
    <w:rsid w:val="2A4915D0"/>
    <w:rsid w:val="2A587A65"/>
    <w:rsid w:val="2A6B1546"/>
    <w:rsid w:val="2A887754"/>
    <w:rsid w:val="2ADC0AD4"/>
    <w:rsid w:val="2B204A27"/>
    <w:rsid w:val="2B5B15BB"/>
    <w:rsid w:val="2B7663F5"/>
    <w:rsid w:val="2BCB6018"/>
    <w:rsid w:val="2BDB26FC"/>
    <w:rsid w:val="2C8763E0"/>
    <w:rsid w:val="2CAD22EA"/>
    <w:rsid w:val="2D047A30"/>
    <w:rsid w:val="2D1C2FCC"/>
    <w:rsid w:val="2D8D3ECA"/>
    <w:rsid w:val="2D9D410D"/>
    <w:rsid w:val="2DB87198"/>
    <w:rsid w:val="2DF16206"/>
    <w:rsid w:val="2E0423DE"/>
    <w:rsid w:val="2E110657"/>
    <w:rsid w:val="2E690493"/>
    <w:rsid w:val="2E813A2E"/>
    <w:rsid w:val="2FF124EE"/>
    <w:rsid w:val="30204B81"/>
    <w:rsid w:val="30332B06"/>
    <w:rsid w:val="303A20E7"/>
    <w:rsid w:val="306E7FE2"/>
    <w:rsid w:val="30C714A1"/>
    <w:rsid w:val="30C95219"/>
    <w:rsid w:val="318C4BC4"/>
    <w:rsid w:val="3190205C"/>
    <w:rsid w:val="31C0661C"/>
    <w:rsid w:val="320A7897"/>
    <w:rsid w:val="3239017C"/>
    <w:rsid w:val="32D00AE0"/>
    <w:rsid w:val="33024A12"/>
    <w:rsid w:val="33550FE6"/>
    <w:rsid w:val="33BE4DDD"/>
    <w:rsid w:val="34140EA1"/>
    <w:rsid w:val="346F4329"/>
    <w:rsid w:val="34853B4C"/>
    <w:rsid w:val="34930017"/>
    <w:rsid w:val="34A71D15"/>
    <w:rsid w:val="34BF2BBB"/>
    <w:rsid w:val="353F5AA9"/>
    <w:rsid w:val="355E5DE1"/>
    <w:rsid w:val="3599165E"/>
    <w:rsid w:val="35A818A1"/>
    <w:rsid w:val="35BC534C"/>
    <w:rsid w:val="35C30488"/>
    <w:rsid w:val="35C67F79"/>
    <w:rsid w:val="35CD57AB"/>
    <w:rsid w:val="35F76384"/>
    <w:rsid w:val="364610BA"/>
    <w:rsid w:val="36533F02"/>
    <w:rsid w:val="36603F29"/>
    <w:rsid w:val="3667175C"/>
    <w:rsid w:val="367D2D2D"/>
    <w:rsid w:val="368340BC"/>
    <w:rsid w:val="36D44917"/>
    <w:rsid w:val="373F7FE3"/>
    <w:rsid w:val="37490E61"/>
    <w:rsid w:val="37893954"/>
    <w:rsid w:val="37C14E9C"/>
    <w:rsid w:val="37DE3C9F"/>
    <w:rsid w:val="37E676F3"/>
    <w:rsid w:val="381476C1"/>
    <w:rsid w:val="38170F5F"/>
    <w:rsid w:val="38F60B75"/>
    <w:rsid w:val="38F65019"/>
    <w:rsid w:val="39677CC5"/>
    <w:rsid w:val="39A84565"/>
    <w:rsid w:val="39B8206F"/>
    <w:rsid w:val="39D54C2E"/>
    <w:rsid w:val="3A0D5DF3"/>
    <w:rsid w:val="3A304BD0"/>
    <w:rsid w:val="3A5E69D2"/>
    <w:rsid w:val="3A661D2A"/>
    <w:rsid w:val="3A970136"/>
    <w:rsid w:val="3A970BEB"/>
    <w:rsid w:val="3AC727C9"/>
    <w:rsid w:val="3B2B4E4D"/>
    <w:rsid w:val="3B820DE6"/>
    <w:rsid w:val="3BC431AC"/>
    <w:rsid w:val="3BEE647B"/>
    <w:rsid w:val="3C074E47"/>
    <w:rsid w:val="3C0B2B89"/>
    <w:rsid w:val="3C1557B6"/>
    <w:rsid w:val="3C237ED3"/>
    <w:rsid w:val="3C5A58BF"/>
    <w:rsid w:val="3CA36BD3"/>
    <w:rsid w:val="3CA52FDE"/>
    <w:rsid w:val="3CBE19AA"/>
    <w:rsid w:val="3CE27D8E"/>
    <w:rsid w:val="3CFE449C"/>
    <w:rsid w:val="3D344362"/>
    <w:rsid w:val="3D4E5423"/>
    <w:rsid w:val="3D7529B0"/>
    <w:rsid w:val="3D8175A7"/>
    <w:rsid w:val="3DCB0822"/>
    <w:rsid w:val="3E473968"/>
    <w:rsid w:val="3E6409B6"/>
    <w:rsid w:val="3E716AF7"/>
    <w:rsid w:val="3EBD5C2A"/>
    <w:rsid w:val="3ECC2AA4"/>
    <w:rsid w:val="3EF67B21"/>
    <w:rsid w:val="3EF773F5"/>
    <w:rsid w:val="3F161F71"/>
    <w:rsid w:val="3F3B3785"/>
    <w:rsid w:val="3FFB1940"/>
    <w:rsid w:val="40031F39"/>
    <w:rsid w:val="40606E47"/>
    <w:rsid w:val="40BD6FA9"/>
    <w:rsid w:val="40C71894"/>
    <w:rsid w:val="40CD2B03"/>
    <w:rsid w:val="40FA4F7A"/>
    <w:rsid w:val="41032081"/>
    <w:rsid w:val="41126768"/>
    <w:rsid w:val="4157061F"/>
    <w:rsid w:val="417411D1"/>
    <w:rsid w:val="41801923"/>
    <w:rsid w:val="41AF045B"/>
    <w:rsid w:val="41EA4FEF"/>
    <w:rsid w:val="42034689"/>
    <w:rsid w:val="42186000"/>
    <w:rsid w:val="42D40179"/>
    <w:rsid w:val="432E715D"/>
    <w:rsid w:val="432F3601"/>
    <w:rsid w:val="43686B13"/>
    <w:rsid w:val="43EE7055"/>
    <w:rsid w:val="43FD36FF"/>
    <w:rsid w:val="44163C87"/>
    <w:rsid w:val="441F5424"/>
    <w:rsid w:val="44323375"/>
    <w:rsid w:val="443A4980"/>
    <w:rsid w:val="444255B6"/>
    <w:rsid w:val="447A08AC"/>
    <w:rsid w:val="447D039C"/>
    <w:rsid w:val="44845A5E"/>
    <w:rsid w:val="448E07FB"/>
    <w:rsid w:val="44A1408B"/>
    <w:rsid w:val="44C85ABB"/>
    <w:rsid w:val="44CD4E80"/>
    <w:rsid w:val="44ED5522"/>
    <w:rsid w:val="45010FCD"/>
    <w:rsid w:val="45464C32"/>
    <w:rsid w:val="45505AB1"/>
    <w:rsid w:val="4552724E"/>
    <w:rsid w:val="45A24BF7"/>
    <w:rsid w:val="45E06E35"/>
    <w:rsid w:val="4622744D"/>
    <w:rsid w:val="466C05C6"/>
    <w:rsid w:val="46853538"/>
    <w:rsid w:val="46902609"/>
    <w:rsid w:val="46C44060"/>
    <w:rsid w:val="471D77D7"/>
    <w:rsid w:val="47745A86"/>
    <w:rsid w:val="48253225"/>
    <w:rsid w:val="483D056E"/>
    <w:rsid w:val="48AC1250"/>
    <w:rsid w:val="48B545A9"/>
    <w:rsid w:val="48C447EC"/>
    <w:rsid w:val="48D10CB7"/>
    <w:rsid w:val="491237A9"/>
    <w:rsid w:val="492E6109"/>
    <w:rsid w:val="49A37AFA"/>
    <w:rsid w:val="4A8C758B"/>
    <w:rsid w:val="4A985F30"/>
    <w:rsid w:val="4AB368C6"/>
    <w:rsid w:val="4ACA3C0F"/>
    <w:rsid w:val="4B524331"/>
    <w:rsid w:val="4B5A1437"/>
    <w:rsid w:val="4C3457E4"/>
    <w:rsid w:val="4C3E2B07"/>
    <w:rsid w:val="4C5E6D05"/>
    <w:rsid w:val="4C795610"/>
    <w:rsid w:val="4C934C01"/>
    <w:rsid w:val="4CA23096"/>
    <w:rsid w:val="4CB66B41"/>
    <w:rsid w:val="4CF66F3E"/>
    <w:rsid w:val="4CFD02CC"/>
    <w:rsid w:val="4D4E0B28"/>
    <w:rsid w:val="4D9724CF"/>
    <w:rsid w:val="4DDF3E76"/>
    <w:rsid w:val="4DF74D1B"/>
    <w:rsid w:val="4E192EE4"/>
    <w:rsid w:val="4E94797A"/>
    <w:rsid w:val="4EF8175F"/>
    <w:rsid w:val="4F1162B1"/>
    <w:rsid w:val="4FC82E13"/>
    <w:rsid w:val="50011E81"/>
    <w:rsid w:val="50377F99"/>
    <w:rsid w:val="5086682B"/>
    <w:rsid w:val="50C17863"/>
    <w:rsid w:val="50EF075F"/>
    <w:rsid w:val="50FA03F2"/>
    <w:rsid w:val="515A3F3F"/>
    <w:rsid w:val="517A013D"/>
    <w:rsid w:val="51A90A23"/>
    <w:rsid w:val="51C21AE4"/>
    <w:rsid w:val="51CE3899"/>
    <w:rsid w:val="5212481A"/>
    <w:rsid w:val="52195BA8"/>
    <w:rsid w:val="52C83178"/>
    <w:rsid w:val="5314011E"/>
    <w:rsid w:val="53486019"/>
    <w:rsid w:val="53607217"/>
    <w:rsid w:val="536A616D"/>
    <w:rsid w:val="53B84F4D"/>
    <w:rsid w:val="53DF697E"/>
    <w:rsid w:val="53FC16E4"/>
    <w:rsid w:val="54240834"/>
    <w:rsid w:val="542B571F"/>
    <w:rsid w:val="54324CFF"/>
    <w:rsid w:val="549459BA"/>
    <w:rsid w:val="54AB4AB2"/>
    <w:rsid w:val="54C6369A"/>
    <w:rsid w:val="550D12C8"/>
    <w:rsid w:val="55216B22"/>
    <w:rsid w:val="55DA38A0"/>
    <w:rsid w:val="56130B60"/>
    <w:rsid w:val="566B24B2"/>
    <w:rsid w:val="567C04B4"/>
    <w:rsid w:val="568179B0"/>
    <w:rsid w:val="569E48CE"/>
    <w:rsid w:val="57007337"/>
    <w:rsid w:val="57237C8C"/>
    <w:rsid w:val="5765363E"/>
    <w:rsid w:val="576811C9"/>
    <w:rsid w:val="57942795"/>
    <w:rsid w:val="57B63E99"/>
    <w:rsid w:val="58C83707"/>
    <w:rsid w:val="58E10AA2"/>
    <w:rsid w:val="58F509F1"/>
    <w:rsid w:val="58F67B19"/>
    <w:rsid w:val="591432B5"/>
    <w:rsid w:val="592B4413"/>
    <w:rsid w:val="5960230F"/>
    <w:rsid w:val="59BE5287"/>
    <w:rsid w:val="59D6493F"/>
    <w:rsid w:val="5A386DE8"/>
    <w:rsid w:val="5A3D61AC"/>
    <w:rsid w:val="5A461504"/>
    <w:rsid w:val="5A6B0F6B"/>
    <w:rsid w:val="5ABF662D"/>
    <w:rsid w:val="5AD8409A"/>
    <w:rsid w:val="5AE40D1D"/>
    <w:rsid w:val="5AF54CD9"/>
    <w:rsid w:val="5B1C04B7"/>
    <w:rsid w:val="5B7B3430"/>
    <w:rsid w:val="5B8D3163"/>
    <w:rsid w:val="5BAF4E87"/>
    <w:rsid w:val="5BE74621"/>
    <w:rsid w:val="5BEA2363"/>
    <w:rsid w:val="5BF441C5"/>
    <w:rsid w:val="5C37035E"/>
    <w:rsid w:val="5C58107B"/>
    <w:rsid w:val="5C8E1738"/>
    <w:rsid w:val="5CBA1D36"/>
    <w:rsid w:val="5CC2508E"/>
    <w:rsid w:val="5CFA0384"/>
    <w:rsid w:val="5D4B5084"/>
    <w:rsid w:val="5D4F6922"/>
    <w:rsid w:val="5DA0717E"/>
    <w:rsid w:val="5DD46E27"/>
    <w:rsid w:val="5E111E29"/>
    <w:rsid w:val="5E205ED2"/>
    <w:rsid w:val="5E4775F9"/>
    <w:rsid w:val="5EDD1D0C"/>
    <w:rsid w:val="5F1C6CD8"/>
    <w:rsid w:val="5F261904"/>
    <w:rsid w:val="5F447FDD"/>
    <w:rsid w:val="5FD4310E"/>
    <w:rsid w:val="5FEF7F48"/>
    <w:rsid w:val="608D150F"/>
    <w:rsid w:val="60BA216D"/>
    <w:rsid w:val="60D60CD3"/>
    <w:rsid w:val="60F03F78"/>
    <w:rsid w:val="613C1E40"/>
    <w:rsid w:val="6170330B"/>
    <w:rsid w:val="620F042E"/>
    <w:rsid w:val="620F48D2"/>
    <w:rsid w:val="6223037D"/>
    <w:rsid w:val="62C05BCC"/>
    <w:rsid w:val="62D61C08"/>
    <w:rsid w:val="62E33669"/>
    <w:rsid w:val="62F835B8"/>
    <w:rsid w:val="63147CC6"/>
    <w:rsid w:val="6370314E"/>
    <w:rsid w:val="63DC2355"/>
    <w:rsid w:val="642910AB"/>
    <w:rsid w:val="643F0D73"/>
    <w:rsid w:val="64744EC0"/>
    <w:rsid w:val="64C9520C"/>
    <w:rsid w:val="64FD4EB5"/>
    <w:rsid w:val="656E5DB3"/>
    <w:rsid w:val="66216982"/>
    <w:rsid w:val="66794A10"/>
    <w:rsid w:val="66A17AC3"/>
    <w:rsid w:val="66AD6467"/>
    <w:rsid w:val="66C7577B"/>
    <w:rsid w:val="66D9725C"/>
    <w:rsid w:val="67073DC9"/>
    <w:rsid w:val="670818F0"/>
    <w:rsid w:val="67114C48"/>
    <w:rsid w:val="67654F94"/>
    <w:rsid w:val="676F7BC1"/>
    <w:rsid w:val="678B49FB"/>
    <w:rsid w:val="67D16185"/>
    <w:rsid w:val="67D57A24"/>
    <w:rsid w:val="67FC76A6"/>
    <w:rsid w:val="68102A60"/>
    <w:rsid w:val="681A3FD0"/>
    <w:rsid w:val="681B3E94"/>
    <w:rsid w:val="69272501"/>
    <w:rsid w:val="694D5CE0"/>
    <w:rsid w:val="698F00A6"/>
    <w:rsid w:val="69DB32EB"/>
    <w:rsid w:val="69DC3712"/>
    <w:rsid w:val="6A022F6E"/>
    <w:rsid w:val="6A1A68B1"/>
    <w:rsid w:val="6A276531"/>
    <w:rsid w:val="6A3A710B"/>
    <w:rsid w:val="6A425119"/>
    <w:rsid w:val="6AA162E3"/>
    <w:rsid w:val="6AA95198"/>
    <w:rsid w:val="6AE63766"/>
    <w:rsid w:val="6AF24D91"/>
    <w:rsid w:val="6AFA6C0B"/>
    <w:rsid w:val="6B431148"/>
    <w:rsid w:val="6B76151E"/>
    <w:rsid w:val="6B8C2AEF"/>
    <w:rsid w:val="6BD61FBC"/>
    <w:rsid w:val="6C621AA2"/>
    <w:rsid w:val="6C787517"/>
    <w:rsid w:val="6C847C6A"/>
    <w:rsid w:val="6C8B0FF9"/>
    <w:rsid w:val="6CE4695B"/>
    <w:rsid w:val="6CF546C4"/>
    <w:rsid w:val="6CFA617E"/>
    <w:rsid w:val="6D5B53DD"/>
    <w:rsid w:val="6D67683B"/>
    <w:rsid w:val="6D6A3B7F"/>
    <w:rsid w:val="6D7C3A71"/>
    <w:rsid w:val="6D806684"/>
    <w:rsid w:val="6DAD31F1"/>
    <w:rsid w:val="6DE704B1"/>
    <w:rsid w:val="6DEC3D19"/>
    <w:rsid w:val="6E027099"/>
    <w:rsid w:val="6E5F273D"/>
    <w:rsid w:val="6EA36ACE"/>
    <w:rsid w:val="6F35524C"/>
    <w:rsid w:val="6FA06B69"/>
    <w:rsid w:val="6FB97C2B"/>
    <w:rsid w:val="6FE27182"/>
    <w:rsid w:val="70024AC2"/>
    <w:rsid w:val="70221C74"/>
    <w:rsid w:val="70932B72"/>
    <w:rsid w:val="70D94A29"/>
    <w:rsid w:val="70E4517B"/>
    <w:rsid w:val="70E909E4"/>
    <w:rsid w:val="71175551"/>
    <w:rsid w:val="71193077"/>
    <w:rsid w:val="71463740"/>
    <w:rsid w:val="71CF3736"/>
    <w:rsid w:val="71D21478"/>
    <w:rsid w:val="71E76CD1"/>
    <w:rsid w:val="71EC42E8"/>
    <w:rsid w:val="72135D18"/>
    <w:rsid w:val="72777687"/>
    <w:rsid w:val="728269FA"/>
    <w:rsid w:val="73214465"/>
    <w:rsid w:val="73247AB1"/>
    <w:rsid w:val="733C4DFB"/>
    <w:rsid w:val="737B2E84"/>
    <w:rsid w:val="73905147"/>
    <w:rsid w:val="73A94F62"/>
    <w:rsid w:val="742F4960"/>
    <w:rsid w:val="74455F31"/>
    <w:rsid w:val="74463A57"/>
    <w:rsid w:val="74541F4C"/>
    <w:rsid w:val="747800B5"/>
    <w:rsid w:val="74E03648"/>
    <w:rsid w:val="75071E68"/>
    <w:rsid w:val="753F6E24"/>
    <w:rsid w:val="758D4C4E"/>
    <w:rsid w:val="7597376F"/>
    <w:rsid w:val="75CB06B8"/>
    <w:rsid w:val="75E579CC"/>
    <w:rsid w:val="75EB2B08"/>
    <w:rsid w:val="76054E98"/>
    <w:rsid w:val="763E70DC"/>
    <w:rsid w:val="76756CD0"/>
    <w:rsid w:val="76EE465E"/>
    <w:rsid w:val="77784870"/>
    <w:rsid w:val="777D59E2"/>
    <w:rsid w:val="77903967"/>
    <w:rsid w:val="779C1068"/>
    <w:rsid w:val="77AD276B"/>
    <w:rsid w:val="77BF5FFA"/>
    <w:rsid w:val="77DA2E34"/>
    <w:rsid w:val="77E65CAF"/>
    <w:rsid w:val="77FC724F"/>
    <w:rsid w:val="78DC6A11"/>
    <w:rsid w:val="796E1A86"/>
    <w:rsid w:val="79CD0EA3"/>
    <w:rsid w:val="79DA536E"/>
    <w:rsid w:val="7A431165"/>
    <w:rsid w:val="7A5E7D4D"/>
    <w:rsid w:val="7AA079B8"/>
    <w:rsid w:val="7AB160CE"/>
    <w:rsid w:val="7AED10D1"/>
    <w:rsid w:val="7AF1296F"/>
    <w:rsid w:val="7B186D71"/>
    <w:rsid w:val="7B445194"/>
    <w:rsid w:val="7B8E6410"/>
    <w:rsid w:val="7BE7021B"/>
    <w:rsid w:val="7C030BAC"/>
    <w:rsid w:val="7D0A5F6A"/>
    <w:rsid w:val="7D1E76B5"/>
    <w:rsid w:val="7D40198C"/>
    <w:rsid w:val="7D6E474B"/>
    <w:rsid w:val="7E4B683A"/>
    <w:rsid w:val="7E4D4360"/>
    <w:rsid w:val="7EFC5D86"/>
    <w:rsid w:val="7F5434CC"/>
    <w:rsid w:val="7F9F1BB6"/>
    <w:rsid w:val="7FD5285F"/>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2"/>
    <w:basedOn w:val="1"/>
    <w:autoRedefine/>
    <w:qFormat/>
    <w:uiPriority w:val="0"/>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autoRedefine/>
    <w:qFormat/>
    <w:uiPriority w:val="0"/>
    <w:pPr>
      <w:snapToGrid w:val="0"/>
      <w:jc w:val="left"/>
    </w:pPr>
    <w:rPr>
      <w:rFonts w:ascii="Calibri" w:hAnsi="Calibri" w:eastAsia="宋体"/>
      <w:sz w:val="18"/>
      <w:szCs w:val="18"/>
    </w:rPr>
  </w:style>
  <w:style w:type="paragraph" w:styleId="7">
    <w:name w:val="Normal (Web)"/>
    <w:basedOn w:val="1"/>
    <w:autoRedefine/>
    <w:qFormat/>
    <w:uiPriority w:val="0"/>
    <w:rPr>
      <w:rFonts w:ascii="微软雅黑" w:hAnsi="微软雅黑" w:eastAsia="微软雅黑" w:cs="Times New Roman"/>
      <w:color w:val="333333"/>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333333"/>
      <w:u w:val="none"/>
    </w:rPr>
  </w:style>
  <w:style w:type="character" w:styleId="12">
    <w:name w:val="Emphasis"/>
    <w:basedOn w:val="10"/>
    <w:autoRedefine/>
    <w:qFormat/>
    <w:uiPriority w:val="0"/>
  </w:style>
  <w:style w:type="character" w:styleId="13">
    <w:name w:val="HTML Definition"/>
    <w:basedOn w:val="10"/>
    <w:autoRedefine/>
    <w:qFormat/>
    <w:uiPriority w:val="0"/>
  </w:style>
  <w:style w:type="character" w:styleId="14">
    <w:name w:val="HTML Acronym"/>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3333"/>
      <w:u w:val="none"/>
    </w:rPr>
  </w:style>
  <w:style w:type="character" w:styleId="17">
    <w:name w:val="HTML Code"/>
    <w:basedOn w:val="10"/>
    <w:autoRedefine/>
    <w:qFormat/>
    <w:uiPriority w:val="0"/>
    <w:rPr>
      <w:rFonts w:hint="eastAsia" w:ascii="微软雅黑" w:hAnsi="微软雅黑" w:eastAsia="微软雅黑" w:cs="微软雅黑"/>
      <w:color w:val="333333"/>
      <w:sz w:val="21"/>
      <w:szCs w:val="21"/>
    </w:rPr>
  </w:style>
  <w:style w:type="character" w:styleId="18">
    <w:name w:val="HTML Cite"/>
    <w:basedOn w:val="10"/>
    <w:autoRedefine/>
    <w:qFormat/>
    <w:uiPriority w:val="0"/>
  </w:style>
  <w:style w:type="paragraph" w:customStyle="1" w:styleId="19">
    <w:name w:val="列出段落1"/>
    <w:basedOn w:val="1"/>
    <w:qFormat/>
    <w:uiPriority w:val="0"/>
    <w:pPr>
      <w:ind w:firstLine="420" w:firstLineChars="200"/>
    </w:pPr>
    <w:rPr>
      <w:rFonts w:ascii="Calibri" w:hAnsi="Calibri"/>
      <w:szCs w:val="2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hj-easyread-speakerprocesser-position-action-icon"/>
    <w:basedOn w:val="10"/>
    <w:autoRedefine/>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5613</Words>
  <Characters>5678</Characters>
  <Lines>71</Lines>
  <Paragraphs>20</Paragraphs>
  <TotalTime>3</TotalTime>
  <ScaleCrop>false</ScaleCrop>
  <LinksUpToDate>false</LinksUpToDate>
  <CharactersWithSpaces>5735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2022-12-30T11:11:00Z</dcterms:created>
  <dc:creator>Kingsoft-PDF</dc:creator>
  <cp:lastModifiedBy>WPS_20074632</cp:lastModifiedBy>
  <cp:lastPrinted>2024-06-21T04:37:00Z</cp:lastPrinted>
  <dcterms:modified xsi:type="dcterms:W3CDTF">2025-04-11T03:32:32Z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2022-12-30T11:11:45Z</vt:filetime>
  </property>
  <property fmtid="{D5CDD505-2E9C-101B-9397-08002B2CF9AE}" pid="4" name="UsrData">
    <vt:lpwstr>63ae56dabb53d57d9571707e</vt:lpwstr>
  </property>
  <property fmtid="{D5CDD505-2E9C-101B-9397-08002B2CF9AE}" pid="5" name="KSOProductBuildVer">
    <vt:lpwstr>2052-12.1.0.20784</vt:lpwstr>
  </property>
  <property fmtid="{D5CDD505-2E9C-101B-9397-08002B2CF9AE}" pid="6" name="ICV">
    <vt:lpwstr>280257F4904643B783491F5C45B0536F_13</vt:lpwstr>
  </property>
  <property fmtid="{D5CDD505-2E9C-101B-9397-08002B2CF9AE}" pid="7" name="KSOTemplateDocerSaveRecord">
    <vt:lpwstr>eyJoZGlkIjoiOGFmYzhiODhiYWFiMTI0NjZjOWYyODM4YzM2ODk5MTkiLCJ1c2VySWQiOiIyMDA3NDYzMiJ9</vt:lpwstr>
  </property>
</Properties>
</file>