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A15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7FB172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FBE918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司法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</w:t>
      </w:r>
    </w:p>
    <w:p w14:paraId="37B5FD3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 w14:paraId="6FF0C10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 w14:paraId="27D11E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 w14:paraId="492EFC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 w14:paraId="7CE5FB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 w14:paraId="6737BB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 w14:paraId="26E829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 w14:paraId="0DC13F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 w14:paraId="7211C9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 w14:paraId="1051DE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基本支出</w:t>
      </w:r>
    </w:p>
    <w:p w14:paraId="1760CB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项目支出</w:t>
      </w:r>
    </w:p>
    <w:p w14:paraId="1F2D4C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六</w:t>
      </w:r>
      <w:r>
        <w:rPr>
          <w:rFonts w:hAnsi="仿宋_GB2312" w:eastAsia="仿宋_GB2312"/>
          <w:sz w:val="32"/>
          <w:szCs w:val="32"/>
        </w:rPr>
        <w:t>、政府性基金预算支出</w:t>
      </w:r>
    </w:p>
    <w:p w14:paraId="6FA913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七</w:t>
      </w:r>
      <w:r>
        <w:rPr>
          <w:rFonts w:hAnsi="仿宋_GB2312" w:eastAsia="仿宋_GB2312"/>
          <w:sz w:val="32"/>
          <w:szCs w:val="32"/>
        </w:rPr>
        <w:t>、其他重要事项情况说明</w:t>
      </w:r>
    </w:p>
    <w:p w14:paraId="6101F14B">
      <w:pPr>
        <w:tabs>
          <w:tab w:val="right" w:pos="8844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  <w:r>
        <w:rPr>
          <w:rFonts w:hAnsi="仿宋_GB2312" w:eastAsia="仿宋_GB2312"/>
          <w:sz w:val="32"/>
          <w:szCs w:val="32"/>
        </w:rPr>
        <w:tab/>
      </w:r>
    </w:p>
    <w:p w14:paraId="230365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 w14:paraId="105B62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 w14:paraId="412CC4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</w:t>
      </w:r>
      <w:r>
        <w:rPr>
          <w:rFonts w:hint="eastAsia" w:hAnsi="仿宋_GB2312" w:eastAsia="仿宋_GB2312"/>
          <w:sz w:val="32"/>
          <w:szCs w:val="32"/>
        </w:rPr>
        <w:t>预算绩效目标说明</w:t>
      </w:r>
    </w:p>
    <w:p w14:paraId="7D5E46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 w14:paraId="485207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一般性支出情况</w:t>
      </w:r>
    </w:p>
    <w:p w14:paraId="727439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、名词解释</w:t>
      </w:r>
    </w:p>
    <w:p w14:paraId="7F1166C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 w14:paraId="050191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（一）部门收支总表</w:t>
      </w:r>
    </w:p>
    <w:p w14:paraId="22600F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（二）部门收入总表</w:t>
      </w:r>
    </w:p>
    <w:p w14:paraId="66FBAB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（三）部门支出总表</w:t>
      </w:r>
    </w:p>
    <w:p w14:paraId="251DAB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（四）支出分类(政府预算)</w:t>
      </w:r>
    </w:p>
    <w:p w14:paraId="7D88FC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（五）支出分类(部门预算)</w:t>
      </w:r>
    </w:p>
    <w:p w14:paraId="7F6F4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（六）财政拨款收支总表</w:t>
      </w:r>
    </w:p>
    <w:p w14:paraId="52E234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（七）一般预算支出表</w:t>
      </w:r>
    </w:p>
    <w:p w14:paraId="45417B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）一般预算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支出表</w:t>
      </w:r>
    </w:p>
    <w:p w14:paraId="4E7596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）工资福利（政府预算）</w:t>
      </w:r>
    </w:p>
    <w:p w14:paraId="425DB8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</w:t>
      </w:r>
    </w:p>
    <w:p w14:paraId="0A64477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）个人家庭(政府预算)</w:t>
      </w:r>
    </w:p>
    <w:p w14:paraId="690638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</w:t>
      </w:r>
    </w:p>
    <w:p w14:paraId="6DE6EA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）商品服务(政府预算)</w:t>
      </w:r>
    </w:p>
    <w:p w14:paraId="3EFECF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</w:t>
      </w:r>
    </w:p>
    <w:p w14:paraId="0E46E4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）三公经费</w:t>
      </w:r>
    </w:p>
    <w:p w14:paraId="5F921D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</w:t>
      </w:r>
    </w:p>
    <w:p w14:paraId="62E719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）政府性基金(政府预算)</w:t>
      </w:r>
    </w:p>
    <w:p w14:paraId="71DA89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）政府性基金(部门预算)</w:t>
      </w:r>
    </w:p>
    <w:p w14:paraId="65B3F3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）国有资本经营预算</w:t>
      </w:r>
    </w:p>
    <w:p w14:paraId="5BBC1F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）财政专户管理资金</w:t>
      </w:r>
    </w:p>
    <w:p w14:paraId="616490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）专项资金预算汇总表</w:t>
      </w:r>
    </w:p>
    <w:p w14:paraId="7AE526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）项目支出绩效目标表</w:t>
      </w:r>
    </w:p>
    <w:p w14:paraId="16D4F7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）整体支出绩效目标表 </w:t>
      </w:r>
    </w:p>
    <w:p w14:paraId="0D7748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以上部门预算报表中，空表表示本部门无相关收支</w:t>
      </w:r>
    </w:p>
    <w:p w14:paraId="599D5C0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天元区司法局</w:t>
      </w: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1426DE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AED4A9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部门职能职责</w:t>
      </w:r>
    </w:p>
    <w:p w14:paraId="2DFEEA0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hAnsi="黑体" w:eastAsia="黑体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</w:rPr>
        <w:t>天元区司法局为区人民政府组成部门。根据《株洲市天元区司法局主要职责内设机构和人员编制规定》（株天办[2019]14号文件），其主要职能是负责全区法制宣传、人民调解、法律援助、行政复议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及应诉</w:t>
      </w:r>
      <w:r>
        <w:rPr>
          <w:rFonts w:hint="eastAsia" w:ascii="Times New Roman" w:eastAsia="仿宋_GB2312"/>
          <w:kern w:val="2"/>
          <w:sz w:val="32"/>
          <w:szCs w:val="32"/>
        </w:rPr>
        <w:t>、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规范性文件管理、行政执法监督与协调、</w:t>
      </w:r>
      <w:r>
        <w:rPr>
          <w:rFonts w:hint="eastAsia" w:ascii="Times New Roman" w:eastAsia="仿宋_GB2312"/>
          <w:kern w:val="2"/>
          <w:sz w:val="32"/>
          <w:szCs w:val="32"/>
        </w:rPr>
        <w:t>公共法律服务、社区矫正、安置帮教等业务工作。局机关内设办公室、政府法制服务办公室、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行政复议与应诉办公室、</w:t>
      </w:r>
      <w:r>
        <w:rPr>
          <w:rFonts w:hint="eastAsia" w:ascii="Times New Roman" w:eastAsia="仿宋_GB2312"/>
          <w:kern w:val="2"/>
          <w:sz w:val="32"/>
          <w:szCs w:val="32"/>
        </w:rPr>
        <w:t>普法依法治理股、人民参与和促进法治股、社区矫正管理股等科室，下设泰山、嵩山、马家河、群丰、栗雨、雷打石、三门七个基层司法所。目前，财政供养人员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24</w:t>
      </w:r>
      <w:r>
        <w:rPr>
          <w:rFonts w:hint="eastAsia" w:ascii="Times New Roman" w:eastAsia="仿宋_GB2312"/>
          <w:kern w:val="2"/>
          <w:sz w:val="32"/>
          <w:szCs w:val="32"/>
        </w:rPr>
        <w:t>人，其中：专项编制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/>
          <w:kern w:val="2"/>
          <w:sz w:val="32"/>
          <w:szCs w:val="32"/>
        </w:rPr>
        <w:t>人，事业编1人，区聘人员1人。天元区公共法律服务中心是我局二级机构，未单独核算。我局的工作职责主要是贯彻执行国家司法行政方针、政策、法规，编制全区司法行政工作中、长期规划和年度计划并组织实施；会同有关部门监督法律、法规、规章的执行情况，受区人民政府委托，参与区规范性文件的起草工作；制订法制宣传教育、普及法律知识规划和年度计划，并组织实施；组织、指导普法依法治理工作，并负责普法依法治理领导小组的日常工作；监督、指导律师、企业法律顾问工作，综合管理律师事务所法律服务工作；管理社会法律服务机构；指导全区人民调解工作及司法助理员、基层司法所和基层法律服务工作，参与社会治安综合治理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会同有关部门负责对全区刑满释放人员的安置帮教工作；负责全区社区矫正工作的组织实施，负责区社区矫正领导小组办公室日常工作；对全区社区矫正工作进行监督、检查；组织指导全区法学教育、法学理论研究，做好司法行政干警和人民调解员的培训工作；指导全区司法行政系统的队伍建设和思想政治工作；完成工委、管委会、区委、区政府交办的其他工作。</w:t>
      </w:r>
    </w:p>
    <w:p w14:paraId="7E73CF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CBD1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 w14:paraId="66E55D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（一）部门设置。根据编办核定，我单位内设科室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个，分别是：</w:t>
      </w:r>
      <w:r>
        <w:rPr>
          <w:rFonts w:hint="eastAsia" w:ascii="Times New Roman" w:eastAsia="仿宋_GB2312"/>
          <w:kern w:val="2"/>
          <w:sz w:val="32"/>
          <w:szCs w:val="32"/>
        </w:rPr>
        <w:t>办公室、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区委全面依法治区委员会办公室秘书股（</w:t>
      </w:r>
      <w:r>
        <w:rPr>
          <w:rFonts w:hint="eastAsia" w:ascii="Times New Roman" w:eastAsia="仿宋_GB2312"/>
          <w:kern w:val="2"/>
          <w:sz w:val="32"/>
          <w:szCs w:val="32"/>
        </w:rPr>
        <w:t>政府法制服务办公室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eastAsia="仿宋_GB2312"/>
          <w:kern w:val="2"/>
          <w:sz w:val="32"/>
          <w:szCs w:val="32"/>
        </w:rPr>
        <w:t>、</w:t>
      </w: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行政复议与应诉办公室、</w:t>
      </w:r>
      <w:r>
        <w:rPr>
          <w:rFonts w:hint="eastAsia" w:ascii="Times New Roman" w:eastAsia="仿宋_GB2312"/>
          <w:kern w:val="2"/>
          <w:sz w:val="32"/>
          <w:szCs w:val="32"/>
        </w:rPr>
        <w:t>普法依法治理股、人民参与和促进法治股、社区矫正管理股。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所属事业单位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个，为天元区公共法律服务中心</w:t>
      </w:r>
    </w:p>
    <w:p w14:paraId="515862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（二）人员情况。本部门编制数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人，在职人数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人，其中在岗人数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人；离退休人数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人，退休人员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人。</w:t>
      </w:r>
    </w:p>
    <w:p w14:paraId="4FA9E9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 w14:paraId="218293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我单位只有本级，没有其他预算单位，因此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部门预算编制范围的</w:t>
      </w:r>
      <w:r>
        <w:rPr>
          <w:rFonts w:hint="eastAsia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val="en-US" w:eastAsia="zh-CN"/>
        </w:rPr>
        <w:t>株洲市天元区司法局</w:t>
      </w:r>
      <w:r>
        <w:rPr>
          <w:rFonts w:hint="eastAsia" w:eastAsia="仿宋_GB2312"/>
          <w:sz w:val="32"/>
          <w:szCs w:val="32"/>
        </w:rPr>
        <w:t>单位。</w:t>
      </w:r>
    </w:p>
    <w:p w14:paraId="4642AE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</w:t>
      </w:r>
      <w:r>
        <w:rPr>
          <w:rFonts w:hint="eastAsia" w:hAnsi="黑体" w:eastAsia="黑体"/>
          <w:sz w:val="32"/>
          <w:szCs w:val="32"/>
          <w:lang w:val="en-US" w:eastAsia="zh-CN"/>
        </w:rPr>
        <w:t>7</w:t>
      </w:r>
    </w:p>
    <w:p w14:paraId="62FAA4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</w:p>
    <w:p w14:paraId="739530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部门收入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645.91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万元；其他收入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。收入预算较上年增加</w:t>
      </w:r>
      <w:r>
        <w:rPr>
          <w:rFonts w:hint="eastAsia" w:eastAsia="仿宋_GB2312"/>
          <w:sz w:val="32"/>
          <w:szCs w:val="32"/>
          <w:lang w:val="en-US" w:eastAsia="zh-CN"/>
        </w:rPr>
        <w:t>38.43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人员增加</w:t>
      </w:r>
    </w:p>
    <w:p w14:paraId="57ABE0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</w:t>
      </w:r>
    </w:p>
    <w:p w14:paraId="6FC387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部门支出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645.91</w:t>
      </w:r>
      <w:r>
        <w:rPr>
          <w:rFonts w:eastAsia="仿宋_GB2312"/>
          <w:sz w:val="32"/>
          <w:szCs w:val="32"/>
        </w:rPr>
        <w:t>万元，其中，公共安全</w:t>
      </w:r>
      <w:r>
        <w:rPr>
          <w:rFonts w:hint="eastAsia" w:eastAsia="仿宋_GB2312"/>
          <w:sz w:val="32"/>
          <w:szCs w:val="32"/>
          <w:lang w:val="en-US" w:eastAsia="zh-CN"/>
        </w:rPr>
        <w:t>470.04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社会保障和就业支出80万元，卫生健康支出55.66万元，住房保障支出40.22万元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支出预算较上年增加</w:t>
      </w:r>
      <w:r>
        <w:rPr>
          <w:rFonts w:hint="eastAsia" w:eastAsia="仿宋_GB2312"/>
          <w:sz w:val="32"/>
          <w:szCs w:val="32"/>
          <w:lang w:val="en-US" w:eastAsia="zh-CN"/>
        </w:rPr>
        <w:t>38.43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人员增加</w:t>
      </w:r>
    </w:p>
    <w:p w14:paraId="0B91C1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 w14:paraId="7B4009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645.91</w:t>
      </w:r>
      <w:r>
        <w:rPr>
          <w:rFonts w:eastAsia="仿宋_GB2312"/>
          <w:sz w:val="32"/>
          <w:szCs w:val="32"/>
        </w:rPr>
        <w:t>万元，具体安排如下：</w:t>
      </w:r>
    </w:p>
    <w:p w14:paraId="3492C5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580.92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89.9</w:t>
      </w:r>
      <w:r>
        <w:rPr>
          <w:rFonts w:hint="eastAsia" w:eastAsia="仿宋_GB2312"/>
          <w:sz w:val="32"/>
          <w:szCs w:val="32"/>
        </w:rPr>
        <w:t>%；主要是为保障部门正常运转、完成日常工作任务而发生的各项支出，包括用于基本工资、津贴补贴等人员经费以及办公费、印刷费、水电费、办公设备购置等公用经费。</w:t>
      </w:r>
    </w:p>
    <w:p w14:paraId="4A69E8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65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10.1</w:t>
      </w:r>
      <w:r>
        <w:rPr>
          <w:rFonts w:hint="eastAsia" w:eastAsia="仿宋_GB2312"/>
          <w:sz w:val="32"/>
          <w:szCs w:val="32"/>
        </w:rPr>
        <w:t>%；是指部门为完成特定行政工作任务或事业发展目标而发生的支出。主要包括：</w:t>
      </w:r>
      <w:r>
        <w:rPr>
          <w:rFonts w:hint="eastAsia" w:eastAsia="仿宋_GB2312"/>
          <w:sz w:val="32"/>
          <w:szCs w:val="32"/>
          <w:lang w:val="en-US" w:eastAsia="zh-CN"/>
        </w:rPr>
        <w:t>行政复议及应诉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47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区政府法律顾问费、招商项目法律顾问费、行政复议与应诉和行政执法监督协调工作等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47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公共法律服务项目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主要用于；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支付法援案件办案补贴、律师值班补贴、法律援助培训、宣传、公共法律服务站点建设等；普法宣传经费专项 3万元，主要用于深入开展各类主题法治宣传教育活动、法治文化阵地建设等。</w:t>
      </w:r>
    </w:p>
    <w:p w14:paraId="320C45BB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 w14:paraId="3A5417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2025</w:t>
      </w:r>
      <w:r>
        <w:rPr>
          <w:rFonts w:eastAsia="仿宋_GB2312"/>
          <w:bCs/>
          <w:color w:val="auto"/>
          <w:sz w:val="32"/>
          <w:szCs w:val="32"/>
        </w:rPr>
        <w:t>年本部门无政府性基金安排的支出</w:t>
      </w:r>
      <w:r>
        <w:rPr>
          <w:rFonts w:hint="eastAsia" w:eastAsia="仿宋_GB2312"/>
          <w:bCs/>
          <w:color w:val="auto"/>
          <w:sz w:val="32"/>
          <w:szCs w:val="32"/>
        </w:rPr>
        <w:t>。</w:t>
      </w:r>
    </w:p>
    <w:p w14:paraId="0A1708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 w14:paraId="41D54A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</w:t>
      </w:r>
    </w:p>
    <w:p w14:paraId="504C7E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FF0000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80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eastAsia="仿宋_GB2312"/>
          <w:sz w:val="32"/>
          <w:szCs w:val="32"/>
          <w:lang w:val="en-US" w:eastAsia="zh-CN"/>
        </w:rPr>
        <w:t>1.01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下降</w:t>
      </w:r>
      <w:r>
        <w:rPr>
          <w:rFonts w:hint="eastAsia" w:eastAsia="仿宋_GB2312"/>
          <w:sz w:val="32"/>
          <w:szCs w:val="32"/>
          <w:lang w:val="en-US" w:eastAsia="zh-CN"/>
        </w:rPr>
        <w:t>1.2</w:t>
      </w:r>
      <w:r>
        <w:rPr>
          <w:rFonts w:hint="eastAsia" w:eastAsia="仿宋_GB2312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主要原因是：</w:t>
      </w:r>
      <w:r>
        <w:rPr>
          <w:rFonts w:hint="eastAsia" w:eastAsia="仿宋_GB2312"/>
          <w:sz w:val="32"/>
          <w:szCs w:val="32"/>
          <w:lang w:val="en-US" w:eastAsia="zh-CN"/>
        </w:rPr>
        <w:t>降低运行开支</w:t>
      </w:r>
    </w:p>
    <w:p w14:paraId="138339F3">
      <w:pPr>
        <w:adjustRightInd w:val="0"/>
        <w:snapToGrid w:val="0"/>
        <w:spacing w:line="560" w:lineRule="exact"/>
        <w:ind w:firstLine="640" w:firstLineChars="200"/>
        <w:rPr>
          <w:rFonts w:hint="eastAsia" w:ascii="华文楷体" w:hAnsi="华文楷体" w:eastAsia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</w:t>
      </w:r>
      <w:r>
        <w:rPr>
          <w:rFonts w:hint="eastAsia" w:eastAsia="楷体_GB2312"/>
          <w:bCs/>
          <w:sz w:val="32"/>
          <w:szCs w:val="32"/>
        </w:rPr>
        <w:t xml:space="preserve"> 政府采购预算</w:t>
      </w:r>
    </w:p>
    <w:p w14:paraId="1385B9F2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年部门政府采购预算为87.14万元，其中：政府采购货物预算</w:t>
      </w:r>
      <w:r>
        <w:rPr>
          <w:rFonts w:hint="eastAsia" w:eastAsia="仿宋_GB2312"/>
          <w:sz w:val="32"/>
          <w:szCs w:val="32"/>
          <w:lang w:val="en-US" w:eastAsia="zh-CN"/>
        </w:rPr>
        <w:t>6.86</w:t>
      </w:r>
      <w:r>
        <w:rPr>
          <w:rFonts w:hint="eastAsia" w:eastAsia="仿宋_GB2312"/>
          <w:sz w:val="32"/>
          <w:szCs w:val="32"/>
        </w:rPr>
        <w:t>万元，政府采购工程预算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万元，政府采购服务预算</w:t>
      </w:r>
      <w:r>
        <w:rPr>
          <w:rFonts w:hint="eastAsia" w:eastAsia="仿宋_GB2312"/>
          <w:sz w:val="32"/>
          <w:szCs w:val="32"/>
          <w:lang w:val="en-US" w:eastAsia="zh-CN"/>
        </w:rPr>
        <w:t>80.28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7C0A4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</w:t>
      </w:r>
    </w:p>
    <w:p w14:paraId="6E46B6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</w:rPr>
        <w:t>底</w:t>
      </w:r>
      <w:r>
        <w:rPr>
          <w:rFonts w:eastAsia="仿宋_GB2312"/>
          <w:sz w:val="32"/>
          <w:szCs w:val="32"/>
        </w:rPr>
        <w:t>，本部门共有</w:t>
      </w:r>
      <w:r>
        <w:rPr>
          <w:rFonts w:hint="eastAsia" w:eastAsia="仿宋_GB2312"/>
          <w:sz w:val="32"/>
          <w:szCs w:val="32"/>
        </w:rPr>
        <w:t>公务用车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辆；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拟新增配置公务用车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；新增配备</w:t>
      </w:r>
      <w:r>
        <w:rPr>
          <w:rFonts w:eastAsia="仿宋_GB2312"/>
          <w:sz w:val="32"/>
          <w:szCs w:val="32"/>
        </w:rPr>
        <w:t>单位价值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万以上</w:t>
      </w:r>
      <w:r>
        <w:rPr>
          <w:rFonts w:hint="eastAsia" w:eastAsia="仿宋_GB2312"/>
          <w:sz w:val="32"/>
          <w:szCs w:val="32"/>
        </w:rPr>
        <w:t>通用</w:t>
      </w:r>
      <w:r>
        <w:rPr>
          <w:rFonts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</w:t>
      </w:r>
      <w:r>
        <w:rPr>
          <w:rFonts w:eastAsia="仿宋_GB2312"/>
          <w:sz w:val="32"/>
          <w:szCs w:val="32"/>
        </w:rPr>
        <w:t>。</w:t>
      </w:r>
    </w:p>
    <w:p w14:paraId="7F63A1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hint="eastAsia" w:eastAsia="楷体_GB2312"/>
          <w:bCs/>
          <w:sz w:val="32"/>
          <w:szCs w:val="32"/>
        </w:rPr>
        <w:t>预算绩效目标说明</w:t>
      </w:r>
    </w:p>
    <w:p w14:paraId="0DD825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所有支出实行绩效目标管理。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645.91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580.92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65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</w:t>
      </w: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“三公”经费预算</w:t>
      </w:r>
    </w:p>
    <w:p w14:paraId="58C858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华文楷体" w:eastAsia="仿宋_GB2312"/>
          <w:sz w:val="32"/>
          <w:szCs w:val="32"/>
        </w:rPr>
        <w:t>年“三公”经费预算</w:t>
      </w:r>
      <w:r>
        <w:rPr>
          <w:rFonts w:hint="eastAsia" w:eastAsia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华文楷体"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楷体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楷体" w:eastAsia="仿宋_GB2312"/>
          <w:sz w:val="32"/>
          <w:szCs w:val="32"/>
        </w:rPr>
        <w:t>万元）、“公务接待费”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华文楷体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ascii="仿宋_GB2312" w:hAnsi="华文楷体" w:eastAsia="仿宋_GB2312"/>
          <w:sz w:val="32"/>
          <w:szCs w:val="32"/>
        </w:rPr>
        <w:t>年“三公”经费预算数比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ascii="仿宋_GB2312" w:hAnsi="华文楷体" w:eastAsia="仿宋_GB2312"/>
          <w:sz w:val="32"/>
          <w:szCs w:val="32"/>
        </w:rPr>
        <w:t>年增加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0.5</w:t>
      </w:r>
      <w:r>
        <w:rPr>
          <w:rFonts w:ascii="仿宋_GB2312" w:hAnsi="华文楷体" w:eastAsia="仿宋_GB2312"/>
          <w:sz w:val="32"/>
          <w:szCs w:val="32"/>
        </w:rPr>
        <w:t>万元，主要</w:t>
      </w:r>
      <w:r>
        <w:rPr>
          <w:rFonts w:hint="eastAsia" w:ascii="仿宋_GB2312" w:hAnsi="华文楷体" w:eastAsia="仿宋_GB2312"/>
          <w:sz w:val="32"/>
          <w:szCs w:val="32"/>
        </w:rPr>
        <w:t>原因：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新增公务接待</w:t>
      </w:r>
      <w:r>
        <w:rPr>
          <w:rFonts w:ascii="仿宋_GB2312" w:hAnsi="华文楷体" w:eastAsia="仿宋_GB2312"/>
          <w:sz w:val="32"/>
          <w:szCs w:val="32"/>
        </w:rPr>
        <w:t>。</w:t>
      </w:r>
    </w:p>
    <w:p w14:paraId="360C08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</w:t>
      </w:r>
      <w:r>
        <w:rPr>
          <w:rFonts w:hint="eastAsia" w:eastAsia="楷体_GB2312"/>
          <w:bCs/>
          <w:sz w:val="32"/>
          <w:szCs w:val="32"/>
        </w:rPr>
        <w:t>一般性支出情况</w:t>
      </w:r>
    </w:p>
    <w:p w14:paraId="71962D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万元，培训费</w:t>
      </w:r>
      <w:r>
        <w:rPr>
          <w:rFonts w:hint="eastAsia" w:eastAsia="仿宋_GB2312"/>
          <w:sz w:val="32"/>
          <w:szCs w:val="32"/>
          <w:lang w:val="en-US" w:eastAsia="zh-CN"/>
        </w:rPr>
        <w:t>0.8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  <w:lang w:val="en-US" w:eastAsia="zh-CN"/>
        </w:rPr>
        <w:t>是行政执法专项培训、内容主要是行政执法的理论和实务以及行政复议及应诉、人数为全区所有行政执法部门约80人、经费预计使用0.8万元</w:t>
      </w:r>
      <w:r>
        <w:rPr>
          <w:rFonts w:hint="eastAsia" w:eastAsia="仿宋_GB2312"/>
          <w:sz w:val="32"/>
          <w:szCs w:val="32"/>
          <w:lang w:eastAsia="zh-CN"/>
        </w:rPr>
        <w:t>；2025</w:t>
      </w:r>
      <w:r>
        <w:rPr>
          <w:rFonts w:hint="eastAsia" w:eastAsia="仿宋_GB2312"/>
          <w:sz w:val="32"/>
          <w:szCs w:val="32"/>
        </w:rPr>
        <w:t>年本单位未计划举办节庆、晚会、论坛、赛事活动。</w:t>
      </w:r>
    </w:p>
    <w:p w14:paraId="49010F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 w14:paraId="222B1DB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</w:t>
      </w:r>
      <w:r>
        <w:rPr>
          <w:rFonts w:hint="eastAsia" w:eastAsia="仿宋_GB2312"/>
          <w:sz w:val="32"/>
          <w:szCs w:val="32"/>
          <w:lang w:eastAsia="zh-CN"/>
        </w:rPr>
        <w:t>我区</w:t>
      </w:r>
      <w:r>
        <w:rPr>
          <w:rFonts w:eastAsia="仿宋_GB2312"/>
          <w:sz w:val="32"/>
          <w:szCs w:val="32"/>
        </w:rPr>
        <w:t>一般公共预算收入由地方收入、上划中央收入、上划省级收入三部分构成。</w:t>
      </w:r>
    </w:p>
    <w:p w14:paraId="2A8F229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628970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6DECB14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E22796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  <w:bookmarkStart w:id="0" w:name="_GoBack"/>
      <w:bookmarkEnd w:id="0"/>
    </w:p>
    <w:p w14:paraId="22FF434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46D6E"/>
    <w:multiLevelType w:val="singleLevel"/>
    <w:tmpl w:val="01F46D6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04768"/>
    <w:rsid w:val="335445DB"/>
    <w:rsid w:val="649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3263</Words>
  <Characters>3435</Characters>
  <Lines>0</Lines>
  <Paragraphs>0</Paragraphs>
  <TotalTime>4</TotalTime>
  <ScaleCrop>false</ScaleCrop>
  <LinksUpToDate>false</LinksUpToDate>
  <CharactersWithSpaces>3454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2025-02-28T03:04:00Z</dcterms:created>
  <dc:creator>Administrator</dc:creator>
  <cp:lastModifiedBy>L</cp:lastModifiedBy>
  <dcterms:modified xsi:type="dcterms:W3CDTF">2025-03-06T01:22:42Z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eyJoZGlkIjoiY2I3NzA2NjBjOWM0Yzk5NDA0M2M2ZmY0NTlhMzhjZmEiLCJ1c2VySWQiOiI4Njg5NzgyNTYifQ==</vt:lpwstr>
  </property>
  <property fmtid="{D5CDD505-2E9C-101B-9397-08002B2CF9AE}" pid="4" name="ICV">
    <vt:lpwstr>1BCA2C94DCD7488F8EEC66BFDE62A29E_12</vt:lpwstr>
  </property>
</Properties>
</file>