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0" w:type="auto"/>
        <w:tblInd w:w="0" w:type="dxa"/>
        <w:tblLayout w:type="autofit"/>
        <w:tblCellMar>
          <w:top w:w="0" w:type="dxa"/>
          <w:left w:w="108" w:type="dxa"/>
          <w:bottom w:w="0" w:type="dxa"/>
          <w:right w:w="108" w:type="dxa"/>
        </w:tblCellMar>
      </w:tblPr>
      <w:tblGrid>
        <w:gridCol w:w="2093"/>
      </w:tblGrid>
      <w:tr w14:paraId="5F888152">
        <w:tblPrEx>
          <w:tblCellMar>
            <w:top w:w="0" w:type="dxa"/>
            <w:left w:w="108" w:type="dxa"/>
            <w:bottom w:w="0" w:type="dxa"/>
            <w:right w:w="108" w:type="dxa"/>
          </w:tblCellMar>
        </w:tblPrEx>
        <w:trPr>
          <w:trHeight w:val="400" w:hRule="atLeast"/>
        </w:trPr>
        <w:tc>
          <w:tcPr>
            <w:tcW w:w="2093" w:type="dxa"/>
            <w:noWrap w:val="0"/>
            <w:vAlign w:val="top"/>
          </w:tcPr>
          <w:p w14:paraId="19C0579A">
            <w:pPr>
              <w:keepNext w:val="0"/>
              <w:keepLines w:val="0"/>
              <w:pageBreakBefore w:val="0"/>
              <w:widowControl w:val="0"/>
              <w:kinsoku/>
              <w:wordWrap/>
              <w:overflowPunct w:val="0"/>
              <w:topLinePunct w:val="0"/>
              <w:autoSpaceDE w:val="0"/>
              <w:autoSpaceDN w:val="0"/>
              <w:bidi w:val="0"/>
              <w:adjustRightInd w:val="0"/>
              <w:snapToGrid w:val="0"/>
              <w:spacing w:line="580" w:lineRule="exact"/>
              <w:jc w:val="distribute"/>
              <w:textAlignment w:val="auto"/>
              <w:rPr>
                <w:rFonts w:hint="default" w:ascii="Times New Roman" w:hAnsi="Times New Roman" w:eastAsia="黑体" w:cs="Times New Roman"/>
                <w:color w:val="auto"/>
                <w:spacing w:val="-6"/>
                <w:sz w:val="28"/>
                <w:szCs w:val="28"/>
                <w:lang w:val="en-US" w:eastAsia="zh-CN"/>
              </w:rPr>
            </w:pPr>
            <w:r>
              <w:rPr>
                <w:rFonts w:hint="default" w:ascii="Times New Roman" w:hAnsi="Times New Roman" w:eastAsia="黑体" w:cs="Times New Roman"/>
                <w:color w:val="auto"/>
                <w:spacing w:val="-6"/>
                <w:sz w:val="28"/>
                <w:szCs w:val="28"/>
                <w:lang w:val="en-US" w:eastAsia="zh-CN"/>
              </w:rPr>
              <w:t>区六届人大</w:t>
            </w:r>
          </w:p>
        </w:tc>
      </w:tr>
      <w:tr w14:paraId="6F77A955">
        <w:tblPrEx>
          <w:tblCellMar>
            <w:top w:w="0" w:type="dxa"/>
            <w:left w:w="108" w:type="dxa"/>
            <w:bottom w:w="0" w:type="dxa"/>
            <w:right w:w="108" w:type="dxa"/>
          </w:tblCellMar>
        </w:tblPrEx>
        <w:trPr>
          <w:trHeight w:val="495" w:hRule="atLeast"/>
        </w:trPr>
        <w:tc>
          <w:tcPr>
            <w:tcW w:w="2093" w:type="dxa"/>
            <w:noWrap w:val="0"/>
            <w:vAlign w:val="top"/>
          </w:tcPr>
          <w:p w14:paraId="7E70C240">
            <w:pPr>
              <w:keepNext w:val="0"/>
              <w:keepLines w:val="0"/>
              <w:pageBreakBefore w:val="0"/>
              <w:widowControl w:val="0"/>
              <w:kinsoku/>
              <w:wordWrap/>
              <w:overflowPunct w:val="0"/>
              <w:topLinePunct w:val="0"/>
              <w:autoSpaceDE w:val="0"/>
              <w:autoSpaceDN w:val="0"/>
              <w:bidi w:val="0"/>
              <w:adjustRightInd w:val="0"/>
              <w:snapToGrid w:val="0"/>
              <w:spacing w:line="580" w:lineRule="exact"/>
              <w:jc w:val="distribute"/>
              <w:textAlignment w:val="auto"/>
              <w:rPr>
                <w:rFonts w:hint="default" w:ascii="Times New Roman" w:hAnsi="Times New Roman" w:eastAsia="黑体" w:cs="Times New Roman"/>
                <w:color w:val="auto"/>
                <w:spacing w:val="-6"/>
                <w:sz w:val="28"/>
                <w:szCs w:val="28"/>
                <w:lang w:val="en-US"/>
              </w:rPr>
            </w:pPr>
            <w:r>
              <w:rPr>
                <w:rFonts w:hint="default" w:ascii="Times New Roman" w:hAnsi="Times New Roman" w:eastAsia="黑体" w:cs="Times New Roman"/>
                <w:color w:val="auto"/>
                <w:spacing w:val="-6"/>
                <w:sz w:val="28"/>
                <w:szCs w:val="28"/>
                <w:lang w:val="en-US" w:eastAsia="zh-CN"/>
              </w:rPr>
              <w:t>五次会议材料</w:t>
            </w:r>
          </w:p>
        </w:tc>
      </w:tr>
    </w:tbl>
    <w:p w14:paraId="291D6B6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小标宋简体" w:cs="Times New Roman"/>
          <w:color w:val="auto"/>
          <w:sz w:val="42"/>
          <w:szCs w:val="42"/>
        </w:rPr>
      </w:pPr>
    </w:p>
    <w:p w14:paraId="106A56B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2"/>
          <w:szCs w:val="42"/>
        </w:rPr>
      </w:pPr>
      <w:r>
        <w:rPr>
          <w:rFonts w:hint="default" w:ascii="Times New Roman" w:hAnsi="Times New Roman" w:eastAsia="方正小标宋简体" w:cs="Times New Roman"/>
          <w:color w:val="auto"/>
          <w:sz w:val="42"/>
          <w:szCs w:val="42"/>
        </w:rPr>
        <w:t>关于株洲市天元区202</w:t>
      </w:r>
      <w:r>
        <w:rPr>
          <w:rFonts w:hint="default" w:ascii="Times New Roman" w:hAnsi="Times New Roman" w:eastAsia="方正小标宋简体" w:cs="Times New Roman"/>
          <w:color w:val="auto"/>
          <w:sz w:val="42"/>
          <w:szCs w:val="42"/>
          <w:lang w:val="en-US" w:eastAsia="zh-CN"/>
        </w:rPr>
        <w:t>4</w:t>
      </w:r>
      <w:r>
        <w:rPr>
          <w:rFonts w:hint="default" w:ascii="Times New Roman" w:hAnsi="Times New Roman" w:eastAsia="方正小标宋简体" w:cs="Times New Roman"/>
          <w:color w:val="auto"/>
          <w:sz w:val="42"/>
          <w:szCs w:val="42"/>
        </w:rPr>
        <w:t>年</w:t>
      </w:r>
      <w:r>
        <w:rPr>
          <w:rFonts w:hint="default" w:ascii="Times New Roman" w:hAnsi="Times New Roman" w:eastAsia="方正小标宋简体" w:cs="Times New Roman"/>
          <w:color w:val="auto"/>
          <w:sz w:val="42"/>
          <w:szCs w:val="42"/>
          <w:lang w:val="en-US" w:eastAsia="zh-CN"/>
        </w:rPr>
        <w:t>财政</w:t>
      </w:r>
      <w:r>
        <w:rPr>
          <w:rFonts w:hint="default" w:ascii="Times New Roman" w:hAnsi="Times New Roman" w:eastAsia="方正小标宋简体" w:cs="Times New Roman"/>
          <w:color w:val="auto"/>
          <w:sz w:val="42"/>
          <w:szCs w:val="42"/>
        </w:rPr>
        <w:t>预算执行情况</w:t>
      </w:r>
    </w:p>
    <w:p w14:paraId="21C7F60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2"/>
          <w:szCs w:val="42"/>
        </w:rPr>
      </w:pPr>
      <w:r>
        <w:rPr>
          <w:rFonts w:hint="default" w:ascii="Times New Roman" w:hAnsi="Times New Roman" w:eastAsia="方正小标宋简体" w:cs="Times New Roman"/>
          <w:color w:val="auto"/>
          <w:sz w:val="42"/>
          <w:szCs w:val="42"/>
          <w:lang w:val="en-US" w:eastAsia="zh-CN"/>
        </w:rPr>
        <w:t>及</w:t>
      </w:r>
      <w:r>
        <w:rPr>
          <w:rFonts w:hint="default" w:ascii="Times New Roman" w:hAnsi="Times New Roman" w:eastAsia="方正小标宋简体" w:cs="Times New Roman"/>
          <w:color w:val="auto"/>
          <w:sz w:val="42"/>
          <w:szCs w:val="42"/>
        </w:rPr>
        <w:t>202</w:t>
      </w:r>
      <w:r>
        <w:rPr>
          <w:rFonts w:hint="default" w:ascii="Times New Roman" w:hAnsi="Times New Roman" w:eastAsia="方正小标宋简体" w:cs="Times New Roman"/>
          <w:color w:val="auto"/>
          <w:sz w:val="42"/>
          <w:szCs w:val="42"/>
          <w:lang w:val="en-US" w:eastAsia="zh-CN"/>
        </w:rPr>
        <w:t>5</w:t>
      </w:r>
      <w:r>
        <w:rPr>
          <w:rFonts w:hint="default" w:ascii="Times New Roman" w:hAnsi="Times New Roman" w:eastAsia="方正小标宋简体" w:cs="Times New Roman"/>
          <w:color w:val="auto"/>
          <w:sz w:val="42"/>
          <w:szCs w:val="42"/>
        </w:rPr>
        <w:t>年</w:t>
      </w:r>
      <w:r>
        <w:rPr>
          <w:rFonts w:hint="default" w:ascii="Times New Roman" w:hAnsi="Times New Roman" w:eastAsia="方正小标宋简体" w:cs="Times New Roman"/>
          <w:color w:val="auto"/>
          <w:sz w:val="42"/>
          <w:szCs w:val="42"/>
          <w:lang w:val="en-US" w:eastAsia="zh-CN"/>
        </w:rPr>
        <w:t>区级财政</w:t>
      </w:r>
      <w:r>
        <w:rPr>
          <w:rFonts w:hint="default" w:ascii="Times New Roman" w:hAnsi="Times New Roman" w:eastAsia="方正小标宋简体" w:cs="Times New Roman"/>
          <w:color w:val="auto"/>
          <w:sz w:val="42"/>
          <w:szCs w:val="42"/>
        </w:rPr>
        <w:t>预算</w:t>
      </w:r>
      <w:r>
        <w:rPr>
          <w:rFonts w:hint="eastAsia" w:eastAsia="方正小标宋简体" w:cs="Times New Roman"/>
          <w:color w:val="auto"/>
          <w:sz w:val="42"/>
          <w:szCs w:val="42"/>
          <w:lang w:eastAsia="zh-CN"/>
        </w:rPr>
        <w:t>（</w:t>
      </w:r>
      <w:r>
        <w:rPr>
          <w:rFonts w:hint="default" w:ascii="Times New Roman" w:hAnsi="Times New Roman" w:eastAsia="方正小标宋简体" w:cs="Times New Roman"/>
          <w:color w:val="auto"/>
          <w:sz w:val="42"/>
          <w:szCs w:val="42"/>
        </w:rPr>
        <w:t>草案</w:t>
      </w:r>
      <w:r>
        <w:rPr>
          <w:rFonts w:hint="eastAsia" w:eastAsia="方正小标宋简体" w:cs="Times New Roman"/>
          <w:color w:val="auto"/>
          <w:sz w:val="42"/>
          <w:szCs w:val="42"/>
          <w:lang w:eastAsia="zh-CN"/>
        </w:rPr>
        <w:t>）</w:t>
      </w:r>
      <w:r>
        <w:rPr>
          <w:rFonts w:hint="default" w:ascii="Times New Roman" w:hAnsi="Times New Roman" w:eastAsia="方正小标宋简体" w:cs="Times New Roman"/>
          <w:color w:val="auto"/>
          <w:sz w:val="42"/>
          <w:szCs w:val="42"/>
        </w:rPr>
        <w:t>的报告</w:t>
      </w:r>
    </w:p>
    <w:p w14:paraId="6966A6D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color w:val="auto"/>
          <w:kern w:val="2"/>
          <w:sz w:val="30"/>
          <w:szCs w:val="30"/>
          <w:lang w:val="en-US" w:eastAsia="zh-CN" w:bidi="ar-SA"/>
        </w:rPr>
      </w:pPr>
    </w:p>
    <w:p w14:paraId="0AB3223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color w:val="auto"/>
          <w:kern w:val="2"/>
          <w:sz w:val="32"/>
          <w:szCs w:val="32"/>
          <w:lang w:val="en-US" w:eastAsia="zh-CN" w:bidi="ar-SA"/>
        </w:rPr>
      </w:pPr>
      <w:r>
        <w:rPr>
          <w:rFonts w:hint="default" w:ascii="Times New Roman" w:hAnsi="Times New Roman" w:eastAsia="楷体_GB2312" w:cs="Times New Roman"/>
          <w:color w:val="auto"/>
          <w:kern w:val="2"/>
          <w:sz w:val="32"/>
          <w:szCs w:val="32"/>
          <w:lang w:val="en-US" w:eastAsia="zh-CN" w:bidi="ar-SA"/>
        </w:rPr>
        <w:t>——2025年1月</w:t>
      </w:r>
      <w:r>
        <w:rPr>
          <w:rFonts w:hint="eastAsia" w:eastAsia="楷体_GB2312" w:cs="Times New Roman"/>
          <w:color w:val="auto"/>
          <w:kern w:val="2"/>
          <w:sz w:val="32"/>
          <w:szCs w:val="32"/>
          <w:lang w:val="en-US" w:eastAsia="zh-CN" w:bidi="ar-SA"/>
        </w:rPr>
        <w:t>21</w:t>
      </w:r>
      <w:r>
        <w:rPr>
          <w:rFonts w:hint="default" w:ascii="Times New Roman" w:hAnsi="Times New Roman" w:eastAsia="楷体_GB2312" w:cs="Times New Roman"/>
          <w:color w:val="auto"/>
          <w:kern w:val="2"/>
          <w:sz w:val="32"/>
          <w:szCs w:val="32"/>
          <w:lang w:val="en-US" w:eastAsia="zh-CN" w:bidi="ar-SA"/>
        </w:rPr>
        <w:t>日在株洲市天元区第六届人民代表大会</w:t>
      </w:r>
    </w:p>
    <w:p w14:paraId="15E8036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color w:val="auto"/>
          <w:kern w:val="2"/>
          <w:sz w:val="32"/>
          <w:szCs w:val="32"/>
          <w:lang w:val="en-US" w:eastAsia="zh-CN" w:bidi="ar-SA"/>
        </w:rPr>
      </w:pPr>
      <w:r>
        <w:rPr>
          <w:rFonts w:hint="default" w:ascii="Times New Roman" w:hAnsi="Times New Roman" w:eastAsia="楷体_GB2312" w:cs="Times New Roman"/>
          <w:color w:val="auto"/>
          <w:kern w:val="2"/>
          <w:sz w:val="32"/>
          <w:szCs w:val="32"/>
          <w:lang w:val="en-US" w:eastAsia="zh-CN" w:bidi="ar-SA"/>
        </w:rPr>
        <w:t>第五次会议上</w:t>
      </w:r>
    </w:p>
    <w:p w14:paraId="0068AC29">
      <w:pPr>
        <w:pStyle w:val="16"/>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天元区财政局局长 张珈铭</w:t>
      </w:r>
    </w:p>
    <w:p w14:paraId="017E232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sz w:val="32"/>
          <w:szCs w:val="32"/>
        </w:rPr>
      </w:pPr>
    </w:p>
    <w:p w14:paraId="23F7AD4E">
      <w:pPr>
        <w:pStyle w:val="16"/>
        <w:keepNext w:val="0"/>
        <w:keepLines w:val="0"/>
        <w:pageBreakBefore w:val="0"/>
        <w:widowControl w:val="0"/>
        <w:kinsoku/>
        <w:wordWrap/>
        <w:overflowPunct/>
        <w:topLinePunct w:val="0"/>
        <w:autoSpaceDE/>
        <w:autoSpaceDN/>
        <w:bidi w:val="0"/>
        <w:adjustRightInd/>
        <w:snapToGrid/>
        <w:spacing w:beforeAutospacing="0" w:after="0"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各位代表：</w:t>
      </w:r>
    </w:p>
    <w:p w14:paraId="24531BAF">
      <w:pPr>
        <w:keepNext w:val="0"/>
        <w:keepLines w:val="0"/>
        <w:pageBreakBefore w:val="0"/>
        <w:widowControl w:val="0"/>
        <w:kinsoku/>
        <w:wordWrap/>
        <w:overflowPunct/>
        <w:topLinePunct w:val="0"/>
        <w:autoSpaceDE/>
        <w:autoSpaceDN/>
        <w:bidi w:val="0"/>
        <w:adjustRightInd/>
        <w:snapToGrid/>
        <w:spacing w:beforeAutospacing="0" w:line="58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受区人民政府委托，现报告2024年区本级预算执行情况，提出2025年预算草案，请予审查，并请各位政协委员和其他列席会议的同志提出意见。</w:t>
      </w:r>
    </w:p>
    <w:p w14:paraId="74DCBEBD">
      <w:pPr>
        <w:pStyle w:val="16"/>
        <w:keepNext w:val="0"/>
        <w:keepLines w:val="0"/>
        <w:pageBreakBefore w:val="0"/>
        <w:widowControl w:val="0"/>
        <w:kinsoku/>
        <w:wordWrap/>
        <w:overflowPunct/>
        <w:topLinePunct w:val="0"/>
        <w:autoSpaceDE/>
        <w:autoSpaceDN/>
        <w:bidi w:val="0"/>
        <w:adjustRightInd/>
        <w:snapToGrid/>
        <w:spacing w:beforeAutospacing="0" w:after="0" w:line="580" w:lineRule="exact"/>
        <w:ind w:firstLine="64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一、2024年全区财政预算执行情况</w:t>
      </w:r>
    </w:p>
    <w:p w14:paraId="6F94B4C0">
      <w:pPr>
        <w:keepNext w:val="0"/>
        <w:keepLines w:val="0"/>
        <w:pageBreakBefore w:val="0"/>
        <w:widowControl w:val="0"/>
        <w:kinsoku/>
        <w:wordWrap/>
        <w:overflowPunct/>
        <w:topLinePunct w:val="0"/>
        <w:autoSpaceDE/>
        <w:autoSpaceDN/>
        <w:bidi w:val="0"/>
        <w:adjustRightInd/>
        <w:snapToGrid/>
        <w:spacing w:beforeAutospacing="0" w:line="58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2024年，在工委、管委会、区委的坚强领导和区人大、政协的监督指导下</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区人民政府带领财税部门坚决贯彻习近平新时代中国特色社会主义思想和党的二十届</w:t>
      </w:r>
      <w:r>
        <w:rPr>
          <w:rFonts w:hint="eastAsia" w:eastAsia="仿宋_GB2312" w:cs="Times New Roman"/>
          <w:sz w:val="32"/>
          <w:szCs w:val="32"/>
          <w:lang w:val="en-US" w:eastAsia="zh-CN"/>
        </w:rPr>
        <w:t>二中、</w:t>
      </w:r>
      <w:r>
        <w:rPr>
          <w:rFonts w:hint="default" w:ascii="Times New Roman" w:hAnsi="Times New Roman" w:eastAsia="仿宋_GB2312" w:cs="Times New Roman"/>
          <w:sz w:val="32"/>
          <w:szCs w:val="32"/>
          <w:lang w:val="en-US" w:eastAsia="zh-CN"/>
        </w:rPr>
        <w:t>三中全会精神，积极作为，务实担当，全面落实积极财政政策，着力深化改革</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开源节流，有效应对各种新挑战，实现了预算平稳运行。</w:t>
      </w:r>
    </w:p>
    <w:p w14:paraId="2F984348">
      <w:pPr>
        <w:pStyle w:val="16"/>
        <w:keepNext w:val="0"/>
        <w:keepLines w:val="0"/>
        <w:pageBreakBefore w:val="0"/>
        <w:widowControl w:val="0"/>
        <w:kinsoku/>
        <w:wordWrap/>
        <w:overflowPunct/>
        <w:topLinePunct w:val="0"/>
        <w:autoSpaceDE/>
        <w:autoSpaceDN/>
        <w:bidi w:val="0"/>
        <w:adjustRightInd/>
        <w:snapToGrid/>
        <w:spacing w:beforeAutospacing="0" w:after="0" w:line="580" w:lineRule="exact"/>
        <w:ind w:firstLine="64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（一）2024年预算收支执行情况</w:t>
      </w:r>
    </w:p>
    <w:p w14:paraId="3327D134">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firstLine="667" w:firstLineChars="200"/>
        <w:jc w:val="both"/>
        <w:textAlignment w:val="auto"/>
        <w:outlineLvl w:val="0"/>
        <w:rPr>
          <w:rFonts w:hint="default" w:ascii="Times New Roman" w:hAnsi="Times New Roman" w:eastAsia="仿宋_GB2312" w:cs="Times New Roman"/>
          <w:b/>
          <w:bCs/>
          <w:color w:val="auto"/>
          <w:spacing w:val="6"/>
          <w:sz w:val="32"/>
          <w:szCs w:val="32"/>
          <w:lang w:val="en-US" w:eastAsia="zh-CN"/>
        </w:rPr>
      </w:pPr>
      <w:r>
        <w:rPr>
          <w:rFonts w:hint="default" w:ascii="Times New Roman" w:hAnsi="Times New Roman" w:eastAsia="仿宋_GB2312" w:cs="Times New Roman"/>
          <w:b/>
          <w:bCs/>
          <w:color w:val="auto"/>
          <w:spacing w:val="6"/>
          <w:sz w:val="32"/>
          <w:szCs w:val="32"/>
          <w:lang w:val="en-US" w:eastAsia="zh-CN"/>
        </w:rPr>
        <w:t>1.一般公共预算执行情况</w:t>
      </w:r>
    </w:p>
    <w:p w14:paraId="26EAF19F">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firstLine="664" w:firstLineChars="200"/>
        <w:jc w:val="both"/>
        <w:textAlignment w:val="auto"/>
        <w:outlineLvl w:val="0"/>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202</w:t>
      </w:r>
      <w:r>
        <w:rPr>
          <w:rFonts w:hint="default" w:ascii="Times New Roman" w:hAnsi="Times New Roman" w:eastAsia="仿宋_GB2312" w:cs="Times New Roman"/>
          <w:color w:val="auto"/>
          <w:spacing w:val="6"/>
          <w:sz w:val="32"/>
          <w:szCs w:val="32"/>
          <w:highlight w:val="none"/>
          <w:lang w:val="en-US" w:eastAsia="zh-CN"/>
        </w:rPr>
        <w:t>4</w:t>
      </w:r>
      <w:r>
        <w:rPr>
          <w:rFonts w:hint="default" w:ascii="Times New Roman" w:hAnsi="Times New Roman" w:eastAsia="仿宋_GB2312" w:cs="Times New Roman"/>
          <w:color w:val="auto"/>
          <w:spacing w:val="6"/>
          <w:sz w:val="32"/>
          <w:szCs w:val="32"/>
          <w:highlight w:val="none"/>
        </w:rPr>
        <w:t>年，全区地方一般公共预算收入（以下简称地方收入）完成</w:t>
      </w:r>
      <w:r>
        <w:rPr>
          <w:rFonts w:hint="default" w:ascii="Times New Roman" w:hAnsi="Times New Roman" w:eastAsia="仿宋_GB2312" w:cs="Times New Roman"/>
          <w:color w:val="auto"/>
          <w:spacing w:val="6"/>
          <w:sz w:val="32"/>
          <w:szCs w:val="32"/>
          <w:highlight w:val="none"/>
          <w:lang w:val="en-US" w:eastAsia="zh-CN"/>
        </w:rPr>
        <w:t>41.</w:t>
      </w:r>
      <w:r>
        <w:rPr>
          <w:rFonts w:hint="eastAsia" w:ascii="Times New Roman" w:hAnsi="Times New Roman" w:eastAsia="仿宋_GB2312" w:cs="Times New Roman"/>
          <w:color w:val="auto"/>
          <w:spacing w:val="6"/>
          <w:sz w:val="32"/>
          <w:szCs w:val="32"/>
          <w:highlight w:val="none"/>
          <w:lang w:val="en-US" w:eastAsia="zh-CN"/>
        </w:rPr>
        <w:t>98</w:t>
      </w:r>
      <w:r>
        <w:rPr>
          <w:rFonts w:hint="default" w:ascii="Times New Roman" w:hAnsi="Times New Roman" w:eastAsia="仿宋_GB2312" w:cs="Times New Roman"/>
          <w:color w:val="auto"/>
          <w:spacing w:val="6"/>
          <w:sz w:val="32"/>
          <w:szCs w:val="32"/>
          <w:highlight w:val="none"/>
        </w:rPr>
        <w:t>亿元，</w:t>
      </w:r>
      <w:r>
        <w:rPr>
          <w:rFonts w:hint="default" w:ascii="Times New Roman" w:hAnsi="Times New Roman" w:eastAsia="仿宋_GB2312" w:cs="Times New Roman"/>
          <w:color w:val="auto"/>
          <w:spacing w:val="6"/>
          <w:sz w:val="32"/>
          <w:szCs w:val="32"/>
          <w:highlight w:val="none"/>
          <w:lang w:eastAsia="zh-CN"/>
        </w:rPr>
        <w:t>为年度预算的</w:t>
      </w:r>
      <w:r>
        <w:rPr>
          <w:rFonts w:hint="default" w:ascii="Times New Roman" w:hAnsi="Times New Roman" w:eastAsia="仿宋_GB2312" w:cs="Times New Roman"/>
          <w:color w:val="auto"/>
          <w:spacing w:val="6"/>
          <w:sz w:val="32"/>
          <w:szCs w:val="32"/>
          <w:highlight w:val="none"/>
          <w:lang w:val="en-US" w:eastAsia="zh-CN"/>
        </w:rPr>
        <w:t>88.</w:t>
      </w:r>
      <w:r>
        <w:rPr>
          <w:rFonts w:hint="eastAsia" w:eastAsia="仿宋_GB2312" w:cs="Times New Roman"/>
          <w:color w:val="auto"/>
          <w:spacing w:val="6"/>
          <w:sz w:val="32"/>
          <w:szCs w:val="32"/>
          <w:highlight w:val="none"/>
          <w:lang w:val="en-US" w:eastAsia="zh-CN"/>
        </w:rPr>
        <w:t>8</w:t>
      </w:r>
      <w:r>
        <w:rPr>
          <w:rFonts w:hint="eastAsia" w:ascii="Times New Roman" w:hAnsi="Times New Roman" w:eastAsia="仿宋_GB2312" w:cs="Times New Roman"/>
          <w:color w:val="auto"/>
          <w:spacing w:val="6"/>
          <w:sz w:val="32"/>
          <w:szCs w:val="32"/>
          <w:highlight w:val="none"/>
          <w:lang w:val="en-US" w:eastAsia="zh-CN"/>
        </w:rPr>
        <w:t>1</w:t>
      </w:r>
      <w:r>
        <w:rPr>
          <w:rFonts w:hint="default" w:ascii="Times New Roman" w:hAnsi="Times New Roman" w:eastAsia="仿宋_GB2312" w:cs="Times New Roman"/>
          <w:color w:val="auto"/>
          <w:spacing w:val="6"/>
          <w:sz w:val="32"/>
          <w:szCs w:val="32"/>
          <w:highlight w:val="none"/>
          <w:lang w:val="en-US" w:eastAsia="zh-CN"/>
        </w:rPr>
        <w:t>%，</w:t>
      </w:r>
      <w:r>
        <w:rPr>
          <w:rFonts w:hint="default" w:ascii="Times New Roman" w:hAnsi="Times New Roman" w:eastAsia="仿宋_GB2312" w:cs="Times New Roman"/>
          <w:color w:val="auto"/>
          <w:spacing w:val="6"/>
          <w:sz w:val="32"/>
          <w:szCs w:val="32"/>
          <w:highlight w:val="none"/>
          <w:lang w:eastAsia="zh-CN"/>
        </w:rPr>
        <w:t>剔除</w:t>
      </w:r>
      <w:r>
        <w:rPr>
          <w:rFonts w:hint="eastAsia" w:eastAsia="仿宋_GB2312" w:cs="Times New Roman"/>
          <w:color w:val="auto"/>
          <w:spacing w:val="6"/>
          <w:sz w:val="32"/>
          <w:szCs w:val="32"/>
          <w:highlight w:val="none"/>
          <w:lang w:eastAsia="zh-CN"/>
        </w:rPr>
        <w:t>政策性因素</w:t>
      </w:r>
      <w:r>
        <w:rPr>
          <w:rFonts w:hint="default" w:ascii="Times New Roman" w:hAnsi="Times New Roman" w:eastAsia="仿宋_GB2312" w:cs="Times New Roman"/>
          <w:color w:val="auto"/>
          <w:spacing w:val="6"/>
          <w:sz w:val="32"/>
          <w:szCs w:val="32"/>
          <w:highlight w:val="none"/>
          <w:lang w:val="en-US" w:eastAsia="zh-CN"/>
        </w:rPr>
        <w:t>影响，同口径</w:t>
      </w:r>
      <w:r>
        <w:rPr>
          <w:rFonts w:hint="default" w:ascii="Times New Roman" w:hAnsi="Times New Roman" w:eastAsia="仿宋_GB2312" w:cs="Times New Roman"/>
          <w:color w:val="auto"/>
          <w:spacing w:val="6"/>
          <w:sz w:val="32"/>
          <w:szCs w:val="32"/>
          <w:highlight w:val="none"/>
          <w:lang w:eastAsia="zh-CN"/>
        </w:rPr>
        <w:t>下降</w:t>
      </w:r>
      <w:r>
        <w:rPr>
          <w:rFonts w:hint="default" w:ascii="Times New Roman" w:hAnsi="Times New Roman" w:eastAsia="仿宋_GB2312" w:cs="Times New Roman"/>
          <w:color w:val="auto"/>
          <w:spacing w:val="6"/>
          <w:sz w:val="32"/>
          <w:szCs w:val="32"/>
          <w:highlight w:val="none"/>
          <w:lang w:val="en-US" w:eastAsia="zh-CN"/>
        </w:rPr>
        <w:t>0.</w:t>
      </w:r>
      <w:r>
        <w:rPr>
          <w:rFonts w:hint="eastAsia" w:eastAsia="仿宋_GB2312" w:cs="Times New Roman"/>
          <w:color w:val="auto"/>
          <w:spacing w:val="6"/>
          <w:sz w:val="32"/>
          <w:szCs w:val="32"/>
          <w:highlight w:val="none"/>
          <w:lang w:val="en-US" w:eastAsia="zh-CN"/>
        </w:rPr>
        <w:t>02</w:t>
      </w:r>
      <w:r>
        <w:rPr>
          <w:rFonts w:hint="default" w:ascii="Times New Roman" w:hAnsi="Times New Roman" w:eastAsia="仿宋_GB2312" w:cs="Times New Roman"/>
          <w:color w:val="auto"/>
          <w:spacing w:val="6"/>
          <w:sz w:val="32"/>
          <w:szCs w:val="32"/>
          <w:highlight w:val="none"/>
        </w:rPr>
        <w:t>%，其中：地方税收完成</w:t>
      </w:r>
      <w:r>
        <w:rPr>
          <w:rFonts w:hint="default" w:ascii="Times New Roman" w:hAnsi="Times New Roman" w:eastAsia="仿宋_GB2312" w:cs="Times New Roman"/>
          <w:color w:val="auto"/>
          <w:spacing w:val="6"/>
          <w:sz w:val="32"/>
          <w:szCs w:val="32"/>
          <w:highlight w:val="none"/>
          <w:lang w:val="en-US" w:eastAsia="zh-CN"/>
        </w:rPr>
        <w:t>35.34</w:t>
      </w:r>
      <w:r>
        <w:rPr>
          <w:rFonts w:hint="default" w:ascii="Times New Roman" w:hAnsi="Times New Roman" w:eastAsia="仿宋_GB2312" w:cs="Times New Roman"/>
          <w:color w:val="auto"/>
          <w:spacing w:val="6"/>
          <w:sz w:val="32"/>
          <w:szCs w:val="32"/>
          <w:highlight w:val="none"/>
        </w:rPr>
        <w:t>亿元，</w:t>
      </w:r>
      <w:r>
        <w:rPr>
          <w:rFonts w:hint="default" w:ascii="Times New Roman" w:hAnsi="Times New Roman" w:eastAsia="仿宋_GB2312" w:cs="Times New Roman"/>
          <w:color w:val="auto"/>
          <w:spacing w:val="6"/>
          <w:sz w:val="32"/>
          <w:szCs w:val="32"/>
          <w:highlight w:val="none"/>
          <w:lang w:eastAsia="zh-CN"/>
        </w:rPr>
        <w:t>为年度预算的</w:t>
      </w:r>
      <w:r>
        <w:rPr>
          <w:rFonts w:hint="default" w:ascii="Times New Roman" w:hAnsi="Times New Roman" w:eastAsia="仿宋_GB2312" w:cs="Times New Roman"/>
          <w:color w:val="auto"/>
          <w:spacing w:val="6"/>
          <w:sz w:val="32"/>
          <w:szCs w:val="32"/>
          <w:highlight w:val="none"/>
          <w:lang w:val="en-US" w:eastAsia="zh-CN"/>
        </w:rPr>
        <w:t>85.5%</w:t>
      </w:r>
      <w:r>
        <w:rPr>
          <w:rFonts w:hint="default" w:ascii="Times New Roman" w:hAnsi="Times New Roman" w:eastAsia="仿宋_GB2312" w:cs="Times New Roman"/>
          <w:color w:val="auto"/>
          <w:spacing w:val="6"/>
          <w:sz w:val="32"/>
          <w:szCs w:val="32"/>
          <w:highlight w:val="none"/>
          <w:lang w:eastAsia="zh-CN"/>
        </w:rPr>
        <w:t>，同口径下降</w:t>
      </w:r>
      <w:r>
        <w:rPr>
          <w:rFonts w:hint="eastAsia" w:eastAsia="仿宋_GB2312" w:cs="Times New Roman"/>
          <w:color w:val="auto"/>
          <w:spacing w:val="6"/>
          <w:sz w:val="32"/>
          <w:szCs w:val="32"/>
          <w:highlight w:val="none"/>
          <w:lang w:val="en-US" w:eastAsia="zh-CN"/>
        </w:rPr>
        <w:t>2.99</w:t>
      </w:r>
      <w:r>
        <w:rPr>
          <w:rFonts w:hint="default" w:ascii="Times New Roman" w:hAnsi="Times New Roman" w:eastAsia="仿宋_GB2312" w:cs="Times New Roman"/>
          <w:color w:val="auto"/>
          <w:spacing w:val="6"/>
          <w:sz w:val="32"/>
          <w:szCs w:val="32"/>
          <w:highlight w:val="none"/>
        </w:rPr>
        <w:t>%，占地方收入比重为</w:t>
      </w:r>
      <w:r>
        <w:rPr>
          <w:rFonts w:hint="default" w:ascii="Times New Roman" w:hAnsi="Times New Roman" w:eastAsia="仿宋_GB2312" w:cs="Times New Roman"/>
          <w:color w:val="auto"/>
          <w:spacing w:val="6"/>
          <w:sz w:val="32"/>
          <w:szCs w:val="32"/>
          <w:highlight w:val="none"/>
          <w:lang w:val="en-US" w:eastAsia="zh-CN"/>
        </w:rPr>
        <w:t>84.18</w:t>
      </w: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pacing w:val="6"/>
          <w:sz w:val="32"/>
          <w:szCs w:val="32"/>
          <w:highlight w:val="none"/>
          <w:lang w:eastAsia="zh-CN"/>
        </w:rPr>
        <w:t>，连续四年全市排名第一</w:t>
      </w:r>
      <w:r>
        <w:rPr>
          <w:rFonts w:hint="default" w:ascii="Times New Roman" w:hAnsi="Times New Roman" w:eastAsia="仿宋_GB2312" w:cs="Times New Roman"/>
          <w:color w:val="auto"/>
          <w:spacing w:val="6"/>
          <w:sz w:val="32"/>
          <w:szCs w:val="32"/>
          <w:highlight w:val="none"/>
        </w:rPr>
        <w:t>；非税收入完成</w:t>
      </w:r>
      <w:r>
        <w:rPr>
          <w:rFonts w:hint="default" w:ascii="Times New Roman" w:hAnsi="Times New Roman" w:eastAsia="仿宋_GB2312" w:cs="Times New Roman"/>
          <w:color w:val="auto"/>
          <w:spacing w:val="6"/>
          <w:sz w:val="32"/>
          <w:szCs w:val="32"/>
          <w:highlight w:val="none"/>
          <w:lang w:val="en-US" w:eastAsia="zh-CN"/>
        </w:rPr>
        <w:t>6.6</w:t>
      </w:r>
      <w:r>
        <w:rPr>
          <w:rFonts w:hint="default" w:ascii="Times New Roman" w:hAnsi="Times New Roman" w:eastAsia="仿宋_GB2312" w:cs="Times New Roman"/>
          <w:color w:val="auto"/>
          <w:spacing w:val="6"/>
          <w:sz w:val="32"/>
          <w:szCs w:val="32"/>
          <w:highlight w:val="none"/>
        </w:rPr>
        <w:t>4亿元，</w:t>
      </w:r>
      <w:r>
        <w:rPr>
          <w:rFonts w:hint="default" w:ascii="Times New Roman" w:hAnsi="Times New Roman" w:eastAsia="仿宋_GB2312" w:cs="Times New Roman"/>
          <w:color w:val="auto"/>
          <w:spacing w:val="6"/>
          <w:sz w:val="32"/>
          <w:szCs w:val="32"/>
          <w:highlight w:val="none"/>
          <w:lang w:eastAsia="zh-CN"/>
        </w:rPr>
        <w:t>为年度预算的</w:t>
      </w:r>
      <w:r>
        <w:rPr>
          <w:rFonts w:hint="default" w:ascii="Times New Roman" w:hAnsi="Times New Roman" w:eastAsia="仿宋_GB2312" w:cs="Times New Roman"/>
          <w:color w:val="auto"/>
          <w:spacing w:val="6"/>
          <w:sz w:val="32"/>
          <w:szCs w:val="32"/>
          <w:highlight w:val="none"/>
          <w:lang w:val="en-US" w:eastAsia="zh-CN"/>
        </w:rPr>
        <w:t>111.7</w:t>
      </w:r>
      <w:r>
        <w:rPr>
          <w:rFonts w:hint="eastAsia" w:ascii="Times New Roman" w:hAnsi="Times New Roman" w:eastAsia="仿宋_GB2312" w:cs="Times New Roman"/>
          <w:color w:val="auto"/>
          <w:spacing w:val="6"/>
          <w:sz w:val="32"/>
          <w:szCs w:val="32"/>
          <w:highlight w:val="none"/>
          <w:lang w:val="en-US" w:eastAsia="zh-CN"/>
        </w:rPr>
        <w:t>8</w:t>
      </w:r>
      <w:r>
        <w:rPr>
          <w:rFonts w:hint="default" w:ascii="Times New Roman" w:hAnsi="Times New Roman" w:eastAsia="仿宋_GB2312" w:cs="Times New Roman"/>
          <w:color w:val="auto"/>
          <w:spacing w:val="6"/>
          <w:sz w:val="32"/>
          <w:szCs w:val="32"/>
          <w:highlight w:val="none"/>
          <w:lang w:val="en-US" w:eastAsia="zh-CN"/>
        </w:rPr>
        <w:t>%，同比</w:t>
      </w:r>
      <w:r>
        <w:rPr>
          <w:rFonts w:hint="default" w:ascii="Times New Roman" w:hAnsi="Times New Roman" w:eastAsia="仿宋_GB2312" w:cs="Times New Roman"/>
          <w:color w:val="auto"/>
          <w:spacing w:val="6"/>
          <w:sz w:val="32"/>
          <w:szCs w:val="32"/>
          <w:highlight w:val="none"/>
          <w:lang w:eastAsia="zh-CN"/>
        </w:rPr>
        <w:t>增长</w:t>
      </w:r>
      <w:r>
        <w:rPr>
          <w:rFonts w:hint="default" w:ascii="Times New Roman" w:hAnsi="Times New Roman" w:eastAsia="仿宋_GB2312" w:cs="Times New Roman"/>
          <w:color w:val="auto"/>
          <w:spacing w:val="6"/>
          <w:sz w:val="32"/>
          <w:szCs w:val="32"/>
          <w:highlight w:val="none"/>
          <w:lang w:val="en-US" w:eastAsia="zh-CN"/>
        </w:rPr>
        <w:t>22.2</w:t>
      </w:r>
      <w:r>
        <w:rPr>
          <w:rFonts w:hint="eastAsia" w:ascii="Times New Roman" w:hAnsi="Times New Roman" w:eastAsia="仿宋_GB2312" w:cs="Times New Roman"/>
          <w:color w:val="auto"/>
          <w:spacing w:val="6"/>
          <w:sz w:val="32"/>
          <w:szCs w:val="32"/>
          <w:highlight w:val="none"/>
          <w:lang w:val="en-US" w:eastAsia="zh-CN"/>
        </w:rPr>
        <w:t>9</w:t>
      </w:r>
      <w:r>
        <w:rPr>
          <w:rFonts w:hint="default" w:ascii="Times New Roman" w:hAnsi="Times New Roman" w:eastAsia="仿宋_GB2312" w:cs="Times New Roman"/>
          <w:color w:val="auto"/>
          <w:spacing w:val="6"/>
          <w:sz w:val="32"/>
          <w:szCs w:val="32"/>
          <w:highlight w:val="none"/>
        </w:rPr>
        <w:t>%。</w:t>
      </w:r>
    </w:p>
    <w:p w14:paraId="44FB84E4">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firstLine="664" w:firstLineChars="200"/>
        <w:jc w:val="both"/>
        <w:textAlignment w:val="auto"/>
        <w:outlineLvl w:val="0"/>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全区累计完成一般公共预算支出</w:t>
      </w:r>
      <w:r>
        <w:rPr>
          <w:rFonts w:hint="default" w:ascii="Times New Roman" w:hAnsi="Times New Roman" w:eastAsia="仿宋_GB2312" w:cs="Times New Roman"/>
          <w:color w:val="auto"/>
          <w:spacing w:val="6"/>
          <w:sz w:val="32"/>
          <w:szCs w:val="32"/>
          <w:highlight w:val="none"/>
          <w:lang w:val="en-US" w:eastAsia="zh-CN"/>
        </w:rPr>
        <w:t>40.</w:t>
      </w:r>
      <w:r>
        <w:rPr>
          <w:rFonts w:hint="eastAsia" w:ascii="Times New Roman" w:hAnsi="Times New Roman" w:eastAsia="仿宋_GB2312" w:cs="Times New Roman"/>
          <w:color w:val="auto"/>
          <w:spacing w:val="6"/>
          <w:sz w:val="32"/>
          <w:szCs w:val="32"/>
          <w:highlight w:val="none"/>
          <w:lang w:val="en-US" w:eastAsia="zh-CN"/>
        </w:rPr>
        <w:t>65</w:t>
      </w:r>
      <w:r>
        <w:rPr>
          <w:rFonts w:hint="default" w:ascii="Times New Roman" w:hAnsi="Times New Roman" w:eastAsia="仿宋_GB2312" w:cs="Times New Roman"/>
          <w:color w:val="auto"/>
          <w:spacing w:val="6"/>
          <w:sz w:val="32"/>
          <w:szCs w:val="32"/>
          <w:highlight w:val="none"/>
        </w:rPr>
        <w:t>亿元，</w:t>
      </w:r>
      <w:r>
        <w:rPr>
          <w:rFonts w:hint="default" w:ascii="Times New Roman" w:hAnsi="Times New Roman" w:eastAsia="仿宋_GB2312" w:cs="Times New Roman"/>
          <w:color w:val="auto"/>
          <w:spacing w:val="6"/>
          <w:sz w:val="32"/>
          <w:szCs w:val="32"/>
          <w:highlight w:val="none"/>
          <w:lang w:eastAsia="zh-CN"/>
        </w:rPr>
        <w:t>为年度预算的</w:t>
      </w:r>
      <w:r>
        <w:rPr>
          <w:rFonts w:hint="default" w:ascii="Times New Roman" w:hAnsi="Times New Roman" w:eastAsia="仿宋_GB2312" w:cs="Times New Roman"/>
          <w:color w:val="auto"/>
          <w:spacing w:val="6"/>
          <w:sz w:val="32"/>
          <w:szCs w:val="32"/>
          <w:highlight w:val="none"/>
          <w:lang w:val="en-US" w:eastAsia="zh-CN"/>
        </w:rPr>
        <w:t>9</w:t>
      </w:r>
      <w:r>
        <w:rPr>
          <w:rFonts w:hint="eastAsia" w:ascii="Times New Roman" w:hAnsi="Times New Roman" w:eastAsia="仿宋_GB2312" w:cs="Times New Roman"/>
          <w:color w:val="auto"/>
          <w:spacing w:val="6"/>
          <w:sz w:val="32"/>
          <w:szCs w:val="32"/>
          <w:highlight w:val="none"/>
          <w:lang w:val="en-US" w:eastAsia="zh-CN"/>
        </w:rPr>
        <w:t>4</w:t>
      </w:r>
      <w:r>
        <w:rPr>
          <w:rFonts w:hint="default" w:ascii="Times New Roman" w:hAnsi="Times New Roman" w:eastAsia="仿宋_GB2312" w:cs="Times New Roman"/>
          <w:color w:val="auto"/>
          <w:spacing w:val="6"/>
          <w:sz w:val="32"/>
          <w:szCs w:val="32"/>
          <w:highlight w:val="none"/>
          <w:lang w:val="en-US" w:eastAsia="zh-CN"/>
        </w:rPr>
        <w:t>%，同比</w:t>
      </w:r>
      <w:r>
        <w:rPr>
          <w:rFonts w:hint="default" w:ascii="Times New Roman" w:hAnsi="Times New Roman" w:eastAsia="仿宋_GB2312" w:cs="Times New Roman"/>
          <w:color w:val="auto"/>
          <w:spacing w:val="6"/>
          <w:sz w:val="32"/>
          <w:szCs w:val="32"/>
          <w:highlight w:val="none"/>
          <w:lang w:eastAsia="zh-CN"/>
        </w:rPr>
        <w:t>下降</w:t>
      </w:r>
      <w:r>
        <w:rPr>
          <w:rFonts w:hint="default" w:ascii="Times New Roman" w:hAnsi="Times New Roman" w:eastAsia="仿宋_GB2312" w:cs="Times New Roman"/>
          <w:color w:val="auto"/>
          <w:spacing w:val="6"/>
          <w:sz w:val="32"/>
          <w:szCs w:val="32"/>
          <w:highlight w:val="none"/>
          <w:lang w:val="en-US" w:eastAsia="zh-CN"/>
        </w:rPr>
        <w:t>11</w:t>
      </w:r>
      <w:r>
        <w:rPr>
          <w:rFonts w:hint="default" w:ascii="Times New Roman" w:hAnsi="Times New Roman" w:eastAsia="仿宋_GB2312" w:cs="Times New Roman"/>
          <w:color w:val="auto"/>
          <w:spacing w:val="6"/>
          <w:sz w:val="32"/>
          <w:szCs w:val="32"/>
          <w:highlight w:val="none"/>
        </w:rPr>
        <w:t>%。</w:t>
      </w:r>
    </w:p>
    <w:p w14:paraId="311B90B0">
      <w:pPr>
        <w:keepNext w:val="0"/>
        <w:keepLines w:val="0"/>
        <w:pageBreakBefore w:val="0"/>
        <w:widowControl w:val="0"/>
        <w:kinsoku/>
        <w:wordWrap/>
        <w:overflowPunct/>
        <w:topLinePunct w:val="0"/>
        <w:autoSpaceDE/>
        <w:autoSpaceDN/>
        <w:bidi w:val="0"/>
        <w:adjustRightInd/>
        <w:snapToGrid/>
        <w:spacing w:beforeAutospacing="0" w:line="580" w:lineRule="exact"/>
        <w:ind w:leftChars="0" w:firstLine="640" w:firstLineChars="200"/>
        <w:jc w:val="both"/>
        <w:textAlignment w:val="auto"/>
        <w:rPr>
          <w:rFonts w:hint="default" w:ascii="Times New Roman" w:hAnsi="Times New Roman" w:eastAsia="仿宋_GB2312" w:cs="Times New Roman"/>
          <w:b/>
          <w:bCs/>
          <w:color w:val="auto"/>
          <w:spacing w:val="6"/>
          <w:sz w:val="32"/>
          <w:szCs w:val="32"/>
          <w:lang w:val="en-US" w:eastAsia="zh-CN"/>
        </w:rPr>
      </w:pPr>
      <w:r>
        <w:rPr>
          <w:rFonts w:hint="default" w:ascii="Times New Roman" w:hAnsi="Times New Roman" w:eastAsia="仿宋_GB2312" w:cs="Times New Roman"/>
          <w:color w:val="auto"/>
          <w:sz w:val="32"/>
          <w:szCs w:val="32"/>
          <w:highlight w:val="none"/>
          <w:lang w:val="en-US" w:eastAsia="zh-CN"/>
        </w:rPr>
        <w:t>与年初预算目标相比较，收入预算执行结果有一定差距，主要是受政策性调整和市场不景气带来</w:t>
      </w:r>
      <w:r>
        <w:rPr>
          <w:rFonts w:hint="eastAsia"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val="en-US" w:eastAsia="zh-CN"/>
        </w:rPr>
        <w:t>冲击。</w:t>
      </w:r>
      <w:r>
        <w:rPr>
          <w:rFonts w:hint="default" w:ascii="Times New Roman" w:hAnsi="Times New Roman" w:eastAsia="仿宋_GB2312" w:cs="Times New Roman"/>
          <w:b/>
          <w:bCs/>
          <w:color w:val="auto"/>
          <w:sz w:val="32"/>
          <w:szCs w:val="32"/>
          <w:highlight w:val="none"/>
          <w:lang w:val="en-US" w:eastAsia="zh-CN"/>
        </w:rPr>
        <w:t>一是政策性方面，</w:t>
      </w:r>
      <w:r>
        <w:rPr>
          <w:rFonts w:hint="default" w:ascii="Times New Roman" w:hAnsi="Times New Roman" w:eastAsia="仿宋_GB2312" w:cs="Times New Roman"/>
          <w:color w:val="auto"/>
          <w:spacing w:val="6"/>
          <w:sz w:val="32"/>
          <w:szCs w:val="32"/>
          <w:highlight w:val="none"/>
          <w:lang w:eastAsia="zh-CN"/>
        </w:rPr>
        <w:t>中小微企业缓税、</w:t>
      </w:r>
      <w:r>
        <w:rPr>
          <w:rFonts w:hint="default" w:ascii="Times New Roman" w:hAnsi="Times New Roman" w:eastAsia="仿宋_GB2312" w:cs="Times New Roman"/>
          <w:color w:val="auto"/>
          <w:sz w:val="32"/>
          <w:szCs w:val="32"/>
          <w:highlight w:val="none"/>
          <w:lang w:val="en-US" w:eastAsia="zh-CN"/>
        </w:rPr>
        <w:t>增值税留抵退税分担机制调整、先进制造业加计抵减等政策性因素，</w:t>
      </w:r>
      <w:r>
        <w:rPr>
          <w:rFonts w:hint="default" w:ascii="Times New Roman" w:hAnsi="Times New Roman" w:eastAsia="仿宋_GB2312" w:cs="Times New Roman"/>
          <w:b w:val="0"/>
          <w:bCs w:val="0"/>
          <w:color w:val="auto"/>
          <w:sz w:val="32"/>
          <w:szCs w:val="32"/>
          <w:highlight w:val="none"/>
          <w:lang w:val="en-US" w:eastAsia="zh-CN"/>
        </w:rPr>
        <w:t>影响地方税收约</w:t>
      </w:r>
      <w:r>
        <w:rPr>
          <w:rFonts w:hint="eastAsia" w:eastAsia="仿宋_GB2312" w:cs="Times New Roman"/>
          <w:b w:val="0"/>
          <w:bCs w:val="0"/>
          <w:color w:val="auto"/>
          <w:sz w:val="32"/>
          <w:szCs w:val="32"/>
          <w:highlight w:val="none"/>
          <w:lang w:val="en-US" w:eastAsia="zh-CN"/>
        </w:rPr>
        <w:t>3.8</w:t>
      </w:r>
      <w:r>
        <w:rPr>
          <w:rFonts w:hint="default" w:ascii="Times New Roman" w:hAnsi="Times New Roman" w:eastAsia="仿宋_GB2312" w:cs="Times New Roman"/>
          <w:b w:val="0"/>
          <w:bCs w:val="0"/>
          <w:color w:val="auto"/>
          <w:sz w:val="32"/>
          <w:szCs w:val="32"/>
          <w:highlight w:val="none"/>
          <w:lang w:val="en-US" w:eastAsia="zh-CN"/>
        </w:rPr>
        <w:t>亿元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lang w:val="en-US" w:eastAsia="zh-CN" w:bidi="ar"/>
        </w:rPr>
        <w:t>清理规范产业奖补政策，影响灵活用工平台等行业减收0.5亿元</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二是市场方面，</w:t>
      </w:r>
      <w:r>
        <w:rPr>
          <w:rFonts w:hint="default" w:ascii="Times New Roman" w:hAnsi="Times New Roman" w:eastAsia="仿宋_GB2312" w:cs="Times New Roman"/>
          <w:color w:val="auto"/>
          <w:sz w:val="32"/>
          <w:szCs w:val="32"/>
          <w:highlight w:val="none"/>
          <w:lang w:eastAsia="zh-CN"/>
        </w:rPr>
        <w:t>房地产</w:t>
      </w:r>
      <w:r>
        <w:rPr>
          <w:rFonts w:hint="eastAsia" w:eastAsia="仿宋_GB2312" w:cs="Times New Roman"/>
          <w:color w:val="auto"/>
          <w:sz w:val="32"/>
          <w:szCs w:val="32"/>
          <w:highlight w:val="none"/>
          <w:lang w:eastAsia="zh-CN"/>
        </w:rPr>
        <w:t>市场持续深度调整，</w:t>
      </w:r>
      <w:r>
        <w:rPr>
          <w:rFonts w:hint="eastAsia" w:ascii="Times New Roman" w:hAnsi="Times New Roman" w:eastAsia="仿宋_GB2312" w:cs="Times New Roman"/>
          <w:color w:val="auto"/>
          <w:sz w:val="32"/>
          <w:szCs w:val="32"/>
          <w:highlight w:val="none"/>
          <w:lang w:val="en" w:eastAsia="zh-CN"/>
        </w:rPr>
        <w:t>行业</w:t>
      </w:r>
      <w:r>
        <w:rPr>
          <w:rFonts w:hint="default" w:ascii="Times New Roman" w:hAnsi="Times New Roman" w:eastAsia="仿宋_GB2312" w:cs="Times New Roman"/>
          <w:color w:val="auto"/>
          <w:sz w:val="32"/>
          <w:szCs w:val="32"/>
          <w:highlight w:val="none"/>
          <w:lang w:val="en" w:eastAsia="zh-CN"/>
        </w:rPr>
        <w:t>减</w:t>
      </w:r>
      <w:r>
        <w:rPr>
          <w:rFonts w:hint="eastAsia" w:eastAsia="仿宋_GB2312" w:cs="Times New Roman"/>
          <w:color w:val="auto"/>
          <w:sz w:val="32"/>
          <w:szCs w:val="32"/>
          <w:highlight w:val="none"/>
          <w:lang w:val="en" w:eastAsia="zh-CN"/>
        </w:rPr>
        <w:t>税</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 w:eastAsia="zh-CN"/>
        </w:rPr>
        <w:t>亿元以上</w:t>
      </w:r>
      <w:r>
        <w:rPr>
          <w:rFonts w:hint="eastAsia" w:eastAsia="仿宋_GB2312" w:cs="Times New Roman"/>
          <w:color w:val="auto"/>
          <w:sz w:val="32"/>
          <w:szCs w:val="32"/>
          <w:highlight w:val="none"/>
          <w:lang w:val="en" w:eastAsia="zh-CN"/>
        </w:rPr>
        <w:t>，连续四年拖累了财税收入增长。</w:t>
      </w:r>
    </w:p>
    <w:p w14:paraId="50B26971">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67" w:firstLineChars="200"/>
        <w:jc w:val="both"/>
        <w:textAlignment w:val="auto"/>
        <w:outlineLvl w:val="0"/>
        <w:rPr>
          <w:rFonts w:hint="default" w:ascii="Times New Roman" w:hAnsi="Times New Roman" w:eastAsia="仿宋_GB2312" w:cs="Times New Roman"/>
          <w:b/>
          <w:bCs/>
          <w:color w:val="auto"/>
          <w:spacing w:val="6"/>
          <w:sz w:val="32"/>
          <w:szCs w:val="32"/>
          <w:lang w:val="en-US" w:eastAsia="zh-CN"/>
        </w:rPr>
      </w:pPr>
      <w:r>
        <w:rPr>
          <w:rFonts w:hint="default" w:ascii="Times New Roman" w:hAnsi="Times New Roman" w:eastAsia="仿宋_GB2312" w:cs="Times New Roman"/>
          <w:b/>
          <w:bCs/>
          <w:color w:val="auto"/>
          <w:spacing w:val="6"/>
          <w:sz w:val="32"/>
          <w:szCs w:val="32"/>
          <w:lang w:val="en-US" w:eastAsia="zh-CN"/>
        </w:rPr>
        <w:t>2.政府性基金预算执行情况</w:t>
      </w:r>
    </w:p>
    <w:p w14:paraId="43F2AEC4">
      <w:pPr>
        <w:pStyle w:val="12"/>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Autospacing="0" w:afterAutospacing="0" w:line="580" w:lineRule="exact"/>
        <w:ind w:leftChars="0" w:right="0" w:rightChars="0" w:firstLine="640"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b w:val="0"/>
          <w:bCs w:val="0"/>
          <w:color w:val="auto"/>
          <w:sz w:val="32"/>
          <w:szCs w:val="32"/>
          <w:highlight w:val="none"/>
        </w:rPr>
        <w:t>全区政府性基金预算收入完成</w:t>
      </w:r>
      <w:r>
        <w:rPr>
          <w:rFonts w:hint="default" w:ascii="Times New Roman" w:hAnsi="Times New Roman" w:eastAsia="仿宋_GB2312" w:cs="Times New Roman"/>
          <w:b w:val="0"/>
          <w:bCs w:val="0"/>
          <w:color w:val="auto"/>
          <w:sz w:val="32"/>
          <w:szCs w:val="32"/>
          <w:highlight w:val="none"/>
          <w:lang w:val="en-US" w:eastAsia="zh-CN"/>
        </w:rPr>
        <w:t>10.31</w:t>
      </w:r>
      <w:r>
        <w:rPr>
          <w:rFonts w:hint="default" w:ascii="Times New Roman" w:hAnsi="Times New Roman" w:eastAsia="仿宋_GB2312" w:cs="Times New Roman"/>
          <w:b w:val="0"/>
          <w:bCs w:val="0"/>
          <w:color w:val="auto"/>
          <w:sz w:val="32"/>
          <w:szCs w:val="32"/>
          <w:highlight w:val="none"/>
        </w:rPr>
        <w:t>亿元</w:t>
      </w:r>
      <w:r>
        <w:rPr>
          <w:rFonts w:hint="default" w:ascii="Times New Roman" w:hAnsi="Times New Roman" w:eastAsia="仿宋_GB2312" w:cs="Times New Roman"/>
          <w:b w:val="0"/>
          <w:bCs w:val="0"/>
          <w:color w:val="auto"/>
          <w:sz w:val="32"/>
          <w:szCs w:val="32"/>
          <w:highlight w:val="none"/>
          <w:lang w:eastAsia="zh-CN"/>
        </w:rPr>
        <w:t>（不含缴入市财政收入</w:t>
      </w:r>
      <w:r>
        <w:rPr>
          <w:rFonts w:hint="default" w:ascii="Times New Roman" w:hAnsi="Times New Roman" w:eastAsia="仿宋_GB2312" w:cs="Times New Roman"/>
          <w:b w:val="0"/>
          <w:bCs w:val="0"/>
          <w:color w:val="auto"/>
          <w:sz w:val="32"/>
          <w:szCs w:val="32"/>
          <w:highlight w:val="none"/>
          <w:lang w:val="en-US" w:eastAsia="zh-CN"/>
        </w:rPr>
        <w:t>11.26亿元</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为</w:t>
      </w:r>
      <w:r>
        <w:rPr>
          <w:rFonts w:hint="default" w:ascii="Times New Roman" w:hAnsi="Times New Roman" w:eastAsia="仿宋_GB2312" w:cs="Times New Roman"/>
          <w:color w:val="auto"/>
          <w:spacing w:val="6"/>
          <w:sz w:val="32"/>
          <w:szCs w:val="32"/>
          <w:highlight w:val="none"/>
          <w:lang w:eastAsia="zh-CN"/>
        </w:rPr>
        <w:t>年度预算的</w:t>
      </w:r>
      <w:r>
        <w:rPr>
          <w:rFonts w:hint="default" w:ascii="Times New Roman" w:hAnsi="Times New Roman" w:eastAsia="仿宋_GB2312" w:cs="Times New Roman"/>
          <w:color w:val="auto"/>
          <w:spacing w:val="6"/>
          <w:sz w:val="32"/>
          <w:szCs w:val="32"/>
          <w:highlight w:val="none"/>
          <w:lang w:val="en-US" w:eastAsia="zh-CN"/>
        </w:rPr>
        <w:t>35.88%</w:t>
      </w:r>
      <w:r>
        <w:rPr>
          <w:rFonts w:hint="default" w:ascii="Times New Roman" w:hAnsi="Times New Roman" w:eastAsia="仿宋_GB2312" w:cs="Times New Roman"/>
          <w:color w:val="auto"/>
          <w:spacing w:val="6"/>
          <w:sz w:val="32"/>
          <w:szCs w:val="32"/>
          <w:highlight w:val="none"/>
          <w:lang w:eastAsia="zh-CN"/>
        </w:rPr>
        <w:t>，同比</w:t>
      </w:r>
      <w:r>
        <w:rPr>
          <w:rFonts w:hint="default" w:ascii="Times New Roman" w:hAnsi="Times New Roman" w:eastAsia="仿宋_GB2312" w:cs="Times New Roman"/>
          <w:b w:val="0"/>
          <w:bCs w:val="0"/>
          <w:color w:val="auto"/>
          <w:sz w:val="32"/>
          <w:szCs w:val="32"/>
          <w:highlight w:val="none"/>
          <w:lang w:eastAsia="zh-CN"/>
        </w:rPr>
        <w:t>下降</w:t>
      </w:r>
      <w:r>
        <w:rPr>
          <w:rFonts w:hint="default" w:ascii="Times New Roman" w:hAnsi="Times New Roman" w:eastAsia="仿宋_GB2312" w:cs="Times New Roman"/>
          <w:b w:val="0"/>
          <w:bCs w:val="0"/>
          <w:color w:val="auto"/>
          <w:sz w:val="32"/>
          <w:szCs w:val="32"/>
          <w:highlight w:val="none"/>
          <w:lang w:val="en-US" w:eastAsia="zh-CN"/>
        </w:rPr>
        <w:t>30.01</w:t>
      </w:r>
      <w:r>
        <w:rPr>
          <w:rFonts w:hint="default" w:ascii="Times New Roman" w:hAnsi="Times New Roman" w:eastAsia="仿宋_GB2312" w:cs="Times New Roman"/>
          <w:b w:val="0"/>
          <w:bCs w:val="0"/>
          <w:color w:val="auto"/>
          <w:sz w:val="32"/>
          <w:szCs w:val="32"/>
          <w:highlight w:val="none"/>
        </w:rPr>
        <w:t>%；政府性基金预算支出完成</w:t>
      </w:r>
      <w:r>
        <w:rPr>
          <w:rFonts w:hint="default" w:ascii="Times New Roman" w:hAnsi="Times New Roman" w:eastAsia="仿宋_GB2312" w:cs="Times New Roman"/>
          <w:b w:val="0"/>
          <w:bCs w:val="0"/>
          <w:color w:val="auto"/>
          <w:sz w:val="32"/>
          <w:szCs w:val="32"/>
          <w:highlight w:val="none"/>
          <w:lang w:val="en-US" w:eastAsia="zh-CN"/>
        </w:rPr>
        <w:t>27.6</w:t>
      </w:r>
      <w:r>
        <w:rPr>
          <w:rFonts w:hint="default" w:ascii="Times New Roman" w:hAnsi="Times New Roman" w:eastAsia="仿宋_GB2312" w:cs="Times New Roman"/>
          <w:b w:val="0"/>
          <w:bCs w:val="0"/>
          <w:color w:val="auto"/>
          <w:sz w:val="32"/>
          <w:szCs w:val="32"/>
          <w:highlight w:val="none"/>
        </w:rPr>
        <w:t>亿元（</w:t>
      </w:r>
      <w:r>
        <w:rPr>
          <w:rFonts w:hint="default" w:ascii="Times New Roman" w:hAnsi="Times New Roman" w:eastAsia="仿宋_GB2312" w:cs="Times New Roman"/>
          <w:b w:val="0"/>
          <w:bCs w:val="0"/>
          <w:color w:val="auto"/>
          <w:sz w:val="32"/>
          <w:szCs w:val="32"/>
          <w:highlight w:val="none"/>
          <w:lang w:eastAsia="zh-CN"/>
        </w:rPr>
        <w:t>含专项债支出</w:t>
      </w:r>
      <w:r>
        <w:rPr>
          <w:rFonts w:hint="default" w:ascii="Times New Roman" w:hAnsi="Times New Roman" w:eastAsia="仿宋_GB2312" w:cs="Times New Roman"/>
          <w:b w:val="0"/>
          <w:bCs w:val="0"/>
          <w:color w:val="auto"/>
          <w:sz w:val="32"/>
          <w:szCs w:val="32"/>
          <w:highlight w:val="none"/>
          <w:lang w:val="en-US" w:eastAsia="zh-CN"/>
        </w:rPr>
        <w:t>16.93亿元</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为</w:t>
      </w:r>
      <w:r>
        <w:rPr>
          <w:rFonts w:hint="default" w:ascii="Times New Roman" w:hAnsi="Times New Roman" w:eastAsia="仿宋_GB2312" w:cs="Times New Roman"/>
          <w:color w:val="auto"/>
          <w:spacing w:val="6"/>
          <w:sz w:val="32"/>
          <w:szCs w:val="32"/>
          <w:highlight w:val="none"/>
          <w:lang w:eastAsia="zh-CN"/>
        </w:rPr>
        <w:t>年度预算的</w:t>
      </w:r>
      <w:r>
        <w:rPr>
          <w:rFonts w:hint="default" w:ascii="Times New Roman" w:hAnsi="Times New Roman" w:eastAsia="仿宋_GB2312" w:cs="Times New Roman"/>
          <w:color w:val="auto"/>
          <w:spacing w:val="6"/>
          <w:sz w:val="32"/>
          <w:szCs w:val="32"/>
          <w:highlight w:val="none"/>
          <w:lang w:val="en-US" w:eastAsia="zh-CN"/>
        </w:rPr>
        <w:t>68.43%</w:t>
      </w:r>
      <w:r>
        <w:rPr>
          <w:rFonts w:hint="default" w:ascii="Times New Roman" w:hAnsi="Times New Roman" w:eastAsia="仿宋_GB2312" w:cs="Times New Roman"/>
          <w:color w:val="auto"/>
          <w:spacing w:val="6"/>
          <w:sz w:val="32"/>
          <w:szCs w:val="32"/>
          <w:highlight w:val="none"/>
          <w:lang w:eastAsia="zh-CN"/>
        </w:rPr>
        <w:t>，同比</w:t>
      </w:r>
      <w:r>
        <w:rPr>
          <w:rFonts w:hint="default" w:ascii="Times New Roman" w:hAnsi="Times New Roman" w:eastAsia="仿宋_GB2312" w:cs="Times New Roman"/>
          <w:b w:val="0"/>
          <w:bCs w:val="0"/>
          <w:color w:val="auto"/>
          <w:sz w:val="32"/>
          <w:szCs w:val="32"/>
          <w:highlight w:val="none"/>
        </w:rPr>
        <w:t>增长</w:t>
      </w:r>
      <w:r>
        <w:rPr>
          <w:rFonts w:hint="default" w:ascii="Times New Roman" w:hAnsi="Times New Roman" w:eastAsia="仿宋_GB2312" w:cs="Times New Roman"/>
          <w:b w:val="0"/>
          <w:bCs w:val="0"/>
          <w:color w:val="auto"/>
          <w:sz w:val="32"/>
          <w:szCs w:val="32"/>
          <w:highlight w:val="none"/>
          <w:lang w:val="en-US" w:eastAsia="zh-CN"/>
        </w:rPr>
        <w:t>60.6</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color w:val="auto"/>
          <w:kern w:val="0"/>
          <w:sz w:val="32"/>
          <w:szCs w:val="32"/>
          <w:lang w:val="en-US" w:eastAsia="zh-CN" w:bidi="ar-SA"/>
        </w:rPr>
        <w:t>主要原因是：按照市里统一安排部署，高科集团有11.26亿元的土地收入缴到了市财政局，影响了我区政府性基金预算的执行。</w:t>
      </w:r>
    </w:p>
    <w:p w14:paraId="66DD9E1C">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Chars="0" w:right="0" w:rightChars="0" w:firstLine="667" w:firstLineChars="200"/>
        <w:jc w:val="both"/>
        <w:textAlignment w:val="auto"/>
        <w:outlineLvl w:val="0"/>
        <w:rPr>
          <w:rFonts w:hint="default" w:ascii="Times New Roman" w:hAnsi="Times New Roman" w:eastAsia="仿宋_GB2312" w:cs="Times New Roman"/>
          <w:b/>
          <w:bCs/>
          <w:color w:val="auto"/>
          <w:spacing w:val="6"/>
          <w:sz w:val="32"/>
          <w:szCs w:val="32"/>
          <w:lang w:val="en-US" w:eastAsia="zh-CN"/>
        </w:rPr>
      </w:pPr>
      <w:r>
        <w:rPr>
          <w:rFonts w:hint="default" w:ascii="Times New Roman" w:hAnsi="Times New Roman" w:eastAsia="仿宋_GB2312" w:cs="Times New Roman"/>
          <w:b/>
          <w:bCs/>
          <w:color w:val="auto"/>
          <w:spacing w:val="6"/>
          <w:sz w:val="32"/>
          <w:szCs w:val="32"/>
          <w:lang w:val="en-US" w:eastAsia="zh-CN"/>
        </w:rPr>
        <w:t>3.国有资本经营预算执行情况</w:t>
      </w:r>
    </w:p>
    <w:p w14:paraId="1E78A02D">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Chars="0" w:right="0" w:rightChars="0" w:firstLine="640" w:firstLineChars="200"/>
        <w:jc w:val="both"/>
        <w:textAlignment w:val="auto"/>
        <w:outlineLvl w:val="0"/>
        <w:rPr>
          <w:rFonts w:hint="default" w:ascii="Times New Roman" w:hAnsi="Times New Roman" w:cs="Times New Roman"/>
          <w:sz w:val="32"/>
          <w:szCs w:val="32"/>
          <w:lang w:val="en-US" w:eastAsia="zh-CN"/>
        </w:rPr>
      </w:pPr>
      <w:r>
        <w:rPr>
          <w:rFonts w:hint="default" w:ascii="Times New Roman" w:hAnsi="Times New Roman" w:eastAsia="仿宋_GB2312" w:cs="Times New Roman"/>
          <w:b w:val="0"/>
          <w:bCs w:val="0"/>
          <w:color w:val="auto"/>
          <w:sz w:val="32"/>
          <w:szCs w:val="32"/>
          <w:highlight w:val="none"/>
        </w:rPr>
        <w:t>全区国有资本经营预算收入完成</w:t>
      </w:r>
      <w:r>
        <w:rPr>
          <w:rFonts w:hint="default" w:ascii="Times New Roman" w:hAnsi="Times New Roman" w:eastAsia="仿宋_GB2312" w:cs="Times New Roman"/>
          <w:b w:val="0"/>
          <w:bCs w:val="0"/>
          <w:color w:val="auto"/>
          <w:sz w:val="32"/>
          <w:szCs w:val="32"/>
          <w:highlight w:val="none"/>
          <w:lang w:val="en-US" w:eastAsia="zh-CN"/>
        </w:rPr>
        <w:t>0.93</w:t>
      </w:r>
      <w:r>
        <w:rPr>
          <w:rFonts w:hint="default" w:ascii="Times New Roman" w:hAnsi="Times New Roman" w:eastAsia="仿宋_GB2312" w:cs="Times New Roman"/>
          <w:b w:val="0"/>
          <w:bCs w:val="0"/>
          <w:color w:val="auto"/>
          <w:sz w:val="32"/>
          <w:szCs w:val="32"/>
          <w:highlight w:val="none"/>
        </w:rPr>
        <w:t>亿元，</w:t>
      </w:r>
      <w:r>
        <w:rPr>
          <w:rFonts w:hint="default" w:ascii="Times New Roman" w:hAnsi="Times New Roman" w:eastAsia="仿宋_GB2312" w:cs="Times New Roman"/>
          <w:b w:val="0"/>
          <w:bCs w:val="0"/>
          <w:color w:val="auto"/>
          <w:sz w:val="32"/>
          <w:szCs w:val="32"/>
          <w:highlight w:val="none"/>
          <w:lang w:eastAsia="zh-CN"/>
        </w:rPr>
        <w:t>为</w:t>
      </w:r>
      <w:r>
        <w:rPr>
          <w:rFonts w:hint="default" w:ascii="Times New Roman" w:hAnsi="Times New Roman" w:eastAsia="仿宋_GB2312" w:cs="Times New Roman"/>
          <w:color w:val="auto"/>
          <w:spacing w:val="6"/>
          <w:sz w:val="32"/>
          <w:szCs w:val="32"/>
          <w:highlight w:val="none"/>
          <w:lang w:eastAsia="zh-CN"/>
        </w:rPr>
        <w:t>年度预算的</w:t>
      </w:r>
      <w:r>
        <w:rPr>
          <w:rFonts w:hint="default" w:ascii="Times New Roman" w:hAnsi="Times New Roman" w:eastAsia="仿宋_GB2312" w:cs="Times New Roman"/>
          <w:color w:val="auto"/>
          <w:spacing w:val="6"/>
          <w:sz w:val="32"/>
          <w:szCs w:val="32"/>
          <w:highlight w:val="none"/>
          <w:lang w:val="en-US" w:eastAsia="zh-CN"/>
        </w:rPr>
        <w:t>92.86%，同比下降7.14%。</w:t>
      </w:r>
      <w:r>
        <w:rPr>
          <w:rFonts w:hint="default" w:ascii="Times New Roman" w:hAnsi="Times New Roman" w:eastAsia="仿宋_GB2312" w:cs="Times New Roman"/>
          <w:b w:val="0"/>
          <w:bCs w:val="0"/>
          <w:color w:val="auto"/>
          <w:sz w:val="32"/>
          <w:szCs w:val="32"/>
          <w:highlight w:val="none"/>
        </w:rPr>
        <w:t>国有资本经营预算</w:t>
      </w:r>
      <w:r>
        <w:rPr>
          <w:rFonts w:hint="default" w:ascii="Times New Roman" w:hAnsi="Times New Roman" w:eastAsia="仿宋_GB2312" w:cs="Times New Roman"/>
          <w:b w:val="0"/>
          <w:bCs w:val="0"/>
          <w:color w:val="auto"/>
          <w:sz w:val="32"/>
          <w:szCs w:val="32"/>
          <w:highlight w:val="none"/>
          <w:lang w:eastAsia="zh-CN"/>
        </w:rPr>
        <w:t>支出</w:t>
      </w:r>
      <w:r>
        <w:rPr>
          <w:rFonts w:hint="default" w:ascii="Times New Roman" w:hAnsi="Times New Roman" w:eastAsia="仿宋_GB2312" w:cs="Times New Roman"/>
          <w:b w:val="0"/>
          <w:bCs w:val="0"/>
          <w:color w:val="auto"/>
          <w:sz w:val="32"/>
          <w:szCs w:val="32"/>
          <w:highlight w:val="none"/>
        </w:rPr>
        <w:t>完成</w:t>
      </w:r>
      <w:r>
        <w:rPr>
          <w:rFonts w:hint="default" w:ascii="Times New Roman" w:hAnsi="Times New Roman" w:eastAsia="仿宋_GB2312" w:cs="Times New Roman"/>
          <w:b w:val="0"/>
          <w:bCs w:val="0"/>
          <w:color w:val="auto"/>
          <w:sz w:val="32"/>
          <w:szCs w:val="32"/>
          <w:highlight w:val="none"/>
          <w:lang w:val="en-US" w:eastAsia="zh-CN"/>
        </w:rPr>
        <w:t>0.5</w:t>
      </w:r>
      <w:r>
        <w:rPr>
          <w:rFonts w:hint="default" w:ascii="Times New Roman" w:hAnsi="Times New Roman" w:eastAsia="仿宋_GB2312" w:cs="Times New Roman"/>
          <w:b w:val="0"/>
          <w:bCs w:val="0"/>
          <w:color w:val="auto"/>
          <w:sz w:val="32"/>
          <w:szCs w:val="32"/>
          <w:highlight w:val="none"/>
        </w:rPr>
        <w:t>亿元</w:t>
      </w:r>
      <w:r>
        <w:rPr>
          <w:rFonts w:hint="default" w:ascii="Times New Roman" w:hAnsi="Times New Roman" w:eastAsia="仿宋_GB2312" w:cs="Times New Roman"/>
          <w:b w:val="0"/>
          <w:bCs w:val="0"/>
          <w:color w:val="auto"/>
          <w:sz w:val="32"/>
          <w:szCs w:val="32"/>
          <w:highlight w:val="none"/>
          <w:lang w:eastAsia="zh-CN"/>
        </w:rPr>
        <w:t>（不含调入一般公共预算支出</w:t>
      </w:r>
      <w:r>
        <w:rPr>
          <w:rFonts w:hint="eastAsia" w:eastAsia="仿宋_GB2312" w:cs="Times New Roman"/>
          <w:b w:val="0"/>
          <w:bCs w:val="0"/>
          <w:color w:val="auto"/>
          <w:sz w:val="32"/>
          <w:szCs w:val="32"/>
          <w:highlight w:val="none"/>
          <w:lang w:val="en-US" w:eastAsia="zh-CN"/>
        </w:rPr>
        <w:t>0.43亿元</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为</w:t>
      </w:r>
      <w:r>
        <w:rPr>
          <w:rFonts w:hint="default" w:ascii="Times New Roman" w:hAnsi="Times New Roman" w:eastAsia="仿宋_GB2312" w:cs="Times New Roman"/>
          <w:color w:val="auto"/>
          <w:spacing w:val="6"/>
          <w:sz w:val="32"/>
          <w:szCs w:val="32"/>
          <w:highlight w:val="none"/>
          <w:lang w:eastAsia="zh-CN"/>
        </w:rPr>
        <w:t>年度预算的</w:t>
      </w:r>
      <w:r>
        <w:rPr>
          <w:rFonts w:hint="default" w:ascii="Times New Roman" w:hAnsi="Times New Roman" w:eastAsia="仿宋_GB2312" w:cs="Times New Roman"/>
          <w:color w:val="auto"/>
          <w:spacing w:val="6"/>
          <w:sz w:val="32"/>
          <w:szCs w:val="32"/>
          <w:highlight w:val="none"/>
          <w:lang w:val="en-US" w:eastAsia="zh-CN"/>
        </w:rPr>
        <w:t>50.3%。</w:t>
      </w:r>
    </w:p>
    <w:p w14:paraId="765F932F">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67" w:firstLineChars="200"/>
        <w:jc w:val="both"/>
        <w:textAlignment w:val="auto"/>
        <w:outlineLvl w:val="0"/>
        <w:rPr>
          <w:rFonts w:hint="default" w:ascii="Times New Roman" w:hAnsi="Times New Roman" w:eastAsia="仿宋_GB2312" w:cs="Times New Roman"/>
          <w:b/>
          <w:bCs/>
          <w:color w:val="auto"/>
          <w:spacing w:val="6"/>
          <w:sz w:val="32"/>
          <w:szCs w:val="32"/>
          <w:lang w:val="en-US" w:eastAsia="zh-CN"/>
        </w:rPr>
      </w:pPr>
      <w:r>
        <w:rPr>
          <w:rFonts w:hint="default" w:ascii="Times New Roman" w:hAnsi="Times New Roman" w:eastAsia="仿宋_GB2312" w:cs="Times New Roman"/>
          <w:b/>
          <w:bCs/>
          <w:color w:val="auto"/>
          <w:spacing w:val="6"/>
          <w:sz w:val="32"/>
          <w:szCs w:val="32"/>
          <w:lang w:val="en-US" w:eastAsia="zh-CN"/>
        </w:rPr>
        <w:t>4.社会保险基金预算执行情况</w:t>
      </w:r>
    </w:p>
    <w:p w14:paraId="41B1E4C0">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40" w:firstLineChars="200"/>
        <w:jc w:val="both"/>
        <w:textAlignment w:val="auto"/>
        <w:outlineLvl w:val="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全区社会保险基金收入完成2.04亿元（区级统筹部分，下同），增长15.06%；社会保险基金支出完成1.59亿元，增长18.68%。年末社会保险基金累计结余3.15亿元。</w:t>
      </w:r>
    </w:p>
    <w:p w14:paraId="4BDD9897">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left="0" w:leftChars="0" w:right="0" w:rightChars="0" w:firstLine="667" w:firstLineChars="200"/>
        <w:jc w:val="both"/>
        <w:textAlignment w:val="auto"/>
        <w:outlineLvl w:val="0"/>
        <w:rPr>
          <w:rFonts w:hint="default" w:ascii="Times New Roman" w:hAnsi="Times New Roman" w:eastAsia="仿宋_GB2312" w:cs="Times New Roman"/>
          <w:b/>
          <w:bCs/>
          <w:color w:val="auto"/>
          <w:spacing w:val="6"/>
          <w:sz w:val="32"/>
          <w:szCs w:val="32"/>
          <w:lang w:val="en-US" w:eastAsia="zh-CN"/>
        </w:rPr>
      </w:pPr>
      <w:r>
        <w:rPr>
          <w:rFonts w:hint="default" w:ascii="Times New Roman" w:hAnsi="Times New Roman" w:eastAsia="仿宋_GB2312" w:cs="Times New Roman"/>
          <w:b/>
          <w:bCs/>
          <w:color w:val="auto"/>
          <w:spacing w:val="6"/>
          <w:sz w:val="32"/>
          <w:szCs w:val="32"/>
          <w:lang w:val="en-US" w:eastAsia="zh-CN"/>
        </w:rPr>
        <w:t>5.地方政府债务情况</w:t>
      </w:r>
    </w:p>
    <w:p w14:paraId="4E64FD0E">
      <w:pPr>
        <w:pStyle w:val="4"/>
        <w:keepNext w:val="0"/>
        <w:keepLines w:val="0"/>
        <w:pageBreakBefore w:val="0"/>
        <w:widowControl w:val="0"/>
        <w:kinsoku/>
        <w:wordWrap/>
        <w:overflowPunct/>
        <w:topLinePunct w:val="0"/>
        <w:autoSpaceDE/>
        <w:autoSpaceDN/>
        <w:bidi w:val="0"/>
        <w:adjustRightInd/>
        <w:snapToGrid/>
        <w:spacing w:before="0" w:beforeAutospacing="0" w:after="0" w:line="580" w:lineRule="exact"/>
        <w:ind w:left="0" w:leftChars="0" w:firstLine="640"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kern w:val="0"/>
          <w:sz w:val="32"/>
          <w:szCs w:val="32"/>
          <w:lang w:val="en-US" w:eastAsia="zh-CN" w:bidi="ar-SA"/>
        </w:rPr>
        <w:t>截至12月底，我区政府债务余额131.16亿元，较上年末增加33.9亿元，其中：一般债增加1.93亿元，专项债增加31.97亿元。</w:t>
      </w:r>
    </w:p>
    <w:p w14:paraId="2A41C1E3">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（二）区人大预算决议和主要财税政策落实情况</w:t>
      </w:r>
    </w:p>
    <w:p w14:paraId="17EE2902">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刚刚过去的2024年，财政部门坚决贯彻工委、管委会、区委、区政府决策部署，认真落实区人大有关决议和审议意见，全力以赴做好</w:t>
      </w:r>
      <w:r>
        <w:rPr>
          <w:rFonts w:hint="eastAsia" w:eastAsia="仿宋_GB2312" w:cs="Times New Roman"/>
          <w:color w:val="auto"/>
          <w:sz w:val="32"/>
          <w:szCs w:val="32"/>
          <w:highlight w:val="none"/>
          <w:lang w:val="en-US" w:eastAsia="zh-CN"/>
        </w:rPr>
        <w:t>各项</w:t>
      </w:r>
      <w:r>
        <w:rPr>
          <w:rFonts w:hint="eastAsia" w:ascii="Times New Roman" w:hAnsi="Times New Roman" w:eastAsia="仿宋_GB2312" w:cs="Times New Roman"/>
          <w:color w:val="auto"/>
          <w:sz w:val="32"/>
          <w:szCs w:val="32"/>
          <w:highlight w:val="none"/>
          <w:lang w:val="en-US" w:eastAsia="zh-CN"/>
        </w:rPr>
        <w:t>工作，为推动全区经济社会发展提供了有力财政保障。</w:t>
      </w:r>
    </w:p>
    <w:p w14:paraId="2DD5401F">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1.紧盯形势变化，攻坚克难稳收入。</w:t>
      </w:r>
      <w:r>
        <w:rPr>
          <w:rFonts w:hint="eastAsia" w:ascii="Times New Roman" w:hAnsi="Times New Roman" w:eastAsia="仿宋_GB2312" w:cs="Times New Roman"/>
          <w:color w:val="auto"/>
          <w:sz w:val="32"/>
          <w:szCs w:val="32"/>
          <w:highlight w:val="none"/>
          <w:lang w:val="en-US" w:eastAsia="zh-CN"/>
        </w:rPr>
        <w:t>面对</w:t>
      </w:r>
      <w:r>
        <w:rPr>
          <w:rFonts w:hint="default" w:ascii="Times New Roman" w:hAnsi="Times New Roman" w:eastAsia="仿宋_GB2312" w:cs="Times New Roman"/>
          <w:kern w:val="0"/>
          <w:sz w:val="32"/>
          <w:szCs w:val="32"/>
          <w:lang w:val="en-US" w:eastAsia="zh-CN" w:bidi="ar-SA"/>
        </w:rPr>
        <w:t>地方收入持续下降的严峻形势</w:t>
      </w:r>
      <w:r>
        <w:rPr>
          <w:rFonts w:hint="eastAsia" w:ascii="Times New Roman" w:hAnsi="Times New Roman" w:eastAsia="仿宋_GB2312" w:cs="Times New Roman"/>
          <w:sz w:val="32"/>
          <w:szCs w:val="32"/>
          <w:lang w:val="en-US" w:eastAsia="zh-CN"/>
        </w:rPr>
        <w:t>，深入重点企业调研，</w:t>
      </w:r>
      <w:r>
        <w:rPr>
          <w:rFonts w:hint="default" w:ascii="Times New Roman" w:hAnsi="Times New Roman" w:eastAsia="仿宋_GB2312" w:cs="Times New Roman"/>
          <w:sz w:val="32"/>
          <w:szCs w:val="32"/>
          <w:lang w:val="en-US" w:eastAsia="zh-CN"/>
        </w:rPr>
        <w:t>加</w:t>
      </w:r>
      <w:bookmarkStart w:id="0" w:name="OLE_LINK1"/>
      <w:r>
        <w:rPr>
          <w:rFonts w:hint="default" w:ascii="Times New Roman" w:hAnsi="Times New Roman" w:eastAsia="仿宋_GB2312" w:cs="Times New Roman"/>
          <w:sz w:val="32"/>
          <w:szCs w:val="32"/>
          <w:lang w:val="en-US" w:eastAsia="zh-CN"/>
        </w:rPr>
        <w:t>强形势研判，合理调整收入</w:t>
      </w:r>
      <w:r>
        <w:rPr>
          <w:rFonts w:hint="eastAsia" w:ascii="Times New Roman" w:hAnsi="Times New Roman" w:eastAsia="仿宋_GB2312" w:cs="Times New Roman"/>
          <w:sz w:val="32"/>
          <w:szCs w:val="32"/>
          <w:lang w:val="en-US" w:eastAsia="zh-CN"/>
        </w:rPr>
        <w:t>预期</w:t>
      </w:r>
      <w:r>
        <w:rPr>
          <w:rFonts w:hint="default" w:ascii="Times New Roman" w:hAnsi="Times New Roman" w:eastAsia="仿宋_GB2312" w:cs="Times New Roman"/>
          <w:sz w:val="32"/>
          <w:szCs w:val="32"/>
          <w:lang w:val="en-US" w:eastAsia="zh-CN"/>
        </w:rPr>
        <w:t>目标</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并制定过硬的落实措施，针对不同时间节点、不同行业、不同税种分类施策、精准发力，</w:t>
      </w:r>
      <w:r>
        <w:rPr>
          <w:rFonts w:hint="eastAsia" w:ascii="Times New Roman" w:hAnsi="Times New Roman" w:eastAsia="仿宋_GB2312" w:cs="Times New Roman"/>
          <w:sz w:val="32"/>
          <w:szCs w:val="32"/>
          <w:lang w:val="en-US" w:eastAsia="zh-CN"/>
        </w:rPr>
        <w:t>圆满完成了市定收入目标，收入质量持续提升</w:t>
      </w:r>
      <w:r>
        <w:rPr>
          <w:rFonts w:hint="default" w:ascii="Times New Roman" w:hAnsi="Times New Roman" w:eastAsia="仿宋_GB2312" w:cs="Times New Roman"/>
          <w:sz w:val="32"/>
          <w:szCs w:val="32"/>
          <w:lang w:val="en-US" w:eastAsia="zh-CN"/>
        </w:rPr>
        <w:t>。</w:t>
      </w:r>
      <w:bookmarkEnd w:id="0"/>
      <w:r>
        <w:rPr>
          <w:rFonts w:hint="eastAsia" w:eastAsia="仿宋_GB2312" w:cs="Times New Roman"/>
          <w:sz w:val="32"/>
          <w:szCs w:val="32"/>
          <w:lang w:val="en-US" w:eastAsia="zh-CN"/>
        </w:rPr>
        <w:t>全年</w:t>
      </w:r>
      <w:r>
        <w:rPr>
          <w:rFonts w:hint="default" w:ascii="Times New Roman" w:hAnsi="Times New Roman" w:eastAsia="仿宋_GB2312" w:cs="Times New Roman"/>
          <w:color w:val="auto"/>
          <w:sz w:val="32"/>
          <w:szCs w:val="32"/>
          <w:highlight w:val="none"/>
          <w:lang w:val="en-US" w:eastAsia="zh-CN"/>
        </w:rPr>
        <w:t>制造业</w:t>
      </w:r>
      <w:r>
        <w:rPr>
          <w:rFonts w:hint="eastAsia" w:ascii="Times New Roman" w:hAnsi="Times New Roman" w:eastAsia="仿宋_GB2312" w:cs="Times New Roman"/>
          <w:color w:val="auto"/>
          <w:sz w:val="32"/>
          <w:szCs w:val="32"/>
          <w:highlight w:val="none"/>
          <w:lang w:val="en-US" w:eastAsia="zh-CN"/>
        </w:rPr>
        <w:t>实现</w:t>
      </w:r>
      <w:r>
        <w:rPr>
          <w:rFonts w:hint="default" w:ascii="Times New Roman" w:hAnsi="Times New Roman" w:eastAsia="仿宋_GB2312" w:cs="Times New Roman"/>
          <w:color w:val="auto"/>
          <w:sz w:val="32"/>
          <w:szCs w:val="32"/>
          <w:highlight w:val="none"/>
          <w:lang w:val="en-US" w:eastAsia="zh-CN"/>
        </w:rPr>
        <w:t>地方税收</w:t>
      </w:r>
      <w:r>
        <w:rPr>
          <w:rFonts w:hint="eastAsia" w:eastAsia="仿宋_GB2312" w:cs="Times New Roman"/>
          <w:color w:val="auto"/>
          <w:sz w:val="32"/>
          <w:szCs w:val="32"/>
          <w:highlight w:val="none"/>
          <w:lang w:val="en-US" w:eastAsia="zh-CN"/>
        </w:rPr>
        <w:t>11.2</w:t>
      </w:r>
      <w:r>
        <w:rPr>
          <w:rFonts w:hint="default" w:ascii="Times New Roman" w:hAnsi="Times New Roman" w:eastAsia="仿宋_GB2312" w:cs="Times New Roman"/>
          <w:color w:val="auto"/>
          <w:sz w:val="32"/>
          <w:szCs w:val="32"/>
          <w:highlight w:val="none"/>
          <w:lang w:val="en-US" w:eastAsia="zh-CN"/>
        </w:rPr>
        <w:t>亿元，占地方税收比重达</w:t>
      </w:r>
      <w:r>
        <w:rPr>
          <w:rFonts w:hint="eastAsia" w:eastAsia="仿宋_GB2312" w:cs="Times New Roman"/>
          <w:color w:val="auto"/>
          <w:sz w:val="32"/>
          <w:szCs w:val="32"/>
          <w:highlight w:val="none"/>
          <w:lang w:val="en-US" w:eastAsia="zh-CN"/>
        </w:rPr>
        <w:t>31.69</w:t>
      </w:r>
      <w:r>
        <w:rPr>
          <w:rFonts w:hint="default" w:ascii="Times New Roman" w:hAnsi="Times New Roman" w:eastAsia="仿宋_GB2312" w:cs="Times New Roman"/>
          <w:color w:val="auto"/>
          <w:sz w:val="32"/>
          <w:szCs w:val="32"/>
          <w:highlight w:val="none"/>
          <w:lang w:val="en-US" w:eastAsia="zh-CN"/>
        </w:rPr>
        <w:t>%，高出房地产业</w:t>
      </w:r>
      <w:r>
        <w:rPr>
          <w:rFonts w:hint="eastAsia" w:eastAsia="仿宋_GB2312" w:cs="Times New Roman"/>
          <w:color w:val="auto"/>
          <w:sz w:val="32"/>
          <w:szCs w:val="32"/>
          <w:highlight w:val="none"/>
          <w:lang w:val="en-US" w:eastAsia="zh-CN"/>
        </w:rPr>
        <w:t>16.7</w:t>
      </w:r>
      <w:r>
        <w:rPr>
          <w:rFonts w:hint="default" w:ascii="Times New Roman" w:hAnsi="Times New Roman" w:eastAsia="仿宋_GB2312" w:cs="Times New Roman"/>
          <w:color w:val="auto"/>
          <w:sz w:val="32"/>
          <w:szCs w:val="32"/>
          <w:highlight w:val="none"/>
          <w:lang w:val="en-US" w:eastAsia="zh-CN"/>
        </w:rPr>
        <w:t>个百分点，</w:t>
      </w:r>
      <w:r>
        <w:rPr>
          <w:rFonts w:hint="eastAsia" w:ascii="Times New Roman" w:hAnsi="Times New Roman" w:eastAsia="仿宋_GB2312" w:cs="Times New Roman"/>
          <w:color w:val="auto"/>
          <w:sz w:val="32"/>
          <w:szCs w:val="32"/>
          <w:highlight w:val="none"/>
          <w:lang w:val="en-US" w:eastAsia="zh-CN"/>
        </w:rPr>
        <w:t>制造业</w:t>
      </w:r>
      <w:r>
        <w:rPr>
          <w:rFonts w:hint="eastAsia" w:eastAsia="仿宋_GB2312" w:cs="Times New Roman"/>
          <w:color w:val="auto"/>
          <w:sz w:val="32"/>
          <w:szCs w:val="32"/>
          <w:highlight w:val="none"/>
          <w:lang w:val="en-US" w:eastAsia="zh-CN"/>
        </w:rPr>
        <w:t>当家得到进一步彰显</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b/>
          <w:bCs/>
          <w:color w:val="auto"/>
          <w:sz w:val="32"/>
          <w:szCs w:val="32"/>
          <w:highlight w:val="none"/>
          <w:lang w:val="en-US" w:eastAsia="zh-CN"/>
        </w:rPr>
        <w:t>在培源方面，</w:t>
      </w:r>
      <w:r>
        <w:rPr>
          <w:rFonts w:hint="eastAsia" w:ascii="Times New Roman" w:hAnsi="Times New Roman" w:eastAsia="仿宋_GB2312" w:cs="Times New Roman"/>
          <w:color w:val="auto"/>
          <w:sz w:val="32"/>
          <w:szCs w:val="32"/>
          <w:highlight w:val="none"/>
          <w:lang w:val="en-US" w:eastAsia="zh-CN"/>
        </w:rPr>
        <w:t>努力发挥财税政策、资金等功能作用，积极服务产业生态建设。</w:t>
      </w:r>
      <w:r>
        <w:rPr>
          <w:rFonts w:hint="eastAsia" w:ascii="Times New Roman" w:hAnsi="Times New Roman" w:eastAsia="仿宋_GB2312" w:cs="Times New Roman"/>
          <w:kern w:val="0"/>
          <w:sz w:val="32"/>
          <w:szCs w:val="32"/>
          <w:lang w:val="en-US" w:eastAsia="zh-CN" w:bidi="ar-SA"/>
        </w:rPr>
        <w:t>严格落实留抵退税、先进制造业加计扣除等减税降费政策，减轻企业负担</w:t>
      </w:r>
      <w:r>
        <w:rPr>
          <w:rFonts w:hint="eastAsia" w:eastAsia="仿宋_GB2312" w:cs="Times New Roman"/>
          <w:kern w:val="0"/>
          <w:sz w:val="32"/>
          <w:szCs w:val="32"/>
          <w:lang w:val="en-US" w:eastAsia="zh-CN" w:bidi="ar-SA"/>
        </w:rPr>
        <w:t>3.8</w:t>
      </w:r>
      <w:r>
        <w:rPr>
          <w:rFonts w:hint="eastAsia" w:ascii="Times New Roman" w:hAnsi="Times New Roman" w:eastAsia="仿宋_GB2312" w:cs="Times New Roman"/>
          <w:kern w:val="0"/>
          <w:sz w:val="32"/>
          <w:szCs w:val="32"/>
          <w:lang w:val="en-US" w:eastAsia="zh-CN" w:bidi="ar-SA"/>
        </w:rPr>
        <w:t>亿元；</w:t>
      </w:r>
      <w:r>
        <w:rPr>
          <w:rFonts w:hint="default" w:ascii="Times New Roman" w:hAnsi="Times New Roman" w:eastAsia="仿宋_GB2312" w:cs="Times New Roman"/>
          <w:color w:val="auto"/>
          <w:kern w:val="0"/>
          <w:sz w:val="32"/>
          <w:szCs w:val="32"/>
          <w:lang w:val="en-US" w:eastAsia="zh-CN" w:bidi="ar-SA"/>
        </w:rPr>
        <w:t>拨付</w:t>
      </w:r>
      <w:r>
        <w:rPr>
          <w:rFonts w:hint="eastAsia" w:ascii="Times New Roman" w:hAnsi="Times New Roman" w:eastAsia="仿宋_GB2312" w:cs="Times New Roman"/>
          <w:color w:val="auto"/>
          <w:kern w:val="0"/>
          <w:sz w:val="32"/>
          <w:szCs w:val="32"/>
          <w:lang w:val="en-US" w:eastAsia="zh-CN" w:bidi="ar-SA"/>
        </w:rPr>
        <w:t>区级</w:t>
      </w:r>
      <w:r>
        <w:rPr>
          <w:rFonts w:hint="default" w:ascii="Times New Roman" w:hAnsi="Times New Roman" w:eastAsia="仿宋_GB2312" w:cs="Times New Roman"/>
          <w:color w:val="auto"/>
          <w:kern w:val="0"/>
          <w:sz w:val="32"/>
          <w:szCs w:val="32"/>
          <w:lang w:val="en-US" w:eastAsia="zh-CN" w:bidi="ar-SA"/>
        </w:rPr>
        <w:t>产业扶持资金1.</w:t>
      </w:r>
      <w:r>
        <w:rPr>
          <w:rFonts w:hint="eastAsia" w:ascii="Times New Roman" w:hAnsi="Times New Roman" w:eastAsia="仿宋_GB2312" w:cs="Times New Roman"/>
          <w:color w:val="auto"/>
          <w:kern w:val="0"/>
          <w:sz w:val="32"/>
          <w:szCs w:val="32"/>
          <w:lang w:val="en-US" w:eastAsia="zh-CN" w:bidi="ar-SA"/>
        </w:rPr>
        <w:t>6</w:t>
      </w:r>
      <w:r>
        <w:rPr>
          <w:rFonts w:hint="default" w:ascii="Times New Roman" w:hAnsi="Times New Roman" w:eastAsia="仿宋_GB2312" w:cs="Times New Roman"/>
          <w:color w:val="auto"/>
          <w:kern w:val="0"/>
          <w:sz w:val="32"/>
          <w:szCs w:val="32"/>
          <w:lang w:val="en-US" w:eastAsia="zh-CN" w:bidi="ar-SA"/>
        </w:rPr>
        <w:t>亿元，</w:t>
      </w:r>
      <w:r>
        <w:rPr>
          <w:rFonts w:hint="eastAsia" w:eastAsia="仿宋_GB2312" w:cs="Times New Roman"/>
          <w:color w:val="auto"/>
          <w:kern w:val="0"/>
          <w:sz w:val="32"/>
          <w:szCs w:val="32"/>
          <w:lang w:val="en-US" w:eastAsia="zh-CN" w:bidi="ar-SA"/>
        </w:rPr>
        <w:t>大力支持科技成果转化和重点产业项目建设；</w:t>
      </w:r>
      <w:r>
        <w:rPr>
          <w:rFonts w:hint="eastAsia" w:ascii="Times New Roman" w:hAnsi="Times New Roman" w:eastAsia="仿宋_GB2312" w:cs="Times New Roman"/>
          <w:color w:val="auto"/>
          <w:kern w:val="0"/>
          <w:sz w:val="32"/>
          <w:szCs w:val="32"/>
          <w:lang w:val="en-US" w:eastAsia="zh-CN" w:bidi="ar-SA"/>
        </w:rPr>
        <w:t>为</w:t>
      </w:r>
      <w:r>
        <w:rPr>
          <w:rFonts w:hint="eastAsia" w:eastAsia="仿宋_GB2312" w:cs="Times New Roman"/>
          <w:color w:val="auto"/>
          <w:kern w:val="0"/>
          <w:sz w:val="32"/>
          <w:szCs w:val="32"/>
          <w:lang w:val="en-US" w:eastAsia="zh-CN" w:bidi="ar-SA"/>
        </w:rPr>
        <w:t>106户</w:t>
      </w:r>
      <w:r>
        <w:rPr>
          <w:rFonts w:hint="eastAsia" w:ascii="Times New Roman" w:hAnsi="Times New Roman" w:eastAsia="仿宋_GB2312" w:cs="Times New Roman"/>
          <w:color w:val="auto"/>
          <w:kern w:val="0"/>
          <w:sz w:val="32"/>
          <w:szCs w:val="32"/>
          <w:lang w:val="en-US" w:eastAsia="zh-CN" w:bidi="ar-SA"/>
        </w:rPr>
        <w:t>企业提供知识价值信用贷3</w:t>
      </w:r>
      <w:r>
        <w:rPr>
          <w:rFonts w:hint="eastAsia" w:eastAsia="仿宋_GB2312" w:cs="Times New Roman"/>
          <w:color w:val="auto"/>
          <w:kern w:val="0"/>
          <w:sz w:val="32"/>
          <w:szCs w:val="32"/>
          <w:lang w:val="en-US" w:eastAsia="zh-CN" w:bidi="ar-SA"/>
        </w:rPr>
        <w:t>.</w:t>
      </w:r>
      <w:r>
        <w:rPr>
          <w:rFonts w:hint="eastAsia" w:ascii="Times New Roman" w:hAnsi="Times New Roman" w:eastAsia="仿宋_GB2312" w:cs="Times New Roman"/>
          <w:color w:val="auto"/>
          <w:kern w:val="0"/>
          <w:sz w:val="32"/>
          <w:szCs w:val="32"/>
          <w:lang w:val="en-US" w:eastAsia="zh-CN" w:bidi="ar-SA"/>
        </w:rPr>
        <w:t>6</w:t>
      </w:r>
      <w:r>
        <w:rPr>
          <w:rFonts w:hint="eastAsia" w:eastAsia="仿宋_GB2312" w:cs="Times New Roman"/>
          <w:color w:val="auto"/>
          <w:kern w:val="0"/>
          <w:sz w:val="32"/>
          <w:szCs w:val="32"/>
          <w:lang w:val="en-US" w:eastAsia="zh-CN" w:bidi="ar-SA"/>
        </w:rPr>
        <w:t>9</w:t>
      </w:r>
      <w:r>
        <w:rPr>
          <w:rFonts w:hint="eastAsia" w:ascii="Times New Roman" w:hAnsi="Times New Roman" w:eastAsia="仿宋_GB2312" w:cs="Times New Roman"/>
          <w:color w:val="auto"/>
          <w:kern w:val="0"/>
          <w:sz w:val="32"/>
          <w:szCs w:val="32"/>
          <w:lang w:val="en-US" w:eastAsia="zh-CN" w:bidi="ar-SA"/>
        </w:rPr>
        <w:t>亿元，</w:t>
      </w:r>
      <w:r>
        <w:rPr>
          <w:rFonts w:hint="eastAsia" w:eastAsia="仿宋_GB2312" w:cs="Times New Roman"/>
          <w:color w:val="auto"/>
          <w:kern w:val="0"/>
          <w:sz w:val="32"/>
          <w:szCs w:val="32"/>
          <w:lang w:val="en-US" w:eastAsia="zh-CN" w:bidi="ar-SA"/>
        </w:rPr>
        <w:t>助力解决企业融资难问题；</w:t>
      </w:r>
      <w:r>
        <w:rPr>
          <w:rFonts w:hint="eastAsia" w:ascii="Times New Roman" w:hAnsi="Times New Roman" w:eastAsia="仿宋_GB2312" w:cs="Times New Roman"/>
          <w:color w:val="auto"/>
          <w:kern w:val="0"/>
          <w:sz w:val="32"/>
          <w:szCs w:val="32"/>
          <w:lang w:val="en-US" w:eastAsia="zh-CN" w:bidi="ar-SA"/>
        </w:rPr>
        <w:t>加大专精特新企业</w:t>
      </w:r>
      <w:r>
        <w:rPr>
          <w:rFonts w:hint="eastAsia" w:eastAsia="仿宋_GB2312" w:cs="Times New Roman"/>
          <w:color w:val="auto"/>
          <w:kern w:val="0"/>
          <w:sz w:val="32"/>
          <w:szCs w:val="32"/>
          <w:lang w:val="en-US" w:eastAsia="zh-CN" w:bidi="ar-SA"/>
        </w:rPr>
        <w:t>和骨干税源</w:t>
      </w:r>
      <w:r>
        <w:rPr>
          <w:rFonts w:hint="eastAsia" w:ascii="Times New Roman" w:hAnsi="Times New Roman" w:eastAsia="仿宋_GB2312" w:cs="Times New Roman"/>
          <w:color w:val="auto"/>
          <w:kern w:val="0"/>
          <w:sz w:val="32"/>
          <w:szCs w:val="32"/>
          <w:lang w:val="en-US" w:eastAsia="zh-CN" w:bidi="ar-SA"/>
        </w:rPr>
        <w:t>培育，年内新增</w:t>
      </w:r>
      <w:r>
        <w:rPr>
          <w:rFonts w:hint="eastAsia" w:eastAsia="仿宋_GB2312" w:cs="Times New Roman"/>
          <w:color w:val="auto"/>
          <w:kern w:val="0"/>
          <w:sz w:val="32"/>
          <w:szCs w:val="32"/>
          <w:lang w:val="en-US" w:eastAsia="zh-CN" w:bidi="ar-SA"/>
        </w:rPr>
        <w:t>专精特新企业41</w:t>
      </w:r>
      <w:r>
        <w:rPr>
          <w:rFonts w:hint="eastAsia" w:ascii="Times New Roman" w:hAnsi="Times New Roman" w:eastAsia="仿宋_GB2312" w:cs="Times New Roman"/>
          <w:color w:val="auto"/>
          <w:kern w:val="0"/>
          <w:sz w:val="32"/>
          <w:szCs w:val="32"/>
          <w:lang w:val="en-US" w:eastAsia="zh-CN" w:bidi="ar-SA"/>
        </w:rPr>
        <w:t>家</w:t>
      </w:r>
      <w:r>
        <w:rPr>
          <w:rFonts w:hint="eastAsia" w:eastAsia="仿宋_GB2312" w:cs="Times New Roman"/>
          <w:color w:val="auto"/>
          <w:kern w:val="0"/>
          <w:sz w:val="32"/>
          <w:szCs w:val="32"/>
          <w:lang w:val="en-US" w:eastAsia="zh-CN" w:bidi="ar-SA"/>
        </w:rPr>
        <w:t>，骨干税源企业38家，税收基础更加稳固；</w:t>
      </w:r>
      <w:r>
        <w:rPr>
          <w:rFonts w:hint="eastAsia" w:ascii="Times New Roman" w:hAnsi="Times New Roman" w:eastAsia="仿宋_GB2312" w:cs="Times New Roman"/>
          <w:color w:val="auto"/>
          <w:sz w:val="32"/>
          <w:szCs w:val="32"/>
          <w:lang w:val="en-US" w:eastAsia="zh-CN"/>
        </w:rPr>
        <w:t>积极布局华为创新中心、智能科学研究院、科创基金港、二手车出口基地等新赛道，抢占新技术新业态新机遇，发展未来产业。</w:t>
      </w:r>
      <w:r>
        <w:rPr>
          <w:rFonts w:hint="eastAsia" w:ascii="Times New Roman" w:hAnsi="Times New Roman" w:eastAsia="仿宋_GB2312" w:cs="Times New Roman"/>
          <w:b/>
          <w:bCs/>
          <w:sz w:val="32"/>
          <w:szCs w:val="32"/>
          <w:lang w:val="en-US" w:eastAsia="zh-CN"/>
        </w:rPr>
        <w:t>在</w:t>
      </w:r>
      <w:r>
        <w:rPr>
          <w:rFonts w:hint="default" w:ascii="Times New Roman" w:hAnsi="Times New Roman" w:eastAsia="仿宋_GB2312" w:cs="Times New Roman"/>
          <w:b/>
          <w:bCs/>
          <w:sz w:val="32"/>
          <w:szCs w:val="32"/>
          <w:lang w:val="en-US" w:eastAsia="zh-CN"/>
        </w:rPr>
        <w:t>税费精诚共治</w:t>
      </w:r>
      <w:r>
        <w:rPr>
          <w:rFonts w:hint="eastAsia" w:ascii="Times New Roman" w:hAnsi="Times New Roman" w:eastAsia="仿宋_GB2312" w:cs="Times New Roman"/>
          <w:b/>
          <w:bCs/>
          <w:sz w:val="32"/>
          <w:szCs w:val="32"/>
          <w:lang w:val="en-US" w:eastAsia="zh-CN"/>
        </w:rPr>
        <w:t>方面，</w:t>
      </w:r>
      <w:r>
        <w:rPr>
          <w:rFonts w:hint="eastAsia" w:ascii="Times New Roman" w:hAnsi="Times New Roman" w:eastAsia="仿宋_GB2312" w:cs="Times New Roman"/>
          <w:kern w:val="0"/>
          <w:sz w:val="32"/>
          <w:szCs w:val="32"/>
          <w:lang w:val="en-US" w:eastAsia="zh-CN" w:bidi="ar-SA"/>
        </w:rPr>
        <w:t>配合全市深入开展新区重点企业、餐饮、民办学校等领域调研，加大一体化风险管理，发挥镇办作用，加强所得税</w:t>
      </w:r>
      <w:r>
        <w:rPr>
          <w:rFonts w:hint="eastAsia" w:ascii="Times New Roman" w:hAnsi="Times New Roman" w:eastAsia="仿宋_GB2312" w:cs="Times New Roman"/>
          <w:color w:val="auto"/>
          <w:sz w:val="32"/>
          <w:szCs w:val="32"/>
          <w:lang w:val="en-US" w:eastAsia="zh-CN"/>
        </w:rPr>
        <w:t>汇算清缴，查补税收5497万元，清理欠税9102万元；</w:t>
      </w:r>
      <w:r>
        <w:rPr>
          <w:rFonts w:hint="eastAsia" w:ascii="Times New Roman" w:hAnsi="Times New Roman" w:eastAsia="仿宋_GB2312" w:cs="Times New Roman"/>
          <w:kern w:val="0"/>
          <w:sz w:val="32"/>
          <w:szCs w:val="32"/>
          <w:lang w:val="en-US" w:eastAsia="zh-CN" w:bidi="ar-SA"/>
        </w:rPr>
        <w:t>跟踪督促法检“两院”</w:t>
      </w:r>
      <w:r>
        <w:rPr>
          <w:rFonts w:hint="eastAsia" w:eastAsia="仿宋_GB2312" w:cs="Times New Roman"/>
          <w:kern w:val="0"/>
          <w:sz w:val="32"/>
          <w:szCs w:val="32"/>
          <w:lang w:val="en-US" w:eastAsia="zh-CN" w:bidi="ar-SA"/>
        </w:rPr>
        <w:t>分享</w:t>
      </w:r>
      <w:r>
        <w:rPr>
          <w:rFonts w:hint="eastAsia" w:ascii="Times New Roman" w:hAnsi="Times New Roman" w:eastAsia="仿宋_GB2312" w:cs="Times New Roman"/>
          <w:kern w:val="0"/>
          <w:sz w:val="32"/>
          <w:szCs w:val="32"/>
          <w:lang w:val="en-US" w:eastAsia="zh-CN" w:bidi="ar-SA"/>
        </w:rPr>
        <w:t>收入和税</w:t>
      </w:r>
      <w:r>
        <w:rPr>
          <w:rFonts w:hint="eastAsia" w:eastAsia="仿宋_GB2312" w:cs="Times New Roman"/>
          <w:kern w:val="0"/>
          <w:sz w:val="32"/>
          <w:szCs w:val="32"/>
          <w:lang w:val="en-US" w:eastAsia="zh-CN" w:bidi="ar-SA"/>
        </w:rPr>
        <w:t>务</w:t>
      </w:r>
      <w:r>
        <w:rPr>
          <w:rFonts w:hint="eastAsia" w:ascii="Times New Roman" w:hAnsi="Times New Roman" w:eastAsia="仿宋_GB2312" w:cs="Times New Roman"/>
          <w:kern w:val="0"/>
          <w:sz w:val="32"/>
          <w:szCs w:val="32"/>
          <w:lang w:val="en-US" w:eastAsia="zh-CN" w:bidi="ar-SA"/>
        </w:rPr>
        <w:t>代收</w:t>
      </w:r>
      <w:r>
        <w:rPr>
          <w:rFonts w:hint="eastAsia" w:eastAsia="仿宋_GB2312" w:cs="Times New Roman"/>
          <w:kern w:val="0"/>
          <w:sz w:val="32"/>
          <w:szCs w:val="32"/>
          <w:lang w:val="en-US" w:eastAsia="zh-CN" w:bidi="ar-SA"/>
        </w:rPr>
        <w:t>非税</w:t>
      </w:r>
      <w:r>
        <w:rPr>
          <w:rFonts w:hint="eastAsia" w:ascii="Times New Roman" w:hAnsi="Times New Roman" w:eastAsia="仿宋_GB2312" w:cs="Times New Roman"/>
          <w:kern w:val="0"/>
          <w:sz w:val="32"/>
          <w:szCs w:val="32"/>
          <w:lang w:val="en-US" w:eastAsia="zh-CN" w:bidi="ar-SA"/>
        </w:rPr>
        <w:t>收入入库，全面完成非税票据电子化改革；继续加大“三资”盘活力度，全市首例集体</w:t>
      </w:r>
      <w:r>
        <w:rPr>
          <w:rFonts w:hint="eastAsia" w:eastAsia="仿宋_GB2312" w:cs="Times New Roman"/>
          <w:kern w:val="0"/>
          <w:sz w:val="32"/>
          <w:szCs w:val="32"/>
          <w:lang w:val="en-US" w:eastAsia="zh-CN" w:bidi="ar-SA"/>
        </w:rPr>
        <w:t>经营性建设用</w:t>
      </w:r>
      <w:r>
        <w:rPr>
          <w:rFonts w:hint="eastAsia" w:ascii="Times New Roman" w:hAnsi="Times New Roman" w:eastAsia="仿宋_GB2312" w:cs="Times New Roman"/>
          <w:kern w:val="0"/>
          <w:sz w:val="32"/>
          <w:szCs w:val="32"/>
          <w:lang w:val="en-US" w:eastAsia="zh-CN" w:bidi="ar-SA"/>
        </w:rPr>
        <w:t>地入市试点成功</w:t>
      </w:r>
      <w:r>
        <w:rPr>
          <w:rFonts w:hint="eastAsia" w:ascii="Times New Roman" w:hAnsi="Times New Roman" w:eastAsia="仿宋_GB2312" w:cs="Times New Roman"/>
          <w:sz w:val="32"/>
          <w:szCs w:val="32"/>
          <w:lang w:val="en-US" w:eastAsia="zh-CN"/>
        </w:rPr>
        <w:t>，全年</w:t>
      </w:r>
      <w:r>
        <w:rPr>
          <w:rFonts w:hint="default" w:ascii="Times New Roman" w:hAnsi="Times New Roman" w:eastAsia="仿宋_GB2312" w:cs="Times New Roman"/>
          <w:sz w:val="32"/>
          <w:szCs w:val="32"/>
          <w:lang w:val="en-US" w:eastAsia="zh-CN"/>
        </w:rPr>
        <w:t>“三资”盘活入库收入</w:t>
      </w:r>
      <w:r>
        <w:rPr>
          <w:rFonts w:hint="eastAsia" w:eastAsia="仿宋_GB2312" w:cs="Times New Roman"/>
          <w:sz w:val="32"/>
          <w:szCs w:val="32"/>
          <w:lang w:val="en-US" w:eastAsia="zh-CN"/>
        </w:rPr>
        <w:t>21.3</w:t>
      </w:r>
      <w:r>
        <w:rPr>
          <w:rFonts w:hint="default" w:ascii="Times New Roman" w:hAnsi="Times New Roman" w:eastAsia="仿宋_GB2312" w:cs="Times New Roman"/>
          <w:sz w:val="32"/>
          <w:szCs w:val="32"/>
          <w:lang w:val="en-US" w:eastAsia="zh-CN"/>
        </w:rPr>
        <w:t>亿元，</w:t>
      </w:r>
      <w:r>
        <w:rPr>
          <w:rFonts w:hint="eastAsia" w:ascii="Times New Roman" w:hAnsi="Times New Roman" w:eastAsia="仿宋_GB2312" w:cs="Times New Roman"/>
          <w:sz w:val="32"/>
          <w:szCs w:val="32"/>
          <w:lang w:val="en-US" w:eastAsia="zh-CN"/>
        </w:rPr>
        <w:t>占</w:t>
      </w:r>
      <w:r>
        <w:rPr>
          <w:rFonts w:hint="default" w:ascii="Times New Roman" w:hAnsi="Times New Roman" w:eastAsia="仿宋_GB2312" w:cs="Times New Roman"/>
          <w:sz w:val="32"/>
          <w:szCs w:val="32"/>
          <w:lang w:val="en-US" w:eastAsia="zh-CN"/>
        </w:rPr>
        <w:t>市下达区年度目标的</w:t>
      </w:r>
      <w:r>
        <w:rPr>
          <w:rFonts w:hint="eastAsia" w:eastAsia="仿宋_GB2312" w:cs="Times New Roman"/>
          <w:sz w:val="32"/>
          <w:szCs w:val="32"/>
          <w:lang w:val="en-US" w:eastAsia="zh-CN"/>
        </w:rPr>
        <w:t>177.5</w:t>
      </w:r>
      <w:r>
        <w:rPr>
          <w:rFonts w:hint="default" w:ascii="Times New Roman" w:hAnsi="Times New Roman" w:eastAsia="仿宋_GB2312" w:cs="Times New Roman"/>
          <w:sz w:val="32"/>
          <w:szCs w:val="32"/>
          <w:lang w:val="en-US" w:eastAsia="zh-CN"/>
        </w:rPr>
        <w:t>%。</w:t>
      </w:r>
    </w:p>
    <w:p w14:paraId="2D11B084">
      <w:pPr>
        <w:keepNext w:val="0"/>
        <w:keepLines w:val="0"/>
        <w:pageBreakBefore w:val="0"/>
        <w:widowControl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2.关注民生所需，尽力而为办实事。</w:t>
      </w:r>
      <w:r>
        <w:rPr>
          <w:rFonts w:hint="default" w:ascii="Times New Roman" w:hAnsi="Times New Roman" w:eastAsia="仿宋_GB2312" w:cs="Times New Roman"/>
          <w:sz w:val="32"/>
          <w:szCs w:val="32"/>
          <w:lang w:val="en-US" w:eastAsia="zh-CN"/>
        </w:rPr>
        <w:t>坚持以</w:t>
      </w:r>
      <w:r>
        <w:rPr>
          <w:rFonts w:hint="eastAsia" w:ascii="Times New Roman" w:hAnsi="Times New Roman" w:eastAsia="仿宋_GB2312" w:cs="Times New Roman"/>
          <w:sz w:val="32"/>
          <w:szCs w:val="32"/>
          <w:lang w:val="en-US" w:eastAsia="zh-CN"/>
        </w:rPr>
        <w:t>改善人居生态为取向，机关带头</w:t>
      </w:r>
      <w:r>
        <w:rPr>
          <w:rFonts w:hint="default" w:ascii="Times New Roman" w:hAnsi="Times New Roman" w:eastAsia="仿宋_GB2312" w:cs="Times New Roman"/>
          <w:sz w:val="32"/>
          <w:szCs w:val="32"/>
          <w:lang w:val="en-US" w:eastAsia="zh-CN"/>
        </w:rPr>
        <w:t>过“紧日子”</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压减非急需、非刚性支出，</w:t>
      </w:r>
      <w:r>
        <w:rPr>
          <w:rFonts w:hint="eastAsia" w:ascii="Times New Roman" w:hAnsi="Times New Roman" w:eastAsia="仿宋_GB2312" w:cs="Times New Roman"/>
          <w:sz w:val="32"/>
          <w:szCs w:val="32"/>
          <w:lang w:val="en-US" w:eastAsia="zh-CN"/>
        </w:rPr>
        <w:t>加大资金统筹调度，</w:t>
      </w:r>
      <w:r>
        <w:rPr>
          <w:rFonts w:hint="eastAsia" w:eastAsia="仿宋_GB2312" w:cs="Times New Roman"/>
          <w:sz w:val="32"/>
          <w:szCs w:val="32"/>
          <w:lang w:val="en-US" w:eastAsia="zh-CN"/>
        </w:rPr>
        <w:t>全力保</w:t>
      </w:r>
      <w:r>
        <w:rPr>
          <w:rFonts w:hint="eastAsia" w:ascii="Times New Roman" w:hAnsi="Times New Roman" w:eastAsia="仿宋_GB2312" w:cs="Times New Roman"/>
          <w:sz w:val="32"/>
          <w:szCs w:val="32"/>
          <w:lang w:val="en-US" w:eastAsia="zh-CN"/>
        </w:rPr>
        <w:t>“三保”，其中</w:t>
      </w:r>
      <w:r>
        <w:rPr>
          <w:rFonts w:hint="default" w:ascii="Times New Roman" w:hAnsi="Times New Roman" w:eastAsia="仿宋_GB2312" w:cs="Times New Roman"/>
          <w:sz w:val="32"/>
          <w:szCs w:val="32"/>
          <w:lang w:val="en-US" w:eastAsia="zh-CN"/>
        </w:rPr>
        <w:t>民生支出占比连续五年保持在</w:t>
      </w:r>
      <w:r>
        <w:rPr>
          <w:rFonts w:hint="eastAsia" w:ascii="Times New Roman" w:hAnsi="Times New Roman" w:eastAsia="仿宋_GB2312" w:cs="Times New Roman"/>
          <w:sz w:val="32"/>
          <w:szCs w:val="32"/>
          <w:lang w:val="en-US" w:eastAsia="zh-CN"/>
        </w:rPr>
        <w:t>75</w:t>
      </w:r>
      <w:r>
        <w:rPr>
          <w:rFonts w:hint="default" w:ascii="Times New Roman" w:hAnsi="Times New Roman" w:eastAsia="仿宋_GB2312" w:cs="Times New Roman"/>
          <w:sz w:val="32"/>
          <w:szCs w:val="32"/>
          <w:lang w:val="en-US" w:eastAsia="zh-CN"/>
        </w:rPr>
        <w:t>%以上。</w:t>
      </w:r>
      <w:r>
        <w:rPr>
          <w:rFonts w:hint="default" w:ascii="Times New Roman" w:hAnsi="Times New Roman" w:eastAsia="仿宋_GB2312" w:cs="Times New Roman"/>
          <w:b/>
          <w:bCs/>
          <w:sz w:val="32"/>
          <w:szCs w:val="32"/>
          <w:lang w:val="en-US" w:eastAsia="zh-CN"/>
        </w:rPr>
        <w:t>兜牢社会保障底线。</w:t>
      </w:r>
      <w:r>
        <w:rPr>
          <w:rFonts w:hint="default" w:ascii="Times New Roman" w:hAnsi="Times New Roman" w:eastAsia="仿宋_GB2312" w:cs="Times New Roman"/>
          <w:sz w:val="32"/>
          <w:szCs w:val="32"/>
          <w:lang w:val="en-US" w:eastAsia="zh-CN"/>
        </w:rPr>
        <w:t>发放基础养老金1.</w:t>
      </w:r>
      <w:r>
        <w:rPr>
          <w:rFonts w:hint="eastAsia" w:eastAsia="仿宋_GB2312" w:cs="Times New Roman"/>
          <w:sz w:val="32"/>
          <w:szCs w:val="32"/>
          <w:lang w:val="en-US" w:eastAsia="zh-CN"/>
        </w:rPr>
        <w:t>59</w:t>
      </w:r>
      <w:r>
        <w:rPr>
          <w:rFonts w:hint="default" w:ascii="Times New Roman" w:hAnsi="Times New Roman" w:eastAsia="仿宋_GB2312" w:cs="Times New Roman"/>
          <w:sz w:val="32"/>
          <w:szCs w:val="32"/>
          <w:lang w:val="en-US" w:eastAsia="zh-CN"/>
        </w:rPr>
        <w:t>亿元，增长</w:t>
      </w:r>
      <w:r>
        <w:rPr>
          <w:rFonts w:hint="eastAsia" w:eastAsia="仿宋_GB2312" w:cs="Times New Roman"/>
          <w:sz w:val="32"/>
          <w:szCs w:val="32"/>
          <w:lang w:val="en-US" w:eastAsia="zh-CN"/>
        </w:rPr>
        <w:t>18.68</w:t>
      </w:r>
      <w:r>
        <w:rPr>
          <w:rFonts w:hint="default" w:ascii="Times New Roman" w:hAnsi="Times New Roman" w:eastAsia="仿宋_GB2312" w:cs="Times New Roman"/>
          <w:sz w:val="32"/>
          <w:szCs w:val="32"/>
          <w:lang w:val="en-US" w:eastAsia="zh-CN"/>
        </w:rPr>
        <w:t>%，惠及1.12万人次</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及时通过“一卡通”系统发放耕地地力、低保、两残等补贴</w:t>
      </w:r>
      <w:r>
        <w:rPr>
          <w:rFonts w:hint="eastAsia" w:eastAsia="仿宋_GB2312" w:cs="Times New Roman"/>
          <w:sz w:val="32"/>
          <w:szCs w:val="32"/>
          <w:lang w:val="en-US" w:eastAsia="zh-CN"/>
        </w:rPr>
        <w:t>68</w:t>
      </w:r>
      <w:r>
        <w:rPr>
          <w:rFonts w:hint="default" w:ascii="Times New Roman" w:hAnsi="Times New Roman" w:eastAsia="仿宋_GB2312" w:cs="Times New Roman"/>
          <w:sz w:val="32"/>
          <w:szCs w:val="32"/>
          <w:lang w:val="en-US" w:eastAsia="zh-CN"/>
        </w:rPr>
        <w:t>项共计</w:t>
      </w:r>
      <w:r>
        <w:rPr>
          <w:rFonts w:hint="eastAsia" w:eastAsia="仿宋_GB2312" w:cs="Times New Roman"/>
          <w:sz w:val="32"/>
          <w:szCs w:val="32"/>
          <w:lang w:val="en-US" w:eastAsia="zh-CN"/>
        </w:rPr>
        <w:t>资金</w:t>
      </w:r>
      <w:r>
        <w:rPr>
          <w:rFonts w:hint="default" w:ascii="Times New Roman" w:hAnsi="Times New Roman" w:eastAsia="仿宋_GB2312" w:cs="Times New Roman"/>
          <w:sz w:val="32"/>
          <w:szCs w:val="32"/>
          <w:lang w:val="en-US" w:eastAsia="zh-CN"/>
        </w:rPr>
        <w:t>9368.32万元，惠及14.57万人次。</w:t>
      </w:r>
      <w:r>
        <w:rPr>
          <w:rFonts w:hint="eastAsia" w:ascii="Times New Roman" w:hAnsi="Times New Roman" w:eastAsia="仿宋_GB2312" w:cs="Times New Roman"/>
          <w:b/>
          <w:bCs/>
          <w:sz w:val="32"/>
          <w:szCs w:val="32"/>
          <w:lang w:val="en-US" w:eastAsia="zh-CN"/>
        </w:rPr>
        <w:t>大力支持创业就业</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lang w:val="en-US" w:eastAsia="zh-CN"/>
        </w:rPr>
        <w:t>兑现就业专项资金1130万元</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落实就业创业服务补助、就业见习补贴、求职创业补贴等政策，支持精准就业体系建设，城镇新增就业超8000人</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1281名优秀青年人才、技能人才</w:t>
      </w:r>
      <w:r>
        <w:rPr>
          <w:rFonts w:hint="eastAsia" w:ascii="Times New Roman" w:hAnsi="Times New Roman" w:eastAsia="仿宋_GB2312" w:cs="Times New Roman"/>
          <w:sz w:val="32"/>
          <w:szCs w:val="32"/>
          <w:lang w:val="en-US" w:eastAsia="zh-CN"/>
        </w:rPr>
        <w:t>享受人才</w:t>
      </w:r>
      <w:r>
        <w:rPr>
          <w:rFonts w:hint="default" w:ascii="Times New Roman" w:hAnsi="Times New Roman" w:eastAsia="仿宋_GB2312" w:cs="Times New Roman"/>
          <w:sz w:val="32"/>
          <w:szCs w:val="32"/>
          <w:lang w:val="en-US" w:eastAsia="zh-CN"/>
        </w:rPr>
        <w:t>补贴919.37万元。</w:t>
      </w:r>
      <w:r>
        <w:rPr>
          <w:rFonts w:hint="eastAsia" w:ascii="Times New Roman" w:hAnsi="Times New Roman" w:eastAsia="仿宋_GB2312" w:cs="Times New Roman"/>
          <w:b/>
          <w:bCs/>
          <w:sz w:val="32"/>
          <w:szCs w:val="32"/>
          <w:lang w:val="en-US" w:eastAsia="zh-CN"/>
        </w:rPr>
        <w:t>大</w:t>
      </w:r>
      <w:r>
        <w:rPr>
          <w:rFonts w:hint="default" w:ascii="Times New Roman" w:hAnsi="Times New Roman" w:eastAsia="仿宋_GB2312" w:cs="Times New Roman"/>
          <w:b/>
          <w:bCs/>
          <w:sz w:val="32"/>
          <w:szCs w:val="32"/>
          <w:lang w:val="en-US" w:eastAsia="zh-CN"/>
        </w:rPr>
        <w:t>力支持教育</w:t>
      </w:r>
      <w:r>
        <w:rPr>
          <w:rFonts w:hint="eastAsia" w:ascii="Times New Roman" w:hAnsi="Times New Roman" w:eastAsia="仿宋_GB2312" w:cs="Times New Roman"/>
          <w:b/>
          <w:bCs/>
          <w:sz w:val="32"/>
          <w:szCs w:val="32"/>
          <w:lang w:val="en-US" w:eastAsia="zh-CN"/>
        </w:rPr>
        <w:t>事业</w:t>
      </w:r>
      <w:r>
        <w:rPr>
          <w:rFonts w:hint="default" w:ascii="Times New Roman" w:hAnsi="Times New Roman" w:eastAsia="仿宋_GB2312" w:cs="Times New Roman"/>
          <w:b/>
          <w:bCs/>
          <w:sz w:val="32"/>
          <w:szCs w:val="32"/>
          <w:lang w:val="en-US" w:eastAsia="zh-CN"/>
        </w:rPr>
        <w:t>。</w:t>
      </w:r>
      <w:r>
        <w:rPr>
          <w:rFonts w:hint="eastAsia" w:ascii="Times New Roman" w:hAnsi="Times New Roman" w:eastAsia="仿宋_GB2312" w:cs="Times New Roman"/>
          <w:sz w:val="32"/>
          <w:szCs w:val="32"/>
          <w:lang w:val="en-US" w:eastAsia="zh-CN"/>
        </w:rPr>
        <w:t>全年教育支出7亿</w:t>
      </w:r>
      <w:r>
        <w:rPr>
          <w:rFonts w:hint="default" w:ascii="Times New Roman" w:hAnsi="Times New Roman" w:eastAsia="仿宋_GB2312" w:cs="Times New Roman"/>
          <w:sz w:val="32"/>
          <w:szCs w:val="32"/>
          <w:lang w:val="en-US" w:eastAsia="zh-CN"/>
        </w:rPr>
        <w:t>余元，重点保障天元、银海、建宁等20所学校提质改造，有力促进了全区教育事业的持续健康发展。</w:t>
      </w:r>
      <w:r>
        <w:rPr>
          <w:rFonts w:hint="eastAsia" w:ascii="Times New Roman" w:hAnsi="Times New Roman" w:eastAsia="仿宋_GB2312" w:cs="Times New Roman"/>
          <w:b/>
          <w:bCs/>
          <w:sz w:val="32"/>
          <w:szCs w:val="32"/>
          <w:lang w:val="en-US" w:eastAsia="zh-CN"/>
        </w:rPr>
        <w:t>大力支持</w:t>
      </w:r>
      <w:r>
        <w:rPr>
          <w:rFonts w:hint="default" w:ascii="Times New Roman" w:hAnsi="Times New Roman" w:eastAsia="仿宋_GB2312" w:cs="Times New Roman"/>
          <w:b/>
          <w:bCs/>
          <w:sz w:val="32"/>
          <w:szCs w:val="32"/>
          <w:lang w:val="en-US" w:eastAsia="zh-CN"/>
        </w:rPr>
        <w:t>公共卫生</w:t>
      </w:r>
      <w:r>
        <w:rPr>
          <w:rFonts w:hint="eastAsia" w:ascii="Times New Roman" w:hAnsi="Times New Roman" w:eastAsia="仿宋_GB2312" w:cs="Times New Roman"/>
          <w:b/>
          <w:bCs/>
          <w:sz w:val="32"/>
          <w:szCs w:val="32"/>
          <w:lang w:val="en-US" w:eastAsia="zh-CN"/>
        </w:rPr>
        <w:t>事业</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lang w:val="en-US" w:eastAsia="zh-CN"/>
        </w:rPr>
        <w:t>泰山</w:t>
      </w:r>
      <w:r>
        <w:rPr>
          <w:rFonts w:hint="eastAsia" w:eastAsia="仿宋_GB2312" w:cs="Times New Roman"/>
          <w:sz w:val="32"/>
          <w:szCs w:val="32"/>
          <w:lang w:val="en-US" w:eastAsia="zh-CN"/>
        </w:rPr>
        <w:t>公共</w:t>
      </w:r>
      <w:r>
        <w:rPr>
          <w:rFonts w:hint="default" w:ascii="Times New Roman" w:hAnsi="Times New Roman" w:eastAsia="仿宋_GB2312" w:cs="Times New Roman"/>
          <w:sz w:val="32"/>
          <w:szCs w:val="32"/>
          <w:lang w:val="en-US" w:eastAsia="zh-CN"/>
        </w:rPr>
        <w:t>卫生服务中心</w:t>
      </w:r>
      <w:r>
        <w:rPr>
          <w:rFonts w:hint="eastAsia" w:ascii="Times New Roman" w:hAnsi="Times New Roman" w:eastAsia="仿宋_GB2312" w:cs="Times New Roman"/>
          <w:sz w:val="32"/>
          <w:szCs w:val="32"/>
          <w:lang w:val="en-US" w:eastAsia="zh-CN"/>
        </w:rPr>
        <w:t>如期竣工，进一步</w:t>
      </w:r>
      <w:r>
        <w:rPr>
          <w:rFonts w:hint="default" w:ascii="Times New Roman" w:hAnsi="Times New Roman" w:eastAsia="仿宋_GB2312" w:cs="Times New Roman"/>
          <w:sz w:val="32"/>
          <w:szCs w:val="32"/>
          <w:lang w:val="en-US" w:eastAsia="zh-CN"/>
        </w:rPr>
        <w:t>加强基层医疗卫生机构的</w:t>
      </w:r>
      <w:r>
        <w:rPr>
          <w:rFonts w:hint="eastAsia" w:ascii="Times New Roman" w:hAnsi="Times New Roman" w:eastAsia="仿宋_GB2312" w:cs="Times New Roman"/>
          <w:sz w:val="32"/>
          <w:szCs w:val="32"/>
          <w:lang w:val="en-US" w:eastAsia="zh-CN"/>
        </w:rPr>
        <w:t>财务</w:t>
      </w:r>
      <w:r>
        <w:rPr>
          <w:rFonts w:hint="default" w:ascii="Times New Roman" w:hAnsi="Times New Roman" w:eastAsia="仿宋_GB2312" w:cs="Times New Roman"/>
          <w:sz w:val="32"/>
          <w:szCs w:val="32"/>
          <w:lang w:val="en-US" w:eastAsia="zh-CN"/>
        </w:rPr>
        <w:t>监管，</w:t>
      </w:r>
      <w:r>
        <w:rPr>
          <w:rFonts w:hint="eastAsia" w:ascii="Times New Roman" w:hAnsi="Times New Roman" w:eastAsia="仿宋_GB2312" w:cs="Times New Roman"/>
          <w:sz w:val="32"/>
          <w:szCs w:val="32"/>
          <w:lang w:val="en-US" w:eastAsia="zh-CN"/>
        </w:rPr>
        <w:t>持续改善</w:t>
      </w:r>
      <w:r>
        <w:rPr>
          <w:rFonts w:hint="default" w:ascii="Times New Roman" w:hAnsi="Times New Roman" w:eastAsia="仿宋_GB2312" w:cs="Times New Roman"/>
          <w:sz w:val="32"/>
          <w:szCs w:val="32"/>
          <w:lang w:val="en-US" w:eastAsia="zh-CN"/>
        </w:rPr>
        <w:t>基层医疗卫生</w:t>
      </w:r>
      <w:r>
        <w:rPr>
          <w:rFonts w:hint="eastAsia" w:ascii="Times New Roman" w:hAnsi="Times New Roman" w:eastAsia="仿宋_GB2312" w:cs="Times New Roman"/>
          <w:sz w:val="32"/>
          <w:szCs w:val="32"/>
          <w:lang w:val="en-US" w:eastAsia="zh-CN"/>
        </w:rPr>
        <w:t>条件</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推进人居</w:t>
      </w:r>
      <w:r>
        <w:rPr>
          <w:rFonts w:hint="eastAsia" w:ascii="Times New Roman" w:hAnsi="Times New Roman" w:eastAsia="仿宋_GB2312" w:cs="Times New Roman"/>
          <w:b/>
          <w:bCs/>
          <w:sz w:val="32"/>
          <w:szCs w:val="32"/>
          <w:lang w:val="en-US" w:eastAsia="zh-CN"/>
        </w:rPr>
        <w:t>环境</w:t>
      </w:r>
      <w:r>
        <w:rPr>
          <w:rFonts w:hint="default" w:ascii="Times New Roman" w:hAnsi="Times New Roman" w:eastAsia="仿宋_GB2312" w:cs="Times New Roman"/>
          <w:b/>
          <w:bCs/>
          <w:sz w:val="32"/>
          <w:szCs w:val="32"/>
          <w:lang w:val="en-US" w:eastAsia="zh-CN"/>
        </w:rPr>
        <w:t>改善。</w:t>
      </w:r>
      <w:r>
        <w:rPr>
          <w:rFonts w:hint="eastAsia" w:ascii="Times New Roman" w:hAnsi="Times New Roman" w:eastAsia="仿宋_GB2312" w:cs="Times New Roman"/>
          <w:sz w:val="32"/>
          <w:szCs w:val="32"/>
          <w:lang w:val="en-US" w:eastAsia="zh-CN"/>
        </w:rPr>
        <w:t>统筹资金</w:t>
      </w:r>
      <w:r>
        <w:rPr>
          <w:rFonts w:hint="default" w:ascii="Times New Roman" w:hAnsi="Times New Roman" w:eastAsia="仿宋_GB2312" w:cs="Times New Roman"/>
          <w:sz w:val="32"/>
          <w:szCs w:val="32"/>
          <w:lang w:val="en-US" w:eastAsia="zh-CN"/>
        </w:rPr>
        <w:t>2000余万元，</w:t>
      </w:r>
      <w:r>
        <w:rPr>
          <w:rFonts w:hint="eastAsia" w:eastAsia="仿宋_GB2312" w:cs="Times New Roman"/>
          <w:sz w:val="32"/>
          <w:szCs w:val="32"/>
          <w:lang w:val="en-US" w:eastAsia="zh-CN"/>
        </w:rPr>
        <w:t>大力</w:t>
      </w:r>
      <w:r>
        <w:rPr>
          <w:rFonts w:hint="default" w:ascii="Times New Roman" w:hAnsi="Times New Roman" w:eastAsia="仿宋_GB2312" w:cs="Times New Roman"/>
          <w:sz w:val="32"/>
          <w:szCs w:val="32"/>
          <w:lang w:val="en-US" w:eastAsia="zh-CN"/>
        </w:rPr>
        <w:t>支持雨污分流工程</w:t>
      </w:r>
      <w:r>
        <w:rPr>
          <w:rFonts w:hint="eastAsia" w:eastAsia="仿宋_GB2312" w:cs="Times New Roman"/>
          <w:sz w:val="32"/>
          <w:szCs w:val="32"/>
          <w:lang w:val="en-US" w:eastAsia="zh-CN"/>
        </w:rPr>
        <w:t>建设</w:t>
      </w:r>
      <w:r>
        <w:rPr>
          <w:rFonts w:hint="default" w:ascii="Times New Roman" w:hAnsi="Times New Roman" w:eastAsia="仿宋_GB2312" w:cs="Times New Roman"/>
          <w:sz w:val="32"/>
          <w:szCs w:val="32"/>
          <w:lang w:val="en-US" w:eastAsia="zh-CN"/>
        </w:rPr>
        <w:t>，加快实施城中村、老旧小区、棚户区项目改造；</w:t>
      </w:r>
      <w:r>
        <w:rPr>
          <w:rFonts w:hint="eastAsia" w:ascii="Times New Roman" w:hAnsi="Times New Roman" w:eastAsia="仿宋_GB2312" w:cs="Times New Roman"/>
          <w:sz w:val="32"/>
          <w:szCs w:val="32"/>
          <w:lang w:val="en-US" w:eastAsia="zh-CN"/>
        </w:rPr>
        <w:t>继续支持</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厂BA</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，组织</w:t>
      </w:r>
      <w:r>
        <w:rPr>
          <w:rFonts w:hint="eastAsia" w:eastAsia="仿宋_GB2312" w:cs="Times New Roman"/>
          <w:sz w:val="32"/>
          <w:szCs w:val="32"/>
          <w:lang w:val="en-US" w:eastAsia="zh-CN"/>
        </w:rPr>
        <w:t>全区</w:t>
      </w:r>
      <w:r>
        <w:rPr>
          <w:rFonts w:hint="eastAsia" w:ascii="Times New Roman" w:hAnsi="Times New Roman" w:eastAsia="仿宋_GB2312" w:cs="Times New Roman"/>
          <w:sz w:val="32"/>
          <w:szCs w:val="32"/>
          <w:lang w:val="en-US" w:eastAsia="zh-CN"/>
        </w:rPr>
        <w:t>拔河比赛等群众文体活动，不断繁荣城乡文化；</w:t>
      </w:r>
      <w:r>
        <w:rPr>
          <w:rFonts w:hint="default" w:ascii="Times New Roman" w:hAnsi="Times New Roman" w:eastAsia="仿宋_GB2312" w:cs="Times New Roman"/>
          <w:sz w:val="32"/>
          <w:szCs w:val="32"/>
          <w:lang w:val="en-US" w:eastAsia="zh-CN"/>
        </w:rPr>
        <w:t>拨付石三门农业融合示范园建设项目资金1.69亿元、衔接推进乡村振兴资金</w:t>
      </w:r>
      <w:r>
        <w:rPr>
          <w:rFonts w:hint="eastAsia" w:eastAsia="仿宋_GB2312" w:cs="Times New Roman"/>
          <w:sz w:val="32"/>
          <w:szCs w:val="32"/>
          <w:lang w:val="en-US" w:eastAsia="zh-CN"/>
        </w:rPr>
        <w:t>451</w:t>
      </w:r>
      <w:r>
        <w:rPr>
          <w:rFonts w:hint="default"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安排资金1500多万元用于抗灾抢险和灾后重建，</w:t>
      </w:r>
      <w:r>
        <w:rPr>
          <w:rFonts w:hint="default" w:ascii="Times New Roman" w:hAnsi="Times New Roman" w:eastAsia="仿宋_GB2312" w:cs="Times New Roman"/>
          <w:sz w:val="32"/>
          <w:szCs w:val="32"/>
          <w:lang w:val="en-US" w:eastAsia="zh-CN"/>
        </w:rPr>
        <w:t>打造农业农村现代化，建设宜居宜业和美乡村。</w:t>
      </w:r>
    </w:p>
    <w:p w14:paraId="12750C3E">
      <w:pPr>
        <w:keepNext w:val="0"/>
        <w:keepLines w:val="0"/>
        <w:pageBreakBefore w:val="0"/>
        <w:widowControl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3.注重管理提效，锐意创新促改革。</w:t>
      </w:r>
      <w:r>
        <w:rPr>
          <w:rFonts w:hint="eastAsia" w:ascii="Times New Roman" w:hAnsi="Times New Roman" w:eastAsia="仿宋_GB2312" w:cs="Times New Roman"/>
          <w:sz w:val="32"/>
          <w:szCs w:val="32"/>
          <w:lang w:val="en-US" w:eastAsia="zh-CN"/>
        </w:rPr>
        <w:t>锚定现代财政治理体系建设目标，持续</w:t>
      </w:r>
      <w:r>
        <w:rPr>
          <w:rFonts w:hint="eastAsia" w:eastAsia="仿宋_GB2312" w:cs="Times New Roman"/>
          <w:sz w:val="32"/>
          <w:szCs w:val="32"/>
          <w:lang w:val="en-US" w:eastAsia="zh-CN"/>
        </w:rPr>
        <w:t>深化</w:t>
      </w:r>
      <w:r>
        <w:rPr>
          <w:rFonts w:hint="eastAsia" w:ascii="Times New Roman" w:hAnsi="Times New Roman" w:eastAsia="仿宋_GB2312" w:cs="Times New Roman"/>
          <w:sz w:val="32"/>
          <w:szCs w:val="32"/>
          <w:lang w:val="en-US" w:eastAsia="zh-CN"/>
        </w:rPr>
        <w:t>财政改革</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零基预算</w:t>
      </w:r>
      <w:r>
        <w:rPr>
          <w:rFonts w:hint="eastAsia" w:ascii="Times New Roman" w:hAnsi="Times New Roman" w:eastAsia="仿宋_GB2312" w:cs="Times New Roman"/>
          <w:b/>
          <w:bCs/>
          <w:sz w:val="32"/>
          <w:szCs w:val="32"/>
          <w:lang w:val="en-US" w:eastAsia="zh-CN"/>
        </w:rPr>
        <w:t>全面启动</w:t>
      </w:r>
      <w:r>
        <w:rPr>
          <w:rFonts w:hint="default" w:ascii="Times New Roman" w:hAnsi="Times New Roman" w:eastAsia="仿宋_GB2312" w:cs="Times New Roman"/>
          <w:b/>
          <w:bCs/>
          <w:sz w:val="32"/>
          <w:szCs w:val="32"/>
          <w:lang w:val="en-US" w:eastAsia="zh-CN"/>
        </w:rPr>
        <w:t>。</w:t>
      </w:r>
      <w:r>
        <w:rPr>
          <w:rFonts w:hint="eastAsia" w:ascii="Times New Roman" w:hAnsi="Times New Roman" w:eastAsia="仿宋_GB2312" w:cs="Times New Roman"/>
          <w:sz w:val="32"/>
          <w:szCs w:val="32"/>
          <w:lang w:val="en-US" w:eastAsia="zh-CN"/>
        </w:rPr>
        <w:t>紧跟上级部署，起草了区级</w:t>
      </w:r>
      <w:r>
        <w:rPr>
          <w:rFonts w:hint="default" w:ascii="Times New Roman" w:hAnsi="Times New Roman" w:eastAsia="仿宋_GB2312" w:cs="Times New Roman"/>
          <w:sz w:val="32"/>
          <w:szCs w:val="32"/>
          <w:lang w:val="en-US" w:eastAsia="zh-CN"/>
        </w:rPr>
        <w:t>《关于深入贯彻落实过“紧日子”要求 全面深化</w:t>
      </w:r>
      <w:r>
        <w:rPr>
          <w:rFonts w:hint="default" w:ascii="Times New Roman" w:hAnsi="Times New Roman" w:eastAsia="仿宋_GB2312" w:cs="Times New Roman"/>
          <w:kern w:val="0"/>
          <w:sz w:val="32"/>
          <w:szCs w:val="32"/>
        </w:rPr>
        <w:t>零基预算改革</w:t>
      </w:r>
      <w:r>
        <w:rPr>
          <w:rFonts w:hint="default" w:ascii="Times New Roman" w:hAnsi="Times New Roman" w:eastAsia="仿宋_GB2312" w:cs="Times New Roman"/>
          <w:kern w:val="0"/>
          <w:sz w:val="32"/>
          <w:szCs w:val="32"/>
          <w:lang w:eastAsia="zh-CN"/>
        </w:rPr>
        <w:t>的实施意见》，</w:t>
      </w:r>
      <w:r>
        <w:rPr>
          <w:rFonts w:hint="eastAsia" w:ascii="Times New Roman" w:hAnsi="Times New Roman" w:eastAsia="仿宋_GB2312" w:cs="Times New Roman"/>
          <w:kern w:val="0"/>
          <w:sz w:val="32"/>
          <w:szCs w:val="32"/>
          <w:lang w:eastAsia="zh-CN"/>
        </w:rPr>
        <w:t>将</w:t>
      </w:r>
      <w:r>
        <w:rPr>
          <w:rFonts w:hint="eastAsia" w:ascii="Times New Roman" w:hAnsi="Times New Roman" w:eastAsia="仿宋_GB2312" w:cs="Times New Roman"/>
          <w:kern w:val="0"/>
          <w:sz w:val="32"/>
          <w:szCs w:val="32"/>
          <w:lang w:val="en-US" w:eastAsia="zh-CN"/>
        </w:rPr>
        <w:t>零基预算改革</w:t>
      </w:r>
      <w:r>
        <w:rPr>
          <w:rFonts w:hint="eastAsia" w:ascii="Times New Roman" w:hAnsi="Times New Roman" w:eastAsia="仿宋_GB2312" w:cs="Times New Roman"/>
          <w:kern w:val="0"/>
          <w:sz w:val="32"/>
          <w:szCs w:val="32"/>
          <w:lang w:eastAsia="zh-CN"/>
        </w:rPr>
        <w:t>全面融入</w:t>
      </w:r>
      <w:r>
        <w:rPr>
          <w:rFonts w:hint="eastAsia" w:ascii="Times New Roman" w:hAnsi="Times New Roman" w:eastAsia="仿宋_GB2312" w:cs="Times New Roman"/>
          <w:kern w:val="0"/>
          <w:sz w:val="32"/>
          <w:szCs w:val="32"/>
          <w:lang w:val="en-US" w:eastAsia="zh-CN"/>
        </w:rPr>
        <w:t>2025年预算编制</w:t>
      </w:r>
      <w:r>
        <w:rPr>
          <w:rFonts w:hint="eastAsia" w:eastAsia="仿宋_GB2312" w:cs="Times New Roman"/>
          <w:kern w:val="0"/>
          <w:sz w:val="32"/>
          <w:szCs w:val="32"/>
          <w:lang w:val="en-US" w:eastAsia="zh-CN"/>
        </w:rPr>
        <w:t>工作</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sz w:val="32"/>
          <w:szCs w:val="32"/>
          <w:lang w:val="en-US" w:eastAsia="zh-CN"/>
        </w:rPr>
        <w:t>打破预算“基数”概念和支出固化格局，</w:t>
      </w:r>
      <w:r>
        <w:rPr>
          <w:rFonts w:hint="eastAsia" w:ascii="Times New Roman" w:hAnsi="Times New Roman" w:eastAsia="仿宋_GB2312" w:cs="Times New Roman"/>
          <w:kern w:val="0"/>
          <w:sz w:val="32"/>
          <w:szCs w:val="32"/>
          <w:lang w:val="en-US" w:eastAsia="zh-CN"/>
        </w:rPr>
        <w:t>建立以收</w:t>
      </w:r>
      <w:r>
        <w:rPr>
          <w:rFonts w:hint="default" w:ascii="Times New Roman" w:hAnsi="Times New Roman" w:eastAsia="仿宋_GB2312" w:cs="Times New Roman"/>
          <w:sz w:val="32"/>
          <w:szCs w:val="32"/>
          <w:lang w:val="en-US" w:eastAsia="zh-CN"/>
        </w:rPr>
        <w:t>定支</w:t>
      </w:r>
      <w:r>
        <w:rPr>
          <w:rFonts w:hint="eastAsia" w:ascii="Times New Roman" w:hAnsi="Times New Roman" w:eastAsia="仿宋_GB2312" w:cs="Times New Roman"/>
          <w:sz w:val="32"/>
          <w:szCs w:val="32"/>
          <w:lang w:val="en-US" w:eastAsia="zh-CN"/>
        </w:rPr>
        <w:t>、以零为基、</w:t>
      </w:r>
      <w:r>
        <w:rPr>
          <w:rFonts w:hint="default" w:ascii="Times New Roman" w:hAnsi="Times New Roman" w:eastAsia="仿宋_GB2312" w:cs="Times New Roman"/>
          <w:sz w:val="32"/>
          <w:szCs w:val="32"/>
          <w:lang w:val="en-US" w:eastAsia="zh-CN"/>
        </w:rPr>
        <w:t>以事定钱</w:t>
      </w:r>
      <w:r>
        <w:rPr>
          <w:rFonts w:hint="eastAsia" w:ascii="Times New Roman" w:hAnsi="Times New Roman" w:eastAsia="仿宋_GB2312" w:cs="Times New Roman"/>
          <w:sz w:val="32"/>
          <w:szCs w:val="32"/>
          <w:lang w:val="en-US" w:eastAsia="zh-CN"/>
        </w:rPr>
        <w:t>、以效促用的</w:t>
      </w:r>
      <w:r>
        <w:rPr>
          <w:rFonts w:hint="default" w:ascii="Times New Roman" w:hAnsi="Times New Roman" w:eastAsia="仿宋_GB2312" w:cs="Times New Roman"/>
          <w:sz w:val="32"/>
          <w:szCs w:val="32"/>
          <w:lang w:val="en-US" w:eastAsia="zh-CN"/>
        </w:rPr>
        <w:t>预算安排</w:t>
      </w:r>
      <w:r>
        <w:rPr>
          <w:rFonts w:hint="eastAsia" w:ascii="Times New Roman" w:hAnsi="Times New Roman" w:eastAsia="仿宋_GB2312" w:cs="Times New Roman"/>
          <w:sz w:val="32"/>
          <w:szCs w:val="32"/>
          <w:lang w:val="en-US" w:eastAsia="zh-CN"/>
        </w:rPr>
        <w:t>新</w:t>
      </w:r>
      <w:r>
        <w:rPr>
          <w:rFonts w:hint="default" w:ascii="Times New Roman" w:hAnsi="Times New Roman" w:eastAsia="仿宋_GB2312" w:cs="Times New Roman"/>
          <w:sz w:val="32"/>
          <w:szCs w:val="32"/>
          <w:lang w:val="en-US" w:eastAsia="zh-CN"/>
        </w:rPr>
        <w:t>机制。</w:t>
      </w:r>
      <w:r>
        <w:rPr>
          <w:rFonts w:hint="eastAsia" w:ascii="Times New Roman" w:hAnsi="Times New Roman" w:eastAsia="仿宋_GB2312" w:cs="Times New Roman"/>
          <w:b/>
          <w:bCs/>
          <w:sz w:val="32"/>
          <w:szCs w:val="32"/>
          <w:lang w:val="en-US" w:eastAsia="zh-CN"/>
        </w:rPr>
        <w:t>全面加强国库管理。</w:t>
      </w:r>
      <w:r>
        <w:rPr>
          <w:rFonts w:hint="eastAsia" w:ascii="Times New Roman" w:hAnsi="Times New Roman" w:eastAsia="仿宋_GB2312" w:cs="Times New Roman"/>
          <w:sz w:val="32"/>
          <w:szCs w:val="32"/>
          <w:lang w:val="en-US" w:eastAsia="zh-CN"/>
        </w:rPr>
        <w:t>开展了银行账户清理和财政资金安全核查，撤销银行账户</w:t>
      </w: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个</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加强往来借款的清理，</w:t>
      </w:r>
      <w:r>
        <w:rPr>
          <w:rFonts w:hint="eastAsia" w:eastAsia="仿宋_GB2312" w:cs="Times New Roman"/>
          <w:sz w:val="32"/>
          <w:szCs w:val="32"/>
          <w:lang w:val="en-US" w:eastAsia="zh-CN"/>
        </w:rPr>
        <w:t>消减</w:t>
      </w:r>
      <w:r>
        <w:rPr>
          <w:rFonts w:hint="eastAsia" w:ascii="Times New Roman" w:hAnsi="Times New Roman" w:eastAsia="仿宋_GB2312" w:cs="Times New Roman"/>
          <w:sz w:val="32"/>
          <w:szCs w:val="32"/>
          <w:lang w:val="en-US" w:eastAsia="zh-CN"/>
        </w:rPr>
        <w:t>国库</w:t>
      </w:r>
      <w:r>
        <w:rPr>
          <w:rFonts w:hint="eastAsia" w:eastAsia="仿宋_GB2312" w:cs="Times New Roman"/>
          <w:sz w:val="32"/>
          <w:szCs w:val="32"/>
          <w:lang w:val="en-US" w:eastAsia="zh-CN"/>
        </w:rPr>
        <w:t>存量往来</w:t>
      </w:r>
      <w:r>
        <w:rPr>
          <w:rFonts w:hint="eastAsia" w:ascii="Times New Roman" w:hAnsi="Times New Roman" w:eastAsia="仿宋_GB2312" w:cs="Times New Roman"/>
          <w:sz w:val="32"/>
          <w:szCs w:val="32"/>
          <w:lang w:val="en-US" w:eastAsia="zh-CN"/>
        </w:rPr>
        <w:t>款</w:t>
      </w:r>
      <w:r>
        <w:rPr>
          <w:rFonts w:hint="eastAsia" w:eastAsia="仿宋_GB2312" w:cs="Times New Roman"/>
          <w:sz w:val="32"/>
          <w:szCs w:val="32"/>
          <w:lang w:val="en-US" w:eastAsia="zh-CN"/>
        </w:rPr>
        <w:t>9.33</w:t>
      </w:r>
      <w:r>
        <w:rPr>
          <w:rFonts w:hint="eastAsia" w:ascii="Times New Roman" w:hAnsi="Times New Roman" w:eastAsia="仿宋_GB2312" w:cs="Times New Roman"/>
          <w:sz w:val="32"/>
          <w:szCs w:val="32"/>
          <w:lang w:val="en-US" w:eastAsia="zh-CN"/>
        </w:rPr>
        <w:t>亿元</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加强库款调度，严格集中支付审核，确保了库款安全和资金有效保障。</w:t>
      </w:r>
      <w:r>
        <w:rPr>
          <w:rFonts w:hint="default" w:ascii="Times New Roman" w:hAnsi="Times New Roman" w:eastAsia="仿宋_GB2312" w:cs="Times New Roman"/>
          <w:b/>
          <w:bCs/>
          <w:sz w:val="32"/>
          <w:szCs w:val="32"/>
          <w:lang w:val="en-US" w:eastAsia="zh-CN"/>
        </w:rPr>
        <w:t>持续</w:t>
      </w:r>
      <w:r>
        <w:rPr>
          <w:rFonts w:hint="eastAsia" w:ascii="Times New Roman" w:hAnsi="Times New Roman" w:eastAsia="仿宋_GB2312" w:cs="Times New Roman"/>
          <w:b/>
          <w:bCs/>
          <w:sz w:val="32"/>
          <w:szCs w:val="32"/>
          <w:lang w:val="en-US" w:eastAsia="zh-CN"/>
        </w:rPr>
        <w:t>加强</w:t>
      </w:r>
      <w:r>
        <w:rPr>
          <w:rFonts w:hint="default" w:ascii="Times New Roman" w:hAnsi="Times New Roman" w:eastAsia="仿宋_GB2312" w:cs="Times New Roman"/>
          <w:b/>
          <w:bCs/>
          <w:sz w:val="32"/>
          <w:szCs w:val="32"/>
          <w:lang w:val="en-US" w:eastAsia="zh-CN"/>
        </w:rPr>
        <w:t>资产管理。</w:t>
      </w:r>
      <w:r>
        <w:rPr>
          <w:rFonts w:hint="default" w:ascii="Times New Roman" w:hAnsi="Times New Roman" w:eastAsia="仿宋_GB2312" w:cs="Times New Roman"/>
          <w:sz w:val="32"/>
          <w:szCs w:val="32"/>
          <w:lang w:val="en-US" w:eastAsia="zh-CN"/>
        </w:rPr>
        <w:t>印发出台《株洲市天元区行政事业单位国有资产处置管理办法》，</w:t>
      </w:r>
      <w:r>
        <w:rPr>
          <w:rFonts w:hint="eastAsia" w:ascii="Times New Roman" w:hAnsi="Times New Roman" w:eastAsia="仿宋_GB2312" w:cs="Times New Roman"/>
          <w:sz w:val="32"/>
          <w:szCs w:val="32"/>
          <w:lang w:val="en-US" w:eastAsia="zh-CN"/>
        </w:rPr>
        <w:t>统一规范资产处置行为，提升资产使用价值；</w:t>
      </w:r>
      <w:r>
        <w:rPr>
          <w:rFonts w:hint="default" w:ascii="Times New Roman" w:hAnsi="Times New Roman" w:eastAsia="仿宋_GB2312" w:cs="Times New Roman"/>
          <w:sz w:val="32"/>
          <w:szCs w:val="32"/>
          <w:lang w:val="en-US" w:eastAsia="zh-CN"/>
        </w:rPr>
        <w:t>加快推进资产管理</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预算管理一体化，</w:t>
      </w:r>
      <w:r>
        <w:rPr>
          <w:rFonts w:hint="eastAsia" w:ascii="Times New Roman" w:hAnsi="Times New Roman" w:eastAsia="仿宋_GB2312" w:cs="Times New Roman"/>
          <w:sz w:val="32"/>
          <w:szCs w:val="32"/>
          <w:lang w:val="en-US" w:eastAsia="zh-CN"/>
        </w:rPr>
        <w:t>严格配置标准</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规范资产配置管理。</w:t>
      </w:r>
      <w:r>
        <w:rPr>
          <w:rFonts w:hint="eastAsia" w:ascii="Times New Roman" w:hAnsi="Times New Roman" w:eastAsia="仿宋_GB2312" w:cs="Times New Roman"/>
          <w:b/>
          <w:bCs/>
          <w:sz w:val="32"/>
          <w:szCs w:val="32"/>
          <w:lang w:val="en-US" w:eastAsia="zh-CN"/>
        </w:rPr>
        <w:t>不断</w:t>
      </w:r>
      <w:r>
        <w:rPr>
          <w:rFonts w:hint="default" w:ascii="Times New Roman" w:hAnsi="Times New Roman" w:eastAsia="仿宋_GB2312" w:cs="Times New Roman"/>
          <w:b/>
          <w:bCs/>
          <w:sz w:val="32"/>
          <w:szCs w:val="32"/>
          <w:lang w:val="en-US" w:eastAsia="zh-CN"/>
        </w:rPr>
        <w:t>推进降本增效。</w:t>
      </w:r>
      <w:r>
        <w:rPr>
          <w:rFonts w:hint="default" w:ascii="Times New Roman" w:hAnsi="Times New Roman" w:eastAsia="仿宋_GB2312" w:cs="Times New Roman"/>
          <w:color w:val="auto"/>
          <w:sz w:val="32"/>
          <w:szCs w:val="32"/>
          <w:lang w:val="en-US" w:eastAsia="zh-CN"/>
        </w:rPr>
        <w:t>严格执行投资评审制度，全年审减金额1.4亿元，平均审减率</w:t>
      </w:r>
      <w:r>
        <w:rPr>
          <w:rFonts w:hint="eastAsia" w:eastAsia="仿宋_GB2312" w:cs="Times New Roman"/>
          <w:color w:val="auto"/>
          <w:sz w:val="32"/>
          <w:szCs w:val="32"/>
          <w:lang w:val="en-US" w:eastAsia="zh-CN"/>
        </w:rPr>
        <w:t>为</w:t>
      </w:r>
      <w:r>
        <w:rPr>
          <w:rFonts w:hint="default" w:ascii="Times New Roman" w:hAnsi="Times New Roman" w:eastAsia="仿宋_GB2312" w:cs="Times New Roman"/>
          <w:color w:val="auto"/>
          <w:sz w:val="32"/>
          <w:szCs w:val="32"/>
          <w:lang w:val="en-US" w:eastAsia="zh-CN"/>
        </w:rPr>
        <w:t>9.6%；全面推行政府采购工程类货物与服务</w:t>
      </w:r>
      <w:r>
        <w:rPr>
          <w:rFonts w:hint="eastAsia" w:ascii="Times New Roman" w:hAnsi="Times New Roman" w:eastAsia="仿宋_GB2312" w:cs="Times New Roman"/>
          <w:color w:val="auto"/>
          <w:sz w:val="32"/>
          <w:szCs w:val="32"/>
          <w:lang w:val="en-US" w:eastAsia="zh-CN"/>
        </w:rPr>
        <w:t>纳入评审范围</w:t>
      </w:r>
      <w:r>
        <w:rPr>
          <w:rFonts w:hint="default" w:ascii="Times New Roman" w:hAnsi="Times New Roman" w:eastAsia="仿宋_GB2312" w:cs="Times New Roman"/>
          <w:color w:val="auto"/>
          <w:sz w:val="32"/>
          <w:szCs w:val="32"/>
          <w:lang w:val="en-US" w:eastAsia="zh-CN"/>
        </w:rPr>
        <w:t>，审减率达到16%；</w:t>
      </w:r>
      <w:r>
        <w:rPr>
          <w:rFonts w:hint="eastAsia" w:ascii="Times New Roman" w:hAnsi="Times New Roman" w:eastAsia="仿宋_GB2312" w:cs="Times New Roman"/>
          <w:color w:val="auto"/>
          <w:sz w:val="32"/>
          <w:szCs w:val="32"/>
          <w:lang w:val="en-US" w:eastAsia="zh-CN"/>
        </w:rPr>
        <w:t>加强电子卖场和政府购买服务管理，建立政府采购负面清单，</w:t>
      </w:r>
      <w:r>
        <w:rPr>
          <w:rFonts w:hint="default" w:ascii="Times New Roman" w:hAnsi="Times New Roman" w:eastAsia="仿宋_GB2312" w:cs="Times New Roman"/>
          <w:color w:val="auto"/>
          <w:sz w:val="32"/>
          <w:szCs w:val="32"/>
          <w:lang w:val="en-US" w:eastAsia="zh-CN"/>
        </w:rPr>
        <w:t>政府采购节约率</w:t>
      </w:r>
      <w:r>
        <w:rPr>
          <w:rFonts w:hint="eastAsia" w:ascii="Times New Roman" w:hAnsi="Times New Roman" w:eastAsia="仿宋_GB2312" w:cs="Times New Roman"/>
          <w:color w:val="auto"/>
          <w:sz w:val="32"/>
          <w:szCs w:val="32"/>
          <w:lang w:val="en-US" w:eastAsia="zh-CN"/>
        </w:rPr>
        <w:t>为</w:t>
      </w:r>
      <w:r>
        <w:rPr>
          <w:rFonts w:hint="default" w:ascii="Times New Roman" w:hAnsi="Times New Roman" w:eastAsia="仿宋_GB2312" w:cs="Times New Roman"/>
          <w:color w:val="auto"/>
          <w:sz w:val="32"/>
          <w:szCs w:val="32"/>
          <w:lang w:val="en-US" w:eastAsia="zh-CN"/>
        </w:rPr>
        <w:t>8.6%。</w:t>
      </w:r>
    </w:p>
    <w:p w14:paraId="7D45E085">
      <w:pPr>
        <w:keepNext w:val="0"/>
        <w:keepLines w:val="0"/>
        <w:pageBreakBefore w:val="0"/>
        <w:widowControl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4.统筹风险防范，坚定不移守底线。</w:t>
      </w:r>
      <w:r>
        <w:rPr>
          <w:rFonts w:hint="eastAsia" w:ascii="Times New Roman" w:hAnsi="Times New Roman" w:eastAsia="仿宋_GB2312" w:cs="Times New Roman"/>
          <w:sz w:val="32"/>
          <w:szCs w:val="32"/>
          <w:lang w:val="en-US" w:eastAsia="zh-CN"/>
        </w:rPr>
        <w:t>严格对标对表上级</w:t>
      </w:r>
      <w:r>
        <w:rPr>
          <w:rFonts w:hint="eastAsia" w:eastAsia="仿宋_GB2312" w:cs="Times New Roman"/>
          <w:sz w:val="32"/>
          <w:szCs w:val="32"/>
          <w:lang w:val="en-US" w:eastAsia="zh-CN"/>
        </w:rPr>
        <w:t>规定</w:t>
      </w:r>
      <w:r>
        <w:rPr>
          <w:rFonts w:hint="eastAsia" w:ascii="Times New Roman" w:hAnsi="Times New Roman" w:eastAsia="仿宋_GB2312" w:cs="Times New Roman"/>
          <w:sz w:val="32"/>
          <w:szCs w:val="32"/>
          <w:lang w:val="en-US" w:eastAsia="zh-CN"/>
        </w:rPr>
        <w:t>，主动梳理财税收入、政府采购和政府购买服务、库款管理、债券资金监管、新增隐债等方面的风险点，积极谋划应对和整改措施。</w:t>
      </w:r>
      <w:r>
        <w:rPr>
          <w:rFonts w:hint="eastAsia" w:ascii="Times New Roman" w:hAnsi="Times New Roman" w:eastAsia="仿宋_GB2312" w:cs="Times New Roman"/>
          <w:b/>
          <w:bCs/>
          <w:sz w:val="32"/>
          <w:szCs w:val="32"/>
          <w:lang w:val="en-US" w:eastAsia="zh-CN"/>
        </w:rPr>
        <w:t>全面推进</w:t>
      </w:r>
      <w:r>
        <w:rPr>
          <w:rFonts w:hint="default" w:ascii="Times New Roman" w:hAnsi="Times New Roman" w:eastAsia="仿宋_GB2312" w:cs="Times New Roman"/>
          <w:b/>
          <w:bCs/>
          <w:sz w:val="32"/>
          <w:szCs w:val="32"/>
          <w:lang w:val="en-US" w:eastAsia="zh-CN"/>
        </w:rPr>
        <w:t>金融支持化债。</w:t>
      </w:r>
      <w:r>
        <w:rPr>
          <w:rFonts w:hint="default" w:ascii="Times New Roman" w:hAnsi="Times New Roman" w:eastAsia="仿宋_GB2312" w:cs="Times New Roman"/>
          <w:sz w:val="32"/>
          <w:szCs w:val="32"/>
          <w:lang w:val="en-US" w:eastAsia="zh-CN"/>
        </w:rPr>
        <w:t>出台《高新区、天元区金融支持化债“攻坚行动”实施工作方案》</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val="en-US" w:eastAsia="zh-CN"/>
        </w:rPr>
        <w:t>，对标对表市级要求，</w:t>
      </w:r>
      <w:r>
        <w:rPr>
          <w:rFonts w:hint="eastAsia" w:ascii="Times New Roman" w:hAnsi="Times New Roman" w:eastAsia="仿宋_GB2312" w:cs="Times New Roman"/>
          <w:sz w:val="32"/>
          <w:szCs w:val="32"/>
          <w:lang w:val="en-US" w:eastAsia="zh-CN"/>
        </w:rPr>
        <w:t>科学</w:t>
      </w:r>
      <w:r>
        <w:rPr>
          <w:rFonts w:hint="default" w:ascii="Times New Roman" w:hAnsi="Times New Roman" w:eastAsia="仿宋_GB2312" w:cs="Times New Roman"/>
          <w:sz w:val="32"/>
          <w:szCs w:val="32"/>
          <w:lang w:val="en-US" w:eastAsia="zh-CN"/>
        </w:rPr>
        <w:t>配置资金增量资源，全力撬动银行开展“降、展、置、扩”工作，</w:t>
      </w:r>
      <w:r>
        <w:rPr>
          <w:rFonts w:hint="eastAsia" w:ascii="Times New Roman" w:hAnsi="Times New Roman" w:eastAsia="仿宋_GB2312" w:cs="Times New Roman"/>
          <w:sz w:val="32"/>
          <w:szCs w:val="32"/>
          <w:lang w:val="en-US" w:eastAsia="zh-CN"/>
        </w:rPr>
        <w:t>大力支持高科控股注资增信，全面降低融资成本</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b/>
          <w:bCs/>
          <w:sz w:val="32"/>
          <w:szCs w:val="32"/>
          <w:lang w:val="en-US" w:eastAsia="zh-CN"/>
        </w:rPr>
        <w:t>努力争取债券资金支持</w:t>
      </w:r>
      <w:r>
        <w:rPr>
          <w:rFonts w:hint="default" w:ascii="Times New Roman" w:hAnsi="Times New Roman" w:eastAsia="仿宋_GB2312" w:cs="Times New Roman"/>
          <w:b/>
          <w:bCs/>
          <w:sz w:val="32"/>
          <w:szCs w:val="32"/>
          <w:lang w:val="en-US" w:eastAsia="zh-CN"/>
        </w:rPr>
        <w:t>。</w:t>
      </w:r>
      <w:r>
        <w:rPr>
          <w:rFonts w:hint="eastAsia" w:ascii="Times New Roman" w:hAnsi="Times New Roman" w:eastAsia="仿宋_GB2312" w:cs="Times New Roman"/>
          <w:sz w:val="32"/>
          <w:szCs w:val="32"/>
          <w:lang w:val="en-US" w:eastAsia="zh-CN"/>
        </w:rPr>
        <w:t>努力把握国家实施一揽子增量政策的</w:t>
      </w:r>
      <w:r>
        <w:rPr>
          <w:rFonts w:hint="eastAsia" w:eastAsia="仿宋_GB2312" w:cs="Times New Roman"/>
          <w:sz w:val="32"/>
          <w:szCs w:val="32"/>
          <w:lang w:val="en-US" w:eastAsia="zh-CN"/>
        </w:rPr>
        <w:t>重大</w:t>
      </w:r>
      <w:r>
        <w:rPr>
          <w:rFonts w:hint="eastAsia" w:ascii="Times New Roman" w:hAnsi="Times New Roman" w:eastAsia="仿宋_GB2312" w:cs="Times New Roman"/>
          <w:sz w:val="32"/>
          <w:szCs w:val="32"/>
          <w:lang w:val="en-US" w:eastAsia="zh-CN"/>
        </w:rPr>
        <w:t>机遇，积极策划包装项目，主动加强省部对接，</w:t>
      </w:r>
      <w:r>
        <w:rPr>
          <w:rFonts w:hint="eastAsia" w:eastAsia="仿宋_GB2312" w:cs="Times New Roman"/>
          <w:sz w:val="32"/>
          <w:szCs w:val="32"/>
          <w:lang w:val="en-US" w:eastAsia="zh-CN"/>
        </w:rPr>
        <w:t>全年到位</w:t>
      </w:r>
      <w:r>
        <w:rPr>
          <w:rFonts w:hint="default" w:ascii="Times New Roman" w:hAnsi="Times New Roman" w:eastAsia="仿宋_GB2312" w:cs="Times New Roman"/>
          <w:kern w:val="2"/>
          <w:sz w:val="32"/>
          <w:szCs w:val="32"/>
          <w:lang w:val="en-US" w:eastAsia="zh-CN" w:bidi="ar-SA"/>
        </w:rPr>
        <w:t>政府债券资金35.07亿元，其中：一般债2.1亿元，专项债32.97亿元</w:t>
      </w:r>
      <w:r>
        <w:rPr>
          <w:rFonts w:hint="eastAsia"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用于置换隐性债务26.74亿元</w:t>
      </w:r>
      <w:r>
        <w:rPr>
          <w:rFonts w:hint="eastAsia" w:ascii="Times New Roman" w:hAnsi="Times New Roman" w:eastAsia="仿宋_GB2312" w:cs="Times New Roman"/>
          <w:kern w:val="2"/>
          <w:sz w:val="32"/>
          <w:szCs w:val="32"/>
          <w:lang w:val="en-US" w:eastAsia="zh-CN" w:bidi="ar-SA"/>
        </w:rPr>
        <w:t>，支持新马南路、城乡道路和水利等项目建设，积极消化北师大“民转公”回购、湘江风光带等存量项目欠款或挂账，盘活存量资金。</w:t>
      </w:r>
      <w:r>
        <w:rPr>
          <w:rFonts w:hint="eastAsia" w:ascii="Times New Roman" w:hAnsi="Times New Roman" w:eastAsia="仿宋_GB2312" w:cs="Times New Roman"/>
          <w:b/>
          <w:bCs/>
          <w:sz w:val="32"/>
          <w:szCs w:val="32"/>
          <w:lang w:val="en-US" w:eastAsia="zh-CN"/>
        </w:rPr>
        <w:t>全面加强财会监督</w:t>
      </w:r>
      <w:r>
        <w:rPr>
          <w:rFonts w:hint="default" w:ascii="Times New Roman" w:hAnsi="Times New Roman" w:eastAsia="仿宋_GB2312" w:cs="Times New Roman"/>
          <w:b/>
          <w:bCs/>
          <w:sz w:val="32"/>
          <w:szCs w:val="32"/>
          <w:lang w:val="en-US" w:eastAsia="zh-CN"/>
        </w:rPr>
        <w:t>。</w:t>
      </w:r>
      <w:r>
        <w:rPr>
          <w:rFonts w:hint="eastAsia" w:ascii="Times New Roman" w:hAnsi="Times New Roman" w:eastAsia="仿宋_GB2312" w:cs="Times New Roman"/>
          <w:sz w:val="32"/>
          <w:szCs w:val="32"/>
          <w:lang w:val="en-US" w:eastAsia="zh-CN"/>
        </w:rPr>
        <w:t>积极配合上级财政、审计部门开展了</w:t>
      </w:r>
      <w:r>
        <w:rPr>
          <w:rFonts w:hint="default" w:ascii="Times New Roman" w:hAnsi="Times New Roman" w:eastAsia="仿宋_GB2312" w:cs="Times New Roman"/>
          <w:sz w:val="32"/>
          <w:szCs w:val="32"/>
          <w:lang w:val="en-US" w:eastAsia="zh-CN"/>
        </w:rPr>
        <w:t>惠农补贴、“三湘护农”专项整治</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违规出台财税优惠政策招商引资</w:t>
      </w:r>
      <w:r>
        <w:rPr>
          <w:rFonts w:hint="eastAsia" w:ascii="Times New Roman" w:hAnsi="Times New Roman" w:eastAsia="仿宋_GB2312" w:cs="Times New Roman"/>
          <w:sz w:val="32"/>
          <w:szCs w:val="32"/>
          <w:lang w:val="en-US" w:eastAsia="zh-CN"/>
        </w:rPr>
        <w:t>、经责审计、棚户区改造项目专项整治等行动，积极配合人大预算联网监督，</w:t>
      </w:r>
      <w:r>
        <w:rPr>
          <w:rFonts w:hint="eastAsia" w:eastAsia="仿宋_GB2312" w:cs="Times New Roman"/>
          <w:sz w:val="32"/>
          <w:szCs w:val="32"/>
          <w:lang w:val="en-US" w:eastAsia="zh-CN"/>
        </w:rPr>
        <w:t>坚持问题导向，</w:t>
      </w:r>
      <w:r>
        <w:rPr>
          <w:rFonts w:hint="eastAsia" w:ascii="Times New Roman" w:hAnsi="Times New Roman" w:eastAsia="仿宋_GB2312" w:cs="Times New Roman"/>
          <w:sz w:val="32"/>
          <w:szCs w:val="32"/>
          <w:lang w:val="en-US" w:eastAsia="zh-CN"/>
        </w:rPr>
        <w:t>先后制定了惠农资金检查问题、违规招商引资问题等整改方案，做到立行立改与整章建制、惩治群众身边</w:t>
      </w:r>
      <w:r>
        <w:rPr>
          <w:rFonts w:hint="eastAsia" w:eastAsia="仿宋_GB2312" w:cs="Times New Roman"/>
          <w:sz w:val="32"/>
          <w:szCs w:val="32"/>
          <w:lang w:val="en-US" w:eastAsia="zh-CN"/>
        </w:rPr>
        <w:t>不正之风</w:t>
      </w:r>
      <w:r>
        <w:rPr>
          <w:rFonts w:hint="eastAsia" w:ascii="Times New Roman" w:hAnsi="Times New Roman" w:eastAsia="仿宋_GB2312" w:cs="Times New Roman"/>
          <w:sz w:val="32"/>
          <w:szCs w:val="32"/>
          <w:lang w:val="en-US" w:eastAsia="zh-CN"/>
        </w:rPr>
        <w:t>等紧密结合，进一步严肃财经纪律。同时，</w:t>
      </w:r>
      <w:r>
        <w:rPr>
          <w:rFonts w:hint="default" w:ascii="Times New Roman" w:hAnsi="Times New Roman" w:eastAsia="仿宋_GB2312" w:cs="Times New Roman"/>
          <w:sz w:val="32"/>
          <w:szCs w:val="32"/>
          <w:lang w:val="en-US" w:eastAsia="zh-CN"/>
        </w:rPr>
        <w:t>对</w:t>
      </w:r>
      <w:r>
        <w:rPr>
          <w:rFonts w:hint="eastAsia" w:ascii="Times New Roman" w:hAnsi="Times New Roman" w:eastAsia="仿宋_GB2312" w:cs="Times New Roman"/>
          <w:sz w:val="32"/>
          <w:szCs w:val="32"/>
          <w:lang w:val="en-US" w:eastAsia="zh-CN"/>
        </w:rPr>
        <w:t>10个项目资金开展了绩效监督重点评价，其中4个项目纳入了人大“四评”范围；对</w:t>
      </w:r>
      <w:r>
        <w:rPr>
          <w:rFonts w:hint="default" w:ascii="Times New Roman" w:hAnsi="Times New Roman" w:eastAsia="仿宋_GB2312" w:cs="Times New Roman"/>
          <w:sz w:val="32"/>
          <w:szCs w:val="32"/>
          <w:lang w:val="en-US" w:eastAsia="zh-CN"/>
        </w:rPr>
        <w:t>3家行政事业单位开展</w:t>
      </w:r>
      <w:r>
        <w:rPr>
          <w:rFonts w:hint="eastAsia" w:ascii="Times New Roman" w:hAnsi="Times New Roman" w:eastAsia="仿宋_GB2312" w:cs="Times New Roman"/>
          <w:sz w:val="32"/>
          <w:szCs w:val="32"/>
          <w:lang w:val="en-US" w:eastAsia="zh-CN"/>
        </w:rPr>
        <w:t>会计信息质量</w:t>
      </w:r>
      <w:r>
        <w:rPr>
          <w:rFonts w:hint="default" w:ascii="Times New Roman" w:hAnsi="Times New Roman" w:eastAsia="仿宋_GB2312" w:cs="Times New Roman"/>
          <w:sz w:val="32"/>
          <w:szCs w:val="32"/>
          <w:lang w:val="en-US" w:eastAsia="zh-CN"/>
        </w:rPr>
        <w:t>重点检查，</w:t>
      </w:r>
      <w:r>
        <w:rPr>
          <w:rFonts w:hint="eastAsia" w:ascii="Times New Roman" w:hAnsi="Times New Roman" w:eastAsia="仿宋_GB2312" w:cs="Times New Roman"/>
          <w:sz w:val="32"/>
          <w:szCs w:val="32"/>
          <w:lang w:val="en-US" w:eastAsia="zh-CN"/>
        </w:rPr>
        <w:t>继续深入开展代理记账整治，</w:t>
      </w:r>
      <w:r>
        <w:rPr>
          <w:rFonts w:hint="eastAsia" w:eastAsia="仿宋_GB2312" w:cs="Times New Roman"/>
          <w:sz w:val="32"/>
          <w:szCs w:val="32"/>
          <w:lang w:val="en-US" w:eastAsia="zh-CN"/>
        </w:rPr>
        <w:t>探索分类分级管理改革，</w:t>
      </w:r>
      <w:r>
        <w:rPr>
          <w:rFonts w:hint="eastAsia" w:ascii="Times New Roman" w:hAnsi="Times New Roman" w:eastAsia="仿宋_GB2312" w:cs="Times New Roman"/>
          <w:sz w:val="32"/>
          <w:szCs w:val="32"/>
          <w:lang w:val="en-US" w:eastAsia="zh-CN"/>
        </w:rPr>
        <w:t>代理记账工作得到财政部的肯定和推介</w:t>
      </w:r>
      <w:r>
        <w:rPr>
          <w:rFonts w:hint="default" w:ascii="Times New Roman" w:hAnsi="Times New Roman" w:eastAsia="仿宋_GB2312" w:cs="Times New Roman"/>
          <w:sz w:val="32"/>
          <w:szCs w:val="32"/>
          <w:lang w:val="en-US" w:eastAsia="zh-CN"/>
        </w:rPr>
        <w:t>。</w:t>
      </w:r>
    </w:p>
    <w:p w14:paraId="7F5FDA8F">
      <w:pPr>
        <w:keepNext w:val="0"/>
        <w:keepLines w:val="0"/>
        <w:pageBreakBefore w:val="0"/>
        <w:widowControl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财政工作</w:t>
      </w:r>
      <w:r>
        <w:rPr>
          <w:rFonts w:hint="eastAsia" w:ascii="Times New Roman" w:hAnsi="Times New Roman" w:eastAsia="仿宋_GB2312" w:cs="Times New Roman"/>
          <w:sz w:val="32"/>
          <w:szCs w:val="32"/>
          <w:lang w:val="en-US" w:eastAsia="zh-CN"/>
        </w:rPr>
        <w:t>经历了坎坷，应对了挑战，</w:t>
      </w:r>
      <w:r>
        <w:rPr>
          <w:rFonts w:hint="eastAsia" w:eastAsia="仿宋_GB2312" w:cs="Times New Roman"/>
          <w:sz w:val="32"/>
          <w:szCs w:val="32"/>
          <w:lang w:val="en-US" w:eastAsia="zh-CN"/>
        </w:rPr>
        <w:t>收获了成绩</w:t>
      </w:r>
      <w:r>
        <w:rPr>
          <w:rFonts w:hint="eastAsia" w:ascii="Times New Roman" w:hAnsi="Times New Roman" w:eastAsia="仿宋_GB2312" w:cs="Times New Roman"/>
          <w:sz w:val="32"/>
          <w:szCs w:val="32"/>
          <w:lang w:val="en-US" w:eastAsia="zh-CN"/>
        </w:rPr>
        <w:t>。成绩的取得</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离不开</w:t>
      </w:r>
      <w:r>
        <w:rPr>
          <w:rFonts w:hint="default" w:ascii="Times New Roman" w:hAnsi="Times New Roman" w:eastAsia="仿宋_GB2312" w:cs="Times New Roman"/>
          <w:sz w:val="32"/>
          <w:szCs w:val="32"/>
          <w:lang w:val="en-US" w:eastAsia="zh-CN"/>
        </w:rPr>
        <w:t>工委、管委会、区委</w:t>
      </w:r>
      <w:r>
        <w:rPr>
          <w:rFonts w:hint="eastAsia" w:ascii="Times New Roman" w:hAnsi="Times New Roman" w:eastAsia="仿宋_GB2312" w:cs="Times New Roman"/>
          <w:sz w:val="32"/>
          <w:szCs w:val="32"/>
          <w:lang w:val="en-US" w:eastAsia="zh-CN"/>
        </w:rPr>
        <w:t>坚强领导，离不开</w:t>
      </w:r>
      <w:r>
        <w:rPr>
          <w:rFonts w:hint="default" w:ascii="Times New Roman" w:hAnsi="Times New Roman" w:eastAsia="仿宋_GB2312" w:cs="Times New Roman"/>
          <w:sz w:val="32"/>
          <w:szCs w:val="32"/>
          <w:lang w:val="en-US" w:eastAsia="zh-CN"/>
        </w:rPr>
        <w:t>区人大、政协</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监督支持，</w:t>
      </w:r>
      <w:r>
        <w:rPr>
          <w:rFonts w:hint="eastAsia" w:ascii="Times New Roman" w:hAnsi="Times New Roman" w:eastAsia="仿宋_GB2312" w:cs="Times New Roman"/>
          <w:sz w:val="32"/>
          <w:szCs w:val="32"/>
          <w:lang w:val="en-US" w:eastAsia="zh-CN"/>
        </w:rPr>
        <w:t>离不开</w:t>
      </w:r>
      <w:r>
        <w:rPr>
          <w:rFonts w:hint="default" w:ascii="Times New Roman" w:hAnsi="Times New Roman" w:eastAsia="仿宋_GB2312" w:cs="Times New Roman"/>
          <w:sz w:val="32"/>
          <w:szCs w:val="32"/>
          <w:lang w:val="en-US" w:eastAsia="zh-CN"/>
        </w:rPr>
        <w:t>各</w:t>
      </w:r>
      <w:r>
        <w:rPr>
          <w:rFonts w:hint="eastAsia" w:ascii="Times New Roman" w:hAnsi="Times New Roman" w:eastAsia="仿宋_GB2312" w:cs="Times New Roman"/>
          <w:sz w:val="32"/>
          <w:szCs w:val="32"/>
          <w:lang w:val="en-US" w:eastAsia="zh-CN"/>
        </w:rPr>
        <w:t>级</w:t>
      </w:r>
      <w:r>
        <w:rPr>
          <w:rFonts w:hint="default" w:ascii="Times New Roman" w:hAnsi="Times New Roman" w:eastAsia="仿宋_GB2312" w:cs="Times New Roman"/>
          <w:sz w:val="32"/>
          <w:szCs w:val="32"/>
          <w:lang w:val="en-US" w:eastAsia="zh-CN"/>
        </w:rPr>
        <w:t>各部门</w:t>
      </w:r>
      <w:r>
        <w:rPr>
          <w:rFonts w:hint="eastAsia" w:ascii="Times New Roman" w:hAnsi="Times New Roman" w:eastAsia="仿宋_GB2312" w:cs="Times New Roman"/>
          <w:sz w:val="32"/>
          <w:szCs w:val="32"/>
          <w:lang w:val="en-US" w:eastAsia="zh-CN"/>
        </w:rPr>
        <w:t>的鼎力</w:t>
      </w:r>
      <w:r>
        <w:rPr>
          <w:rFonts w:hint="default" w:ascii="Times New Roman" w:hAnsi="Times New Roman" w:eastAsia="仿宋_GB2312" w:cs="Times New Roman"/>
          <w:sz w:val="32"/>
          <w:szCs w:val="32"/>
          <w:lang w:val="en-US" w:eastAsia="zh-CN"/>
        </w:rPr>
        <w:t>配合</w:t>
      </w:r>
      <w:r>
        <w:rPr>
          <w:rFonts w:hint="eastAsia" w:ascii="Times New Roman" w:hAnsi="Times New Roman" w:eastAsia="仿宋_GB2312" w:cs="Times New Roman"/>
          <w:sz w:val="32"/>
          <w:szCs w:val="32"/>
          <w:lang w:val="en-US" w:eastAsia="zh-CN"/>
        </w:rPr>
        <w:t>，离不开</w:t>
      </w:r>
      <w:r>
        <w:rPr>
          <w:rFonts w:hint="default" w:ascii="Times New Roman" w:hAnsi="Times New Roman" w:eastAsia="仿宋_GB2312" w:cs="Times New Roman"/>
          <w:sz w:val="32"/>
          <w:szCs w:val="32"/>
          <w:lang w:val="en-US" w:eastAsia="zh-CN"/>
        </w:rPr>
        <w:t>财</w:t>
      </w:r>
      <w:r>
        <w:rPr>
          <w:rFonts w:hint="eastAsia" w:ascii="Times New Roman" w:hAnsi="Times New Roman" w:eastAsia="仿宋_GB2312" w:cs="Times New Roman"/>
          <w:sz w:val="32"/>
          <w:szCs w:val="32"/>
          <w:lang w:val="en-US" w:eastAsia="zh-CN"/>
        </w:rPr>
        <w:t>税</w:t>
      </w:r>
      <w:r>
        <w:rPr>
          <w:rFonts w:hint="default" w:ascii="Times New Roman" w:hAnsi="Times New Roman" w:eastAsia="仿宋_GB2312" w:cs="Times New Roman"/>
          <w:sz w:val="32"/>
          <w:szCs w:val="32"/>
          <w:lang w:val="en-US" w:eastAsia="zh-CN"/>
        </w:rPr>
        <w:t>干部</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奋力拼搏。借此机会，谨向关心、支持我区财</w:t>
      </w:r>
      <w:r>
        <w:rPr>
          <w:rFonts w:hint="eastAsia" w:eastAsia="仿宋_GB2312" w:cs="Times New Roman"/>
          <w:sz w:val="32"/>
          <w:szCs w:val="32"/>
          <w:lang w:val="en-US" w:eastAsia="zh-CN"/>
        </w:rPr>
        <w:t>税</w:t>
      </w:r>
      <w:r>
        <w:rPr>
          <w:rFonts w:hint="default" w:ascii="Times New Roman" w:hAnsi="Times New Roman" w:eastAsia="仿宋_GB2312" w:cs="Times New Roman"/>
          <w:sz w:val="32"/>
          <w:szCs w:val="32"/>
          <w:lang w:val="en-US" w:eastAsia="zh-CN"/>
        </w:rPr>
        <w:t>工作的各位人大代表、各位政协委员、社会各界人士表示衷心的感谢和崇高的敬意！</w:t>
      </w:r>
    </w:p>
    <w:p w14:paraId="57304616">
      <w:pPr>
        <w:keepNext w:val="0"/>
        <w:keepLines w:val="0"/>
        <w:pageBreakBefore w:val="0"/>
        <w:widowControl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在看到成绩的同时，我们也清醒地认识到，财政运行中还存在着</w:t>
      </w:r>
      <w:r>
        <w:rPr>
          <w:rFonts w:hint="eastAsia" w:eastAsia="仿宋_GB2312" w:cs="Times New Roman"/>
          <w:sz w:val="32"/>
          <w:szCs w:val="32"/>
          <w:lang w:val="en-US" w:eastAsia="zh-CN"/>
        </w:rPr>
        <w:t>一些</w:t>
      </w:r>
      <w:r>
        <w:rPr>
          <w:rFonts w:hint="default" w:ascii="Times New Roman" w:hAnsi="Times New Roman" w:eastAsia="仿宋_GB2312" w:cs="Times New Roman"/>
          <w:sz w:val="32"/>
          <w:szCs w:val="32"/>
          <w:lang w:val="en-US" w:eastAsia="zh-CN"/>
        </w:rPr>
        <w:t>困难和问题：</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b/>
          <w:bCs/>
          <w:sz w:val="32"/>
          <w:szCs w:val="32"/>
          <w:lang w:val="en-US" w:eastAsia="zh-CN"/>
        </w:rPr>
        <w:t>是</w:t>
      </w:r>
      <w:r>
        <w:rPr>
          <w:rFonts w:hint="default" w:ascii="Times New Roman" w:hAnsi="Times New Roman" w:eastAsia="仿宋_GB2312" w:cs="Times New Roman"/>
          <w:sz w:val="32"/>
          <w:szCs w:val="32"/>
          <w:lang w:val="en-US" w:eastAsia="zh-CN"/>
        </w:rPr>
        <w:t>财源</w:t>
      </w:r>
      <w:r>
        <w:rPr>
          <w:rFonts w:hint="eastAsia" w:ascii="Times New Roman" w:hAnsi="Times New Roman" w:eastAsia="仿宋_GB2312" w:cs="Times New Roman"/>
          <w:sz w:val="32"/>
          <w:szCs w:val="32"/>
          <w:lang w:val="en-US" w:eastAsia="zh-CN"/>
        </w:rPr>
        <w:t>基础还不够牢固</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增收的大项目好项目不多，</w:t>
      </w:r>
      <w:r>
        <w:rPr>
          <w:rFonts w:hint="default" w:ascii="Times New Roman" w:hAnsi="Times New Roman" w:eastAsia="仿宋_GB2312" w:cs="Times New Roman"/>
          <w:sz w:val="32"/>
          <w:szCs w:val="32"/>
          <w:lang w:val="en-US" w:eastAsia="zh-CN"/>
        </w:rPr>
        <w:t>收入增长压力较大；</w:t>
      </w:r>
      <w:r>
        <w:rPr>
          <w:rFonts w:hint="eastAsia"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刚性支出增长较快，债务还本付息压力突出，财政运行“紧平衡”状态仍将</w:t>
      </w:r>
      <w:r>
        <w:rPr>
          <w:rFonts w:hint="eastAsia" w:ascii="Times New Roman" w:hAnsi="Times New Roman" w:eastAsia="仿宋_GB2312" w:cs="Times New Roman"/>
          <w:sz w:val="32"/>
          <w:szCs w:val="32"/>
          <w:lang w:val="en-US" w:eastAsia="zh-CN"/>
        </w:rPr>
        <w:t>延续；</w:t>
      </w:r>
      <w:r>
        <w:rPr>
          <w:rFonts w:hint="eastAsia"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sz w:val="32"/>
          <w:szCs w:val="32"/>
          <w:lang w:val="en-US" w:eastAsia="zh-CN"/>
        </w:rPr>
        <w:t>老观念</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旧机制已不适应发展新要求，项目供地、园区建设、招商引资等方面有待进一步改进和完善；</w:t>
      </w:r>
      <w:r>
        <w:rPr>
          <w:rFonts w:hint="eastAsia" w:ascii="Times New Roman" w:hAnsi="Times New Roman" w:eastAsia="仿宋_GB2312" w:cs="Times New Roman"/>
          <w:b/>
          <w:bCs/>
          <w:sz w:val="32"/>
          <w:szCs w:val="32"/>
          <w:lang w:val="en-US" w:eastAsia="zh-CN"/>
        </w:rPr>
        <w:t>四是</w:t>
      </w:r>
      <w:r>
        <w:rPr>
          <w:rFonts w:hint="eastAsia" w:ascii="Times New Roman" w:hAnsi="Times New Roman" w:eastAsia="仿宋_GB2312" w:cs="Times New Roman"/>
          <w:sz w:val="32"/>
          <w:szCs w:val="32"/>
          <w:lang w:val="en-US" w:eastAsia="zh-CN"/>
        </w:rPr>
        <w:t>基层财会力量薄弱，预算编制和执行还不够精准、科学，专业素质有待提升。</w:t>
      </w:r>
      <w:r>
        <w:rPr>
          <w:rFonts w:hint="default" w:ascii="Times New Roman" w:hAnsi="Times New Roman" w:eastAsia="仿宋_GB2312" w:cs="Times New Roman"/>
          <w:sz w:val="32"/>
          <w:szCs w:val="32"/>
          <w:lang w:val="en-US" w:eastAsia="zh-CN"/>
        </w:rPr>
        <w:t>对于这些问题，我们将</w:t>
      </w:r>
      <w:r>
        <w:rPr>
          <w:rFonts w:hint="eastAsia" w:ascii="Times New Roman" w:hAnsi="Times New Roman" w:eastAsia="仿宋_GB2312" w:cs="Times New Roman"/>
          <w:sz w:val="32"/>
          <w:szCs w:val="32"/>
          <w:lang w:val="en-US" w:eastAsia="zh-CN"/>
        </w:rPr>
        <w:t>认真研究</w:t>
      </w:r>
      <w:r>
        <w:rPr>
          <w:rFonts w:hint="default" w:ascii="Times New Roman" w:hAnsi="Times New Roman" w:eastAsia="仿宋_GB2312" w:cs="Times New Roman"/>
          <w:sz w:val="32"/>
          <w:szCs w:val="32"/>
          <w:lang w:val="en-US" w:eastAsia="zh-CN"/>
        </w:rPr>
        <w:t>，采取措施加以解决。</w:t>
      </w:r>
    </w:p>
    <w:p w14:paraId="4D989580">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leftChars="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二、2025年区级财政预算草案</w:t>
      </w:r>
    </w:p>
    <w:p w14:paraId="265624A6">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lef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2025年预算编制的指导思想是：以习近平新时代中国特色社会主义思想为指导，全面贯彻党的二十大和二十届</w:t>
      </w:r>
      <w:r>
        <w:rPr>
          <w:rFonts w:hint="eastAsia" w:ascii="Times New Roman" w:hAnsi="Times New Roman" w:cs="Times New Roman"/>
          <w:sz w:val="32"/>
          <w:szCs w:val="32"/>
          <w:lang w:val="en-US" w:eastAsia="zh-CN" w:bidi="ar-SA"/>
        </w:rPr>
        <w:t>二中、</w:t>
      </w:r>
      <w:r>
        <w:rPr>
          <w:rFonts w:hint="default" w:ascii="Times New Roman" w:hAnsi="Times New Roman" w:eastAsia="仿宋_GB2312" w:cs="Times New Roman"/>
          <w:sz w:val="32"/>
          <w:szCs w:val="32"/>
          <w:lang w:val="en-US" w:eastAsia="zh-CN" w:bidi="ar-SA"/>
        </w:rPr>
        <w:t>三中全会精神，落实中央、省、市、区决策部署和深化预算管理制度改革有关要求，坚持稳字当头、稳中求进工作总基调，把握积极财政政策持续用力、更加给力的政策机遇，加快产业转型升级，巩固和增强经济回升向好态势，促进财税收入实现质的有效提升和量的合理增长；坚持党政机关</w:t>
      </w:r>
      <w:r>
        <w:rPr>
          <w:rFonts w:hint="eastAsia" w:ascii="Times New Roman" w:hAnsi="Times New Roman" w:cs="Times New Roman"/>
          <w:sz w:val="32"/>
          <w:szCs w:val="32"/>
          <w:lang w:val="en-US" w:eastAsia="zh-CN" w:bidi="ar-SA"/>
        </w:rPr>
        <w:t>带头</w:t>
      </w:r>
      <w:r>
        <w:rPr>
          <w:rFonts w:hint="default" w:ascii="Times New Roman" w:hAnsi="Times New Roman" w:eastAsia="仿宋_GB2312" w:cs="Times New Roman"/>
          <w:sz w:val="32"/>
          <w:szCs w:val="32"/>
          <w:lang w:val="en-US" w:eastAsia="zh-CN" w:bidi="ar-SA"/>
        </w:rPr>
        <w:t>过</w:t>
      </w:r>
      <w:r>
        <w:rPr>
          <w:rFonts w:hint="eastAsia" w:ascii="Times New Roman" w:hAnsi="Times New Roman" w:cs="Times New Roman"/>
          <w:sz w:val="32"/>
          <w:szCs w:val="32"/>
          <w:lang w:val="en-US" w:eastAsia="zh-CN" w:bidi="ar-SA"/>
        </w:rPr>
        <w:t>“</w:t>
      </w:r>
      <w:r>
        <w:rPr>
          <w:rFonts w:hint="default" w:ascii="Times New Roman" w:hAnsi="Times New Roman" w:eastAsia="仿宋_GB2312" w:cs="Times New Roman"/>
          <w:sz w:val="32"/>
          <w:szCs w:val="32"/>
          <w:lang w:val="en-US" w:eastAsia="zh-CN" w:bidi="ar-SA"/>
        </w:rPr>
        <w:t>紧日子</w:t>
      </w:r>
      <w:r>
        <w:rPr>
          <w:rFonts w:hint="eastAsia" w:ascii="Times New Roman" w:hAnsi="Times New Roman" w:cs="Times New Roman"/>
          <w:sz w:val="32"/>
          <w:szCs w:val="32"/>
          <w:lang w:val="en-US" w:eastAsia="zh-CN" w:bidi="ar-SA"/>
        </w:rPr>
        <w:t>”</w:t>
      </w:r>
      <w:r>
        <w:rPr>
          <w:rFonts w:hint="default" w:ascii="Times New Roman" w:hAnsi="Times New Roman" w:eastAsia="仿宋_GB2312" w:cs="Times New Roman"/>
          <w:sz w:val="32"/>
          <w:szCs w:val="32"/>
          <w:lang w:val="en-US" w:eastAsia="zh-CN" w:bidi="ar-SA"/>
        </w:rPr>
        <w:t>，精打细算统筹资源，加强“三保”和大事要事支出保障能力；全面深化零基预算改革，加快现代理财机制建设，提升财政治理效能；坚持底线思维，加强政府债务管理，有效防范化解重大风险，为“营造活力高新、建设现代天元”提供有力财政保障。</w:t>
      </w:r>
    </w:p>
    <w:p w14:paraId="1C96D1A4">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leftChars="0" w:firstLine="640" w:firstLineChars="200"/>
        <w:jc w:val="both"/>
        <w:textAlignment w:val="auto"/>
        <w:rPr>
          <w:rFonts w:hint="default" w:ascii="Times New Roman" w:hAnsi="Times New Roman" w:eastAsia="仿宋_GB2312" w:cs="Times New Roman"/>
          <w:b/>
          <w:bCs/>
          <w:sz w:val="32"/>
          <w:szCs w:val="32"/>
          <w:lang w:val="en-US" w:eastAsia="zh-CN" w:bidi="ar-SA"/>
        </w:rPr>
      </w:pPr>
      <w:r>
        <w:rPr>
          <w:rFonts w:hint="default" w:ascii="Times New Roman" w:hAnsi="Times New Roman" w:eastAsia="仿宋_GB2312" w:cs="Times New Roman"/>
          <w:sz w:val="32"/>
          <w:szCs w:val="32"/>
          <w:lang w:val="en-US" w:eastAsia="zh-CN" w:bidi="ar-SA"/>
        </w:rPr>
        <w:t>按照上述指导思想，2025年区本级财政预算编制的原则是：依法依规，零基预算；勤俭节约，强化统筹；</w:t>
      </w:r>
      <w:r>
        <w:rPr>
          <w:rFonts w:hint="eastAsia" w:ascii="Times New Roman" w:hAnsi="Times New Roman" w:cs="Times New Roman"/>
          <w:sz w:val="32"/>
          <w:szCs w:val="32"/>
          <w:lang w:val="en-US" w:eastAsia="zh-CN" w:bidi="ar-SA"/>
        </w:rPr>
        <w:t>“</w:t>
      </w:r>
      <w:r>
        <w:rPr>
          <w:rFonts w:hint="default" w:ascii="Times New Roman" w:hAnsi="Times New Roman" w:eastAsia="仿宋_GB2312" w:cs="Times New Roman"/>
          <w:sz w:val="32"/>
          <w:szCs w:val="32"/>
          <w:lang w:val="en-US" w:eastAsia="zh-CN" w:bidi="ar-SA"/>
        </w:rPr>
        <w:t>三保</w:t>
      </w:r>
      <w:r>
        <w:rPr>
          <w:rFonts w:hint="eastAsia" w:ascii="Times New Roman" w:hAnsi="Times New Roman" w:cs="Times New Roman"/>
          <w:sz w:val="32"/>
          <w:szCs w:val="32"/>
          <w:lang w:val="en-US" w:eastAsia="zh-CN" w:bidi="ar-SA"/>
        </w:rPr>
        <w:t>”</w:t>
      </w:r>
      <w:r>
        <w:rPr>
          <w:rFonts w:hint="default" w:ascii="Times New Roman" w:hAnsi="Times New Roman" w:eastAsia="仿宋_GB2312" w:cs="Times New Roman"/>
          <w:sz w:val="32"/>
          <w:szCs w:val="32"/>
          <w:lang w:val="en-US" w:eastAsia="zh-CN" w:bidi="ar-SA"/>
        </w:rPr>
        <w:t>优先，突出重点；强化管理，讲求绩效。总体思路和改革重点是：聚焦一个主题，树牢两种思想，深化四项改革，严格六项管理。</w:t>
      </w:r>
    </w:p>
    <w:p w14:paraId="53350607">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leftChars="0" w:firstLine="643" w:firstLineChars="200"/>
        <w:jc w:val="both"/>
        <w:textAlignment w:val="auto"/>
        <w:rPr>
          <w:rFonts w:hint="default" w:ascii="Times New Roman" w:hAnsi="Times New Roman" w:eastAsia="仿宋_GB2312" w:cs="Times New Roman"/>
          <w:b/>
          <w:bCs/>
          <w:sz w:val="32"/>
          <w:szCs w:val="32"/>
          <w:lang w:val="en-US" w:eastAsia="zh-CN" w:bidi="ar-SA"/>
        </w:rPr>
      </w:pPr>
      <w:r>
        <w:rPr>
          <w:rFonts w:hint="default" w:ascii="Times New Roman" w:hAnsi="Times New Roman" w:eastAsia="仿宋_GB2312" w:cs="Times New Roman"/>
          <w:b/>
          <w:bCs/>
          <w:sz w:val="32"/>
          <w:szCs w:val="32"/>
          <w:lang w:val="en-US" w:eastAsia="zh-CN" w:bidi="ar-SA"/>
        </w:rPr>
        <w:t>2025年区级“四本预算”编制情况</w:t>
      </w:r>
    </w:p>
    <w:p w14:paraId="51D67A34">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leftChars="0" w:firstLine="640" w:firstLineChars="20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（一）一般公共预算</w:t>
      </w:r>
    </w:p>
    <w:p w14:paraId="30BFC65D">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lef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综合考虑省市预期增长目标和我区经济社会发展各方面因素，建议2025年地方一般公共预算收入预期增长目标为3%左右，预计地方一般公共预算收入为43.2亿元，其中：地方税收收入为36.6亿元，增长4%左右。</w:t>
      </w:r>
    </w:p>
    <w:p w14:paraId="402EBB22">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lef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地方收入形成的财力32.44亿元加上级补助收入11.12亿元、调入预算稳定调节基金2.5亿元，减去上解上级支出24.23亿元，预计2025年一般公共预算可支配财力21.83亿元。</w:t>
      </w:r>
    </w:p>
    <w:p w14:paraId="04A54416">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lef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按照收支平衡的原则，2025年一般公共预算支出安排46.04亿元，其中：①可支配财力安排一般公共预算支出21.83亿元；同比增加0.93亿元，与预算单位的实际工作需求差距较大，预算安排总体偏紧，“紧运行和紧平衡”仍是当前财政的显著特点。②政策性列收列支安排专项支出10.5亿元。③土地出让收入调入安排专项支出5.9亿元（一般债券付息支出和政府公益性项目建设）。④提前下达转移支付及预估安排支出3.81亿元。⑤上年结转指标预计安排支出4亿元。</w:t>
      </w:r>
    </w:p>
    <w:p w14:paraId="7FA753CC">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lef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当年可支配财力21.83亿元，具体支出安排情况如下：</w:t>
      </w:r>
    </w:p>
    <w:p w14:paraId="1E583E1B">
      <w:pPr>
        <w:pStyle w:val="4"/>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line="580" w:lineRule="exact"/>
        <w:ind w:lef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保工资支出9.06亿元，较上年增加0.81亿元。增加的主要原因是增人（主要是教育系统）相应增加人员经费和预留行政事业单位干部职工基本工资普调经费。</w:t>
      </w:r>
    </w:p>
    <w:p w14:paraId="212B1EE1">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lef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eastAsia" w:ascii="Times New Roman" w:hAnsi="Times New Roman" w:cs="Times New Roman"/>
          <w:sz w:val="32"/>
          <w:szCs w:val="32"/>
          <w:lang w:val="en-US" w:eastAsia="zh-CN" w:bidi="ar-SA"/>
        </w:rPr>
        <w:t xml:space="preserve">2. </w:t>
      </w:r>
      <w:r>
        <w:rPr>
          <w:rFonts w:hint="default" w:ascii="Times New Roman" w:hAnsi="Times New Roman" w:eastAsia="仿宋_GB2312" w:cs="Times New Roman"/>
          <w:sz w:val="32"/>
          <w:szCs w:val="32"/>
          <w:lang w:val="en-US" w:eastAsia="zh-CN" w:bidi="ar-SA"/>
        </w:rPr>
        <w:t>保运转支出1.13亿元，比上年增加0.1亿元。增加的主要原因是按政策增加安排聘用教师的人员经费0.04亿元。公用经费继续坚持分级分档、定员定额从紧安排，较上年</w:t>
      </w:r>
      <w:r>
        <w:rPr>
          <w:rFonts w:hint="eastAsia" w:ascii="Times New Roman" w:hAnsi="Times New Roman" w:cs="Times New Roman"/>
          <w:sz w:val="32"/>
          <w:szCs w:val="32"/>
          <w:lang w:val="en-US" w:eastAsia="zh-CN" w:bidi="ar-SA"/>
        </w:rPr>
        <w:t>又</w:t>
      </w:r>
      <w:r>
        <w:rPr>
          <w:rFonts w:hint="default" w:ascii="Times New Roman" w:hAnsi="Times New Roman" w:eastAsia="仿宋_GB2312" w:cs="Times New Roman"/>
          <w:sz w:val="32"/>
          <w:szCs w:val="32"/>
          <w:lang w:val="en-US" w:eastAsia="zh-CN" w:bidi="ar-SA"/>
        </w:rPr>
        <w:t>压减了10%左右，压减</w:t>
      </w:r>
      <w:r>
        <w:rPr>
          <w:rFonts w:hint="eastAsia" w:ascii="Times New Roman" w:hAnsi="Times New Roman" w:cs="Times New Roman"/>
          <w:sz w:val="32"/>
          <w:szCs w:val="32"/>
          <w:lang w:val="en-US" w:eastAsia="zh-CN" w:bidi="ar-SA"/>
        </w:rPr>
        <w:t>金额</w:t>
      </w:r>
      <w:r>
        <w:rPr>
          <w:rFonts w:hint="default" w:ascii="Times New Roman" w:hAnsi="Times New Roman" w:eastAsia="仿宋_GB2312" w:cs="Times New Roman"/>
          <w:sz w:val="32"/>
          <w:szCs w:val="32"/>
          <w:lang w:val="en-US" w:eastAsia="zh-CN" w:bidi="ar-SA"/>
        </w:rPr>
        <w:t>0.03亿元，进一步落实落细过“紧日子”规定。</w:t>
      </w:r>
    </w:p>
    <w:p w14:paraId="5065BAC6">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lef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3. 有保有压统筹安排项目支出。按照“以收定支、以事定钱”原则，用可支配财力安排项目支出11.64亿元，较上年增加0.11亿元。分类安排情况如下：</w:t>
      </w:r>
    </w:p>
    <w:p w14:paraId="3776521F">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lef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 xml:space="preserve">（1）保基本民生支出2.24亿元。主要包括：农垦企业养老保险补贴专项经费5962万元；城乡居民医疗保险区级财政补助2352万元；医疗救助区级财政补助160万元；国家基本公共卫生服务项目经费864万元；城乡居民养老保险区级财政补助884万元；义务教育保障机制专项资金982万元；社区运转4240万元；村级运转经费1271万元；高龄生活补贴669万元；计生利益导向经费664万元；学前教育生均公用经费394万元；义务兵家庭优待金167万元；困难群众救助资金660万元；乡镇工作补贴587万元；机关养老保险财政补助500万元；学校提质改造经费300万元；残疾人两项补贴246万元；退役士兵安置补助285万元；优抚经费257万元；教育公交专线172万元；城乡客运一体化运营补贴300万元。 </w:t>
      </w:r>
    </w:p>
    <w:p w14:paraId="0234DFF4">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lef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（2）保政府债务还本付息支出1.99亿元，比上年增加还本付息支出0.02亿元。政府一般债券利息支出1.79亿元（其中土地收入统筹财力安排0.65亿元）。</w:t>
      </w:r>
    </w:p>
    <w:p w14:paraId="6861A9C7">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lef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 xml:space="preserve">（3）地方“三保”支出1.51亿元。一是辅警、消防、网格员和政府雇员等编外人员经费1.03亿元；主要项目是：辅警经费2286万元；网格化服务管理中心工作经费1085万元；司法辅助经费605万元；校园保安经费860万元；班主任津贴480万元；离任村干部补贴225万元；政府雇员薪酬726万元；校医人员经费264万元；特定人群专项经费896万元；“五类人员”援助岗位补贴165万元；二是保城乡正常运转必需的支出0.48亿元。主要包括：大楼运转经费946万元；行政运转补助经费1023万元；服务大厅运转费用816万元；排渍站污水处理泵站维护项目200万元。                         </w:t>
      </w:r>
    </w:p>
    <w:p w14:paraId="68961FDC">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lef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（4）大事要事支出</w:t>
      </w:r>
      <w:r>
        <w:rPr>
          <w:rFonts w:hint="eastAsia" w:ascii="Times New Roman" w:hAnsi="Times New Roman" w:cs="Times New Roman"/>
          <w:sz w:val="32"/>
          <w:szCs w:val="32"/>
          <w:lang w:val="en-US" w:eastAsia="zh-CN" w:bidi="ar-SA"/>
        </w:rPr>
        <w:t>5.07</w:t>
      </w:r>
      <w:r>
        <w:rPr>
          <w:rFonts w:hint="default" w:ascii="Times New Roman" w:hAnsi="Times New Roman" w:eastAsia="仿宋_GB2312" w:cs="Times New Roman"/>
          <w:sz w:val="32"/>
          <w:szCs w:val="32"/>
          <w:lang w:val="en-US" w:eastAsia="zh-CN" w:bidi="ar-SA"/>
        </w:rPr>
        <w:t>亿元。一是产业生态体系构建专项支出1.61亿元。主要包括：产业生态构建专项经费12000万元；知识价值信用贷风险补偿金2000万元；科技担风险补偿资金1000万元；人才专项经费1000万元。二是人居生态体系构建专项支出1.7亿元。主要包括：城市服务一体化经费10000万元；人居生态构建专项经费2000万元；残疾人就业保障金490万元；养老事业专项180万元；卫生事业发展专项792万元；老旧小区改造900万元；既有住宅加装电梯专项补贴430万元；教育高质量发展专项2194万元。三是其他重点专项支出1.</w:t>
      </w:r>
      <w:r>
        <w:rPr>
          <w:rFonts w:hint="eastAsia" w:ascii="Times New Roman" w:hAnsi="Times New Roman" w:cs="Times New Roman"/>
          <w:sz w:val="32"/>
          <w:szCs w:val="32"/>
          <w:lang w:val="en-US" w:eastAsia="zh-CN" w:bidi="ar-SA"/>
        </w:rPr>
        <w:t>76</w:t>
      </w:r>
      <w:r>
        <w:rPr>
          <w:rFonts w:hint="default" w:ascii="Times New Roman" w:hAnsi="Times New Roman" w:eastAsia="仿宋_GB2312" w:cs="Times New Roman"/>
          <w:sz w:val="32"/>
          <w:szCs w:val="32"/>
          <w:lang w:val="en-US" w:eastAsia="zh-CN" w:bidi="ar-SA"/>
        </w:rPr>
        <w:t>亿元。主要项目是：城市维护经费2523万元； 镇办业务专项经费1000万元；镇街非税专项470万元；农村道路建设项目经费400万元；城市基础设施建设项目经费3500万元；税务征收经费3700万元；水环境综合整治100万元；全区投资与项目包装工作经费</w:t>
      </w:r>
      <w:r>
        <w:rPr>
          <w:rFonts w:hint="eastAsia" w:ascii="Times New Roman" w:hAnsi="Times New Roman" w:cs="Times New Roman"/>
          <w:sz w:val="32"/>
          <w:szCs w:val="32"/>
          <w:lang w:val="en-US" w:eastAsia="zh-CN" w:bidi="ar-SA"/>
        </w:rPr>
        <w:t>2000</w:t>
      </w:r>
      <w:r>
        <w:rPr>
          <w:rFonts w:hint="default" w:ascii="Times New Roman" w:hAnsi="Times New Roman" w:eastAsia="仿宋_GB2312" w:cs="Times New Roman"/>
          <w:sz w:val="32"/>
          <w:szCs w:val="32"/>
          <w:lang w:val="en-US" w:eastAsia="zh-CN" w:bidi="ar-SA"/>
        </w:rPr>
        <w:t xml:space="preserve">万元；市场主体培育专项200万元；公车平台运行费310万元；人武专项320万元；农田水利建设专项300万元。  </w:t>
      </w:r>
    </w:p>
    <w:p w14:paraId="2C4C7B08">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lef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（5）部门必须开展的其他事业发展专项支出0.58亿元。主要是：招商专项270万元；动力谷展示、研发中心运营补贴260万元；基层医疗卫生机构收支补差经费800万元；水利工程建设专项200万元；禁毒专项200万元。</w:t>
      </w:r>
    </w:p>
    <w:p w14:paraId="09063666">
      <w:pPr>
        <w:keepNext w:val="0"/>
        <w:keepLines w:val="0"/>
        <w:pageBreakBefore w:val="0"/>
        <w:widowControl w:val="0"/>
        <w:kinsoku/>
        <w:wordWrap/>
        <w:overflowPunct/>
        <w:topLinePunct w:val="0"/>
        <w:autoSpaceDE/>
        <w:autoSpaceDN/>
        <w:bidi w:val="0"/>
        <w:spacing w:line="579" w:lineRule="exact"/>
        <w:ind w:left="0" w:right="0" w:firstLine="640" w:firstLineChars="200"/>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（6）安排预备费</w:t>
      </w:r>
      <w:r>
        <w:rPr>
          <w:rFonts w:hint="eastAsia" w:eastAsia="仿宋_GB2312" w:cs="Times New Roman"/>
          <w:sz w:val="32"/>
          <w:szCs w:val="32"/>
          <w:lang w:val="en-US" w:eastAsia="zh-CN" w:bidi="ar-SA"/>
        </w:rPr>
        <w:t>0.9</w:t>
      </w:r>
      <w:bookmarkStart w:id="1" w:name="_GoBack"/>
      <w:bookmarkEnd w:id="1"/>
      <w:r>
        <w:rPr>
          <w:rFonts w:hint="default" w:ascii="Times New Roman" w:hAnsi="Times New Roman" w:eastAsia="仿宋_GB2312" w:cs="Times New Roman"/>
          <w:sz w:val="32"/>
          <w:szCs w:val="32"/>
          <w:lang w:val="en-US" w:eastAsia="zh-CN" w:bidi="ar-SA"/>
        </w:rPr>
        <w:t>亿元，用于预算执行中的自然灾害等突发事件处理增加的支出以及难以预见的开支。</w:t>
      </w:r>
    </w:p>
    <w:p w14:paraId="33F77BF8">
      <w:pPr>
        <w:keepNext w:val="0"/>
        <w:keepLines w:val="0"/>
        <w:pageBreakBefore w:val="0"/>
        <w:widowControl w:val="0"/>
        <w:kinsoku/>
        <w:wordWrap/>
        <w:overflowPunct/>
        <w:topLinePunct w:val="0"/>
        <w:autoSpaceDE/>
        <w:autoSpaceDN/>
        <w:bidi w:val="0"/>
        <w:spacing w:line="579" w:lineRule="exact"/>
        <w:ind w:left="0" w:right="0" w:firstLine="640" w:firstLineChars="200"/>
        <w:textAlignment w:val="auto"/>
        <w:rPr>
          <w:rFonts w:hint="default" w:ascii="楷体_GB2312" w:hAnsi="楷体_GB2312" w:eastAsia="楷体_GB2312" w:cs="楷体_GB2312"/>
          <w:kern w:val="2"/>
          <w:sz w:val="32"/>
          <w:szCs w:val="32"/>
          <w:lang w:val="en-US" w:eastAsia="zh-CN" w:bidi="ar-SA"/>
        </w:rPr>
      </w:pPr>
      <w:r>
        <w:rPr>
          <w:rFonts w:hint="default" w:ascii="楷体_GB2312" w:hAnsi="楷体_GB2312" w:eastAsia="楷体_GB2312" w:cs="楷体_GB2312"/>
          <w:kern w:val="2"/>
          <w:sz w:val="32"/>
          <w:szCs w:val="32"/>
          <w:lang w:val="en-US" w:eastAsia="zh-CN" w:bidi="ar-SA"/>
        </w:rPr>
        <w:t>（二）政府性基金预算</w:t>
      </w:r>
    </w:p>
    <w:p w14:paraId="36AB0C03">
      <w:pPr>
        <w:keepNext w:val="0"/>
        <w:keepLines w:val="0"/>
        <w:pageBreakBefore w:val="0"/>
        <w:widowControl w:val="0"/>
        <w:kinsoku/>
        <w:wordWrap/>
        <w:overflowPunct/>
        <w:topLinePunct w:val="0"/>
        <w:autoSpaceDE/>
        <w:autoSpaceDN/>
        <w:bidi w:val="0"/>
        <w:spacing w:line="579" w:lineRule="exact"/>
        <w:ind w:left="0" w:right="0" w:firstLine="640" w:firstLineChars="200"/>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202</w:t>
      </w:r>
      <w:r>
        <w:rPr>
          <w:rFonts w:hint="eastAsia" w:ascii="Times New Roman" w:hAnsi="Times New Roman" w:eastAsia="仿宋_GB2312" w:cs="Times New Roman"/>
          <w:sz w:val="32"/>
          <w:szCs w:val="32"/>
          <w:lang w:val="en-US" w:eastAsia="zh-CN" w:bidi="ar-SA"/>
        </w:rPr>
        <w:t>5</w:t>
      </w:r>
      <w:r>
        <w:rPr>
          <w:rFonts w:hint="default" w:ascii="Times New Roman" w:hAnsi="Times New Roman" w:eastAsia="仿宋_GB2312" w:cs="Times New Roman"/>
          <w:sz w:val="32"/>
          <w:szCs w:val="32"/>
          <w:lang w:val="en-US" w:eastAsia="zh-CN" w:bidi="ar-SA"/>
        </w:rPr>
        <w:t>年政府性基金收入预算安排</w:t>
      </w:r>
      <w:r>
        <w:rPr>
          <w:rFonts w:hint="eastAsia" w:ascii="Times New Roman" w:hAnsi="Times New Roman" w:eastAsia="仿宋_GB2312" w:cs="Times New Roman"/>
          <w:sz w:val="32"/>
          <w:szCs w:val="32"/>
          <w:lang w:val="en-US" w:eastAsia="zh-CN" w:bidi="ar-SA"/>
        </w:rPr>
        <w:t>18.35</w:t>
      </w:r>
      <w:r>
        <w:rPr>
          <w:rFonts w:hint="default" w:ascii="Times New Roman" w:hAnsi="Times New Roman" w:eastAsia="仿宋_GB2312" w:cs="Times New Roman"/>
          <w:sz w:val="32"/>
          <w:szCs w:val="32"/>
          <w:lang w:val="en-US" w:eastAsia="zh-CN" w:bidi="ar-SA"/>
        </w:rPr>
        <w:t>亿元，其中：国有土地使用权出让收入安排</w:t>
      </w:r>
      <w:r>
        <w:rPr>
          <w:rFonts w:hint="eastAsia" w:ascii="Times New Roman" w:hAnsi="Times New Roman" w:eastAsia="仿宋_GB2312" w:cs="Times New Roman"/>
          <w:sz w:val="32"/>
          <w:szCs w:val="32"/>
          <w:lang w:val="en-US" w:eastAsia="zh-CN" w:bidi="ar-SA"/>
        </w:rPr>
        <w:t>17.36</w:t>
      </w:r>
      <w:r>
        <w:rPr>
          <w:rFonts w:hint="default" w:ascii="Times New Roman" w:hAnsi="Times New Roman" w:eastAsia="仿宋_GB2312" w:cs="Times New Roman"/>
          <w:sz w:val="32"/>
          <w:szCs w:val="32"/>
          <w:lang w:val="en-US" w:eastAsia="zh-CN" w:bidi="ar-SA"/>
        </w:rPr>
        <w:t>亿元</w:t>
      </w:r>
      <w:r>
        <w:rPr>
          <w:rFonts w:hint="eastAsia" w:ascii="Times New Roman" w:hAnsi="Times New Roman" w:eastAsia="仿宋_GB2312" w:cs="Times New Roman"/>
          <w:sz w:val="32"/>
          <w:szCs w:val="32"/>
          <w:lang w:val="en-US" w:eastAsia="zh-CN" w:bidi="ar-SA"/>
        </w:rPr>
        <w:t>，其他政府性基金专项债对应项目专项收入0.99亿元，政府性基金收入总计18.35亿元</w:t>
      </w:r>
      <w:r>
        <w:rPr>
          <w:rFonts w:hint="default" w:ascii="Times New Roman" w:hAnsi="Times New Roman" w:eastAsia="仿宋_GB2312" w:cs="Times New Roman"/>
          <w:sz w:val="32"/>
          <w:szCs w:val="32"/>
          <w:lang w:val="en-US" w:eastAsia="zh-CN" w:bidi="ar-SA"/>
        </w:rPr>
        <w:t>。</w:t>
      </w:r>
    </w:p>
    <w:p w14:paraId="535CD3C2">
      <w:pPr>
        <w:keepNext w:val="0"/>
        <w:keepLines w:val="0"/>
        <w:pageBreakBefore w:val="0"/>
        <w:widowControl w:val="0"/>
        <w:kinsoku/>
        <w:wordWrap/>
        <w:overflowPunct/>
        <w:topLinePunct w:val="0"/>
        <w:autoSpaceDE/>
        <w:autoSpaceDN/>
        <w:bidi w:val="0"/>
        <w:spacing w:line="579" w:lineRule="exact"/>
        <w:ind w:left="0" w:right="0" w:firstLine="640" w:firstLineChars="200"/>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202</w:t>
      </w:r>
      <w:r>
        <w:rPr>
          <w:rFonts w:hint="eastAsia" w:ascii="Times New Roman" w:hAnsi="Times New Roman" w:eastAsia="仿宋_GB2312" w:cs="Times New Roman"/>
          <w:sz w:val="32"/>
          <w:szCs w:val="32"/>
          <w:lang w:val="en-US" w:eastAsia="zh-CN" w:bidi="ar-SA"/>
        </w:rPr>
        <w:t>5</w:t>
      </w:r>
      <w:r>
        <w:rPr>
          <w:rFonts w:hint="default" w:ascii="Times New Roman" w:hAnsi="Times New Roman" w:eastAsia="仿宋_GB2312" w:cs="Times New Roman"/>
          <w:sz w:val="32"/>
          <w:szCs w:val="32"/>
          <w:lang w:val="en-US" w:eastAsia="zh-CN" w:bidi="ar-SA"/>
        </w:rPr>
        <w:t>年政府性基金支出预算安排</w:t>
      </w:r>
      <w:r>
        <w:rPr>
          <w:rFonts w:hint="eastAsia" w:ascii="Times New Roman" w:hAnsi="Times New Roman" w:eastAsia="仿宋_GB2312" w:cs="Times New Roman"/>
          <w:sz w:val="32"/>
          <w:szCs w:val="32"/>
          <w:lang w:val="en-US" w:eastAsia="zh-CN" w:bidi="ar-SA"/>
        </w:rPr>
        <w:t>12.45</w:t>
      </w:r>
      <w:r>
        <w:rPr>
          <w:rFonts w:hint="default" w:ascii="Times New Roman" w:hAnsi="Times New Roman" w:eastAsia="仿宋_GB2312" w:cs="Times New Roman"/>
          <w:sz w:val="32"/>
          <w:szCs w:val="32"/>
          <w:lang w:val="en-US" w:eastAsia="zh-CN" w:bidi="ar-SA"/>
        </w:rPr>
        <w:t>亿元，其中：国有土地使用权出让收入安排支出</w:t>
      </w:r>
      <w:r>
        <w:rPr>
          <w:rFonts w:hint="eastAsia" w:ascii="Times New Roman" w:hAnsi="Times New Roman" w:eastAsia="仿宋_GB2312" w:cs="Times New Roman"/>
          <w:sz w:val="32"/>
          <w:szCs w:val="32"/>
          <w:lang w:val="en-US" w:eastAsia="zh-CN" w:bidi="ar-SA"/>
        </w:rPr>
        <w:t>12.45</w:t>
      </w:r>
      <w:r>
        <w:rPr>
          <w:rFonts w:hint="default" w:ascii="Times New Roman" w:hAnsi="Times New Roman" w:eastAsia="仿宋_GB2312" w:cs="Times New Roman"/>
          <w:sz w:val="32"/>
          <w:szCs w:val="32"/>
          <w:lang w:val="en-US" w:eastAsia="zh-CN" w:bidi="ar-SA"/>
        </w:rPr>
        <w:t>亿元，主要用于专项债券还本付息</w:t>
      </w:r>
      <w:r>
        <w:rPr>
          <w:rFonts w:hint="eastAsia" w:ascii="Times New Roman" w:hAnsi="Times New Roman" w:eastAsia="仿宋_GB2312" w:cs="Times New Roman"/>
          <w:sz w:val="32"/>
          <w:szCs w:val="32"/>
          <w:lang w:val="en-US" w:eastAsia="zh-CN" w:bidi="ar-SA"/>
        </w:rPr>
        <w:t>和</w:t>
      </w:r>
      <w:r>
        <w:rPr>
          <w:rFonts w:hint="default" w:ascii="Times New Roman" w:hAnsi="Times New Roman" w:eastAsia="仿宋_GB2312" w:cs="Times New Roman"/>
          <w:sz w:val="32"/>
          <w:szCs w:val="32"/>
          <w:lang w:val="en-US" w:eastAsia="zh-CN" w:bidi="ar-SA"/>
        </w:rPr>
        <w:t>支持乡村振兴</w:t>
      </w:r>
      <w:r>
        <w:rPr>
          <w:rFonts w:hint="eastAsia" w:ascii="Times New Roman" w:hAnsi="Times New Roman" w:eastAsia="仿宋_GB2312" w:cs="Times New Roman"/>
          <w:sz w:val="32"/>
          <w:szCs w:val="32"/>
          <w:lang w:val="en-US" w:eastAsia="zh-CN" w:bidi="ar-SA"/>
        </w:rPr>
        <w:t>等</w:t>
      </w:r>
      <w:r>
        <w:rPr>
          <w:rFonts w:hint="default" w:ascii="Times New Roman" w:hAnsi="Times New Roman" w:eastAsia="仿宋_GB2312" w:cs="Times New Roman"/>
          <w:sz w:val="32"/>
          <w:szCs w:val="32"/>
          <w:lang w:val="en-US" w:eastAsia="zh-CN" w:bidi="ar-SA"/>
        </w:rPr>
        <w:t>支出。调入一般公共预算安排</w:t>
      </w:r>
      <w:r>
        <w:rPr>
          <w:rFonts w:hint="eastAsia" w:ascii="Times New Roman" w:hAnsi="Times New Roman" w:eastAsia="仿宋_GB2312" w:cs="Times New Roman"/>
          <w:sz w:val="32"/>
          <w:szCs w:val="32"/>
          <w:lang w:val="en-US" w:eastAsia="zh-CN" w:bidi="ar-SA"/>
        </w:rPr>
        <w:t>5.9</w:t>
      </w:r>
      <w:r>
        <w:rPr>
          <w:rFonts w:hint="default" w:ascii="Times New Roman" w:hAnsi="Times New Roman" w:eastAsia="仿宋_GB2312" w:cs="Times New Roman"/>
          <w:sz w:val="32"/>
          <w:szCs w:val="32"/>
          <w:lang w:val="en-US" w:eastAsia="zh-CN" w:bidi="ar-SA"/>
        </w:rPr>
        <w:t>亿元</w:t>
      </w:r>
      <w:r>
        <w:rPr>
          <w:rFonts w:hint="eastAsia" w:ascii="Times New Roman" w:hAnsi="Times New Roman" w:eastAsia="仿宋_GB2312" w:cs="Times New Roman"/>
          <w:sz w:val="32"/>
          <w:szCs w:val="32"/>
          <w:lang w:val="en-US" w:eastAsia="zh-CN" w:bidi="ar-SA"/>
        </w:rPr>
        <w:t>（政府公益性项目支出5.25亿元，一般债利息支出0.65亿元），政府性基金支出总计18.35亿元</w:t>
      </w:r>
      <w:r>
        <w:rPr>
          <w:rFonts w:hint="default" w:ascii="Times New Roman" w:hAnsi="Times New Roman" w:eastAsia="仿宋_GB2312" w:cs="Times New Roman"/>
          <w:sz w:val="32"/>
          <w:szCs w:val="32"/>
          <w:lang w:val="en-US" w:eastAsia="zh-CN" w:bidi="ar-SA"/>
        </w:rPr>
        <w:t>。</w:t>
      </w:r>
    </w:p>
    <w:p w14:paraId="07225A4D">
      <w:pPr>
        <w:keepNext w:val="0"/>
        <w:keepLines w:val="0"/>
        <w:pageBreakBefore w:val="0"/>
        <w:widowControl w:val="0"/>
        <w:kinsoku/>
        <w:wordWrap/>
        <w:overflowPunct/>
        <w:topLinePunct w:val="0"/>
        <w:autoSpaceDE/>
        <w:autoSpaceDN/>
        <w:bidi w:val="0"/>
        <w:spacing w:line="579" w:lineRule="exact"/>
        <w:ind w:left="0" w:right="0" w:firstLine="640" w:firstLineChars="200"/>
        <w:textAlignment w:val="auto"/>
        <w:rPr>
          <w:rFonts w:hint="default" w:ascii="楷体_GB2312" w:hAnsi="楷体_GB2312" w:eastAsia="楷体_GB2312" w:cs="楷体_GB2312"/>
          <w:kern w:val="2"/>
          <w:sz w:val="32"/>
          <w:szCs w:val="32"/>
          <w:lang w:val="en-US" w:eastAsia="zh-CN" w:bidi="ar-SA"/>
        </w:rPr>
      </w:pPr>
      <w:r>
        <w:rPr>
          <w:rFonts w:hint="default" w:ascii="楷体_GB2312" w:hAnsi="楷体_GB2312" w:eastAsia="楷体_GB2312" w:cs="楷体_GB2312"/>
          <w:kern w:val="2"/>
          <w:sz w:val="32"/>
          <w:szCs w:val="32"/>
          <w:lang w:val="en-US" w:eastAsia="zh-CN" w:bidi="ar-SA"/>
        </w:rPr>
        <w:t>（三）国有资本经营预算</w:t>
      </w:r>
    </w:p>
    <w:p w14:paraId="023488AA">
      <w:pPr>
        <w:keepNext w:val="0"/>
        <w:keepLines w:val="0"/>
        <w:pageBreakBefore w:val="0"/>
        <w:widowControl w:val="0"/>
        <w:kinsoku/>
        <w:wordWrap/>
        <w:overflowPunct/>
        <w:topLinePunct w:val="0"/>
        <w:autoSpaceDE/>
        <w:autoSpaceDN/>
        <w:bidi w:val="0"/>
        <w:spacing w:line="579" w:lineRule="exact"/>
        <w:ind w:left="0" w:right="0" w:firstLine="640" w:firstLineChars="200"/>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202</w:t>
      </w:r>
      <w:r>
        <w:rPr>
          <w:rFonts w:hint="eastAsia" w:ascii="Times New Roman" w:hAnsi="Times New Roman" w:eastAsia="仿宋_GB2312" w:cs="Times New Roman"/>
          <w:sz w:val="32"/>
          <w:szCs w:val="32"/>
          <w:lang w:val="en-US" w:eastAsia="zh-CN" w:bidi="ar-SA"/>
        </w:rPr>
        <w:t>5</w:t>
      </w:r>
      <w:r>
        <w:rPr>
          <w:rFonts w:hint="default" w:ascii="Times New Roman" w:hAnsi="Times New Roman" w:eastAsia="仿宋_GB2312" w:cs="Times New Roman"/>
          <w:sz w:val="32"/>
          <w:szCs w:val="32"/>
          <w:lang w:val="en-US" w:eastAsia="zh-CN" w:bidi="ar-SA"/>
        </w:rPr>
        <w:t>年国有资本经营收入预算安排</w:t>
      </w:r>
      <w:r>
        <w:rPr>
          <w:rFonts w:hint="eastAsia" w:ascii="Times New Roman" w:hAnsi="Times New Roman" w:eastAsia="仿宋_GB2312" w:cs="Times New Roman"/>
          <w:sz w:val="32"/>
          <w:szCs w:val="32"/>
          <w:lang w:val="en-US" w:eastAsia="zh-CN" w:bidi="ar-SA"/>
        </w:rPr>
        <w:t>0.5</w:t>
      </w:r>
      <w:r>
        <w:rPr>
          <w:rFonts w:hint="default" w:ascii="Times New Roman" w:hAnsi="Times New Roman" w:eastAsia="仿宋_GB2312" w:cs="Times New Roman"/>
          <w:sz w:val="32"/>
          <w:szCs w:val="32"/>
          <w:lang w:val="en-US" w:eastAsia="zh-CN" w:bidi="ar-SA"/>
        </w:rPr>
        <w:t>亿元，其中：国有独资企业应上缴的利润</w:t>
      </w:r>
      <w:r>
        <w:rPr>
          <w:rFonts w:hint="eastAsia" w:ascii="Times New Roman" w:hAnsi="Times New Roman" w:eastAsia="仿宋_GB2312" w:cs="Times New Roman"/>
          <w:sz w:val="32"/>
          <w:szCs w:val="32"/>
          <w:lang w:val="en-US" w:eastAsia="zh-CN" w:bidi="ar-SA"/>
        </w:rPr>
        <w:t>0.5</w:t>
      </w:r>
      <w:r>
        <w:rPr>
          <w:rFonts w:hint="default" w:ascii="Times New Roman" w:hAnsi="Times New Roman" w:eastAsia="仿宋_GB2312" w:cs="Times New Roman"/>
          <w:sz w:val="32"/>
          <w:szCs w:val="32"/>
          <w:lang w:val="en-US" w:eastAsia="zh-CN" w:bidi="ar-SA"/>
        </w:rPr>
        <w:t>亿元。</w:t>
      </w:r>
    </w:p>
    <w:p w14:paraId="27802E32">
      <w:pPr>
        <w:keepNext w:val="0"/>
        <w:keepLines w:val="0"/>
        <w:pageBreakBefore w:val="0"/>
        <w:widowControl w:val="0"/>
        <w:kinsoku/>
        <w:wordWrap/>
        <w:overflowPunct/>
        <w:topLinePunct w:val="0"/>
        <w:autoSpaceDE/>
        <w:autoSpaceDN/>
        <w:bidi w:val="0"/>
        <w:spacing w:line="579" w:lineRule="exact"/>
        <w:ind w:left="0" w:right="0" w:firstLine="640" w:firstLineChars="200"/>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202</w:t>
      </w:r>
      <w:r>
        <w:rPr>
          <w:rFonts w:hint="eastAsia" w:ascii="Times New Roman" w:hAnsi="Times New Roman" w:eastAsia="仿宋_GB2312" w:cs="Times New Roman"/>
          <w:sz w:val="32"/>
          <w:szCs w:val="32"/>
          <w:lang w:val="en-US" w:eastAsia="zh-CN" w:bidi="ar-SA"/>
        </w:rPr>
        <w:t>5</w:t>
      </w:r>
      <w:r>
        <w:rPr>
          <w:rFonts w:hint="default" w:ascii="Times New Roman" w:hAnsi="Times New Roman" w:eastAsia="仿宋_GB2312" w:cs="Times New Roman"/>
          <w:sz w:val="32"/>
          <w:szCs w:val="32"/>
          <w:lang w:val="en-US" w:eastAsia="zh-CN" w:bidi="ar-SA"/>
        </w:rPr>
        <w:t>年国有资本经营支出预算安排支出</w:t>
      </w:r>
      <w:r>
        <w:rPr>
          <w:rFonts w:hint="eastAsia" w:ascii="Times New Roman" w:hAnsi="Times New Roman" w:eastAsia="仿宋_GB2312" w:cs="Times New Roman"/>
          <w:sz w:val="32"/>
          <w:szCs w:val="32"/>
          <w:lang w:val="en-US" w:eastAsia="zh-CN" w:bidi="ar-SA"/>
        </w:rPr>
        <w:t>0.5</w:t>
      </w:r>
      <w:r>
        <w:rPr>
          <w:rFonts w:hint="default" w:ascii="Times New Roman" w:hAnsi="Times New Roman" w:eastAsia="仿宋_GB2312" w:cs="Times New Roman"/>
          <w:sz w:val="32"/>
          <w:szCs w:val="32"/>
          <w:lang w:val="en-US" w:eastAsia="zh-CN" w:bidi="ar-SA"/>
        </w:rPr>
        <w:t>亿元，其中：用于</w:t>
      </w:r>
      <w:r>
        <w:rPr>
          <w:rFonts w:hint="eastAsia" w:ascii="Times New Roman" w:hAnsi="Times New Roman" w:eastAsia="仿宋_GB2312" w:cs="Times New Roman"/>
          <w:sz w:val="32"/>
          <w:szCs w:val="32"/>
          <w:lang w:val="en-US" w:eastAsia="zh-CN" w:bidi="ar-SA"/>
        </w:rPr>
        <w:t>湖南高科投资控股集团有限公司注册资本金0.5亿元</w:t>
      </w:r>
      <w:r>
        <w:rPr>
          <w:rFonts w:hint="default" w:ascii="Times New Roman" w:hAnsi="Times New Roman" w:eastAsia="仿宋_GB2312" w:cs="Times New Roman"/>
          <w:sz w:val="32"/>
          <w:szCs w:val="32"/>
          <w:lang w:val="en-US" w:eastAsia="zh-CN" w:bidi="ar-SA"/>
        </w:rPr>
        <w:t>。</w:t>
      </w:r>
    </w:p>
    <w:p w14:paraId="45AC82C0">
      <w:pPr>
        <w:keepNext w:val="0"/>
        <w:keepLines w:val="0"/>
        <w:pageBreakBefore w:val="0"/>
        <w:widowControl w:val="0"/>
        <w:kinsoku/>
        <w:wordWrap/>
        <w:overflowPunct/>
        <w:topLinePunct w:val="0"/>
        <w:autoSpaceDE/>
        <w:autoSpaceDN/>
        <w:bidi w:val="0"/>
        <w:spacing w:line="579" w:lineRule="exact"/>
        <w:ind w:left="0" w:right="0" w:firstLine="640" w:firstLineChars="200"/>
        <w:textAlignment w:val="auto"/>
        <w:rPr>
          <w:rFonts w:hint="default" w:ascii="楷体_GB2312" w:hAnsi="楷体_GB2312" w:eastAsia="楷体_GB2312" w:cs="楷体_GB2312"/>
          <w:kern w:val="2"/>
          <w:sz w:val="32"/>
          <w:szCs w:val="32"/>
          <w:lang w:val="en-US" w:eastAsia="zh-CN" w:bidi="ar-SA"/>
        </w:rPr>
      </w:pPr>
      <w:r>
        <w:rPr>
          <w:rFonts w:hint="default" w:ascii="楷体_GB2312" w:hAnsi="楷体_GB2312" w:eastAsia="楷体_GB2312" w:cs="楷体_GB2312"/>
          <w:kern w:val="2"/>
          <w:sz w:val="32"/>
          <w:szCs w:val="32"/>
          <w:lang w:val="en-US" w:eastAsia="zh-CN" w:bidi="ar-SA"/>
        </w:rPr>
        <w:t>（四）社会保险基金预算</w:t>
      </w:r>
    </w:p>
    <w:p w14:paraId="714F0E10">
      <w:pPr>
        <w:keepNext w:val="0"/>
        <w:keepLines w:val="0"/>
        <w:pageBreakBefore w:val="0"/>
        <w:widowControl w:val="0"/>
        <w:kinsoku/>
        <w:wordWrap/>
        <w:overflowPunct/>
        <w:topLinePunct w:val="0"/>
        <w:autoSpaceDE/>
        <w:autoSpaceDN/>
        <w:bidi w:val="0"/>
        <w:spacing w:line="579" w:lineRule="exact"/>
        <w:ind w:left="0" w:right="0" w:firstLine="640" w:firstLineChars="200"/>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2025年社会保险基金收入预算安排2.1</w:t>
      </w:r>
      <w:r>
        <w:rPr>
          <w:rFonts w:hint="eastAsia" w:ascii="Times New Roman" w:hAnsi="Times New Roman" w:eastAsia="仿宋_GB2312" w:cs="Times New Roman"/>
          <w:sz w:val="32"/>
          <w:szCs w:val="32"/>
          <w:lang w:val="en-US" w:eastAsia="zh-CN" w:bidi="ar-SA"/>
        </w:rPr>
        <w:t>1</w:t>
      </w:r>
      <w:r>
        <w:rPr>
          <w:rFonts w:hint="default" w:ascii="Times New Roman" w:hAnsi="Times New Roman" w:eastAsia="仿宋_GB2312" w:cs="Times New Roman"/>
          <w:sz w:val="32"/>
          <w:szCs w:val="32"/>
          <w:lang w:val="en-US" w:eastAsia="zh-CN" w:bidi="ar-SA"/>
        </w:rPr>
        <w:t>亿元，其中：城乡居民基本养老保险基金收入预算0.76亿元；机关事业单位基本养老保险基金收入预算1.35亿元。</w:t>
      </w:r>
    </w:p>
    <w:p w14:paraId="2F3AD7F3">
      <w:pPr>
        <w:keepNext w:val="0"/>
        <w:keepLines w:val="0"/>
        <w:pageBreakBefore w:val="0"/>
        <w:widowControl w:val="0"/>
        <w:kinsoku/>
        <w:wordWrap/>
        <w:overflowPunct/>
        <w:topLinePunct w:val="0"/>
        <w:autoSpaceDE/>
        <w:autoSpaceDN/>
        <w:bidi w:val="0"/>
        <w:spacing w:line="579" w:lineRule="exact"/>
        <w:ind w:left="0" w:right="0" w:firstLine="640" w:firstLineChars="200"/>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2025年社会保险基金支出预算安排1.72亿元，其中：城乡居民基本养老保险基金支出预算0.38亿元；机关事业单位基本养老保险基金支出预算1.34亿元；本年收支结余0.3</w:t>
      </w:r>
      <w:r>
        <w:rPr>
          <w:rFonts w:hint="eastAsia" w:ascii="Times New Roman" w:hAnsi="Times New Roman" w:eastAsia="仿宋_GB2312" w:cs="Times New Roman"/>
          <w:sz w:val="32"/>
          <w:szCs w:val="32"/>
          <w:lang w:val="en-US" w:eastAsia="zh-CN" w:bidi="ar-SA"/>
        </w:rPr>
        <w:t>9</w:t>
      </w:r>
      <w:r>
        <w:rPr>
          <w:rFonts w:hint="default" w:ascii="Times New Roman" w:hAnsi="Times New Roman" w:eastAsia="仿宋_GB2312" w:cs="Times New Roman"/>
          <w:sz w:val="32"/>
          <w:szCs w:val="32"/>
          <w:lang w:val="en-US" w:eastAsia="zh-CN" w:bidi="ar-SA"/>
        </w:rPr>
        <w:t>亿元，年末滚存结余预计为3.46亿元</w:t>
      </w:r>
      <w:r>
        <w:rPr>
          <w:rFonts w:hint="eastAsia" w:eastAsia="仿宋_GB2312" w:cs="Times New Roman"/>
          <w:sz w:val="32"/>
          <w:szCs w:val="32"/>
          <w:lang w:val="en-US" w:eastAsia="zh-CN" w:bidi="ar-SA"/>
        </w:rPr>
        <w:t>。</w:t>
      </w:r>
    </w:p>
    <w:p w14:paraId="6F2C12D1">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leftChars="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三、扎实做好2025年财政改革和预算管理工作</w:t>
      </w:r>
    </w:p>
    <w:p w14:paraId="4D07F69B">
      <w:pPr>
        <w:pStyle w:val="2"/>
        <w:keepNext w:val="0"/>
        <w:keepLines w:val="0"/>
        <w:pageBreakBefore w:val="0"/>
        <w:widowControl w:val="0"/>
        <w:kinsoku/>
        <w:wordWrap/>
        <w:overflowPunct/>
        <w:topLinePunct w:val="0"/>
        <w:autoSpaceDE/>
        <w:autoSpaceDN/>
        <w:bidi w:val="0"/>
        <w:adjustRightInd/>
        <w:snapToGrid/>
        <w:spacing w:beforeAutospacing="0" w:line="580" w:lineRule="exact"/>
        <w:ind w:left="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2025年，是实施“十四五”规划的决胜之年，也是全面落实党的二十届三中全会的开局之年。全区财政工作将深入贯彻党中央、省委、市委和工委、管委会、区委的决策部署和区人大六届五次会议决议要求，深刻把握发展的“时”与“势”，坚持“破”与“立”结合，扎实做好增收节支工作，确保预算执行的“稳”与“进”，不断推动财政高质量发展。</w:t>
      </w:r>
    </w:p>
    <w:p w14:paraId="202F9D5F">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（一）以实现收入预期为目标，打好培源抓收组合拳。</w:t>
      </w:r>
      <w:r>
        <w:rPr>
          <w:rFonts w:hint="default" w:ascii="Times New Roman" w:hAnsi="Times New Roman" w:eastAsia="仿宋_GB2312" w:cs="Times New Roman"/>
          <w:kern w:val="2"/>
          <w:sz w:val="32"/>
          <w:szCs w:val="32"/>
          <w:lang w:val="en-US" w:eastAsia="zh-CN" w:bidi="ar-SA"/>
        </w:rPr>
        <w:t>积极推进财源建设和收入组织工作，关注形势变化，加强分析、研判和调度，确保财税收入保质保量顺畅入库。</w:t>
      </w:r>
      <w:r>
        <w:rPr>
          <w:rFonts w:hint="default" w:ascii="Times New Roman" w:hAnsi="Times New Roman" w:eastAsia="仿宋_GB2312" w:cs="Times New Roman"/>
          <w:b/>
          <w:bCs/>
          <w:kern w:val="2"/>
          <w:sz w:val="32"/>
          <w:szCs w:val="32"/>
          <w:lang w:val="en-US" w:eastAsia="zh-CN" w:bidi="ar-SA"/>
        </w:rPr>
        <w:t>始终坚持育税源强税基。</w:t>
      </w:r>
      <w:r>
        <w:rPr>
          <w:rFonts w:hint="default" w:ascii="Times New Roman" w:hAnsi="Times New Roman" w:eastAsia="仿宋_GB2312" w:cs="Times New Roman"/>
          <w:kern w:val="2"/>
          <w:sz w:val="32"/>
          <w:szCs w:val="32"/>
          <w:lang w:val="en-US" w:eastAsia="zh-CN" w:bidi="ar-SA"/>
        </w:rPr>
        <w:t>适应全国统一大市场建设新要求，转变招商引资新思路，在稳妥处理存量合同、协议奖补政策三年内逐步退出的同时，积极探索“拨改投”、基金引导、科技创新等产业扶持新机制，加快905等优质项目建设，创优产业生态，做大做强实体经济。</w:t>
      </w:r>
      <w:r>
        <w:rPr>
          <w:rFonts w:hint="default" w:ascii="Times New Roman" w:hAnsi="Times New Roman" w:eastAsia="仿宋_GB2312" w:cs="Times New Roman"/>
          <w:b/>
          <w:bCs/>
          <w:kern w:val="2"/>
          <w:sz w:val="32"/>
          <w:szCs w:val="32"/>
          <w:lang w:val="en-US" w:eastAsia="zh-CN" w:bidi="ar-SA"/>
        </w:rPr>
        <w:t>始终坚持严征细管精诚共治。</w:t>
      </w:r>
      <w:r>
        <w:rPr>
          <w:rFonts w:hint="default" w:ascii="Times New Roman" w:hAnsi="Times New Roman" w:eastAsia="仿宋_GB2312" w:cs="Times New Roman"/>
          <w:kern w:val="2"/>
          <w:sz w:val="32"/>
          <w:szCs w:val="32"/>
          <w:lang w:val="en-US" w:eastAsia="zh-CN" w:bidi="ar-SA"/>
        </w:rPr>
        <w:t>强化对重点企业跟踪分析，依法加强税收征管；强化“谁主管、谁协税”的理念，从产业链入手，研究龙头企业与配套企业税收关联度、贡献度；强化房产税、土地使用税和建安税收清理，加强</w:t>
      </w:r>
      <w:r>
        <w:rPr>
          <w:rFonts w:hint="eastAsia" w:eastAsia="仿宋_GB2312" w:cs="Times New Roman"/>
          <w:kern w:val="2"/>
          <w:sz w:val="32"/>
          <w:szCs w:val="32"/>
          <w:lang w:val="en-US" w:eastAsia="zh-CN" w:bidi="ar-SA"/>
        </w:rPr>
        <w:t>信息平台</w:t>
      </w:r>
      <w:r>
        <w:rPr>
          <w:rFonts w:hint="default" w:ascii="Times New Roman" w:hAnsi="Times New Roman" w:eastAsia="仿宋_GB2312" w:cs="Times New Roman"/>
          <w:kern w:val="2"/>
          <w:sz w:val="32"/>
          <w:szCs w:val="32"/>
          <w:lang w:val="en-US" w:eastAsia="zh-CN" w:bidi="ar-SA"/>
        </w:rPr>
        <w:t>风险预警推送，推进信息管税、数字治税。</w:t>
      </w:r>
      <w:r>
        <w:rPr>
          <w:rFonts w:hint="default" w:ascii="Times New Roman" w:hAnsi="Times New Roman" w:eastAsia="仿宋_GB2312" w:cs="Times New Roman"/>
          <w:b/>
          <w:bCs/>
          <w:kern w:val="2"/>
          <w:sz w:val="32"/>
          <w:szCs w:val="32"/>
          <w:lang w:val="en-US" w:eastAsia="zh-CN" w:bidi="ar-SA"/>
        </w:rPr>
        <w:t>始终坚持挖掘非税收入增量。</w:t>
      </w:r>
      <w:r>
        <w:rPr>
          <w:rFonts w:hint="default" w:ascii="Times New Roman" w:hAnsi="Times New Roman" w:eastAsia="仿宋_GB2312" w:cs="Times New Roman"/>
          <w:kern w:val="2"/>
          <w:sz w:val="32"/>
          <w:szCs w:val="32"/>
          <w:lang w:val="en-US" w:eastAsia="zh-CN" w:bidi="ar-SA"/>
        </w:rPr>
        <w:t>加强与税务、省市对接，督促非税收入及时足额缴库；依照新办法规范土地收储和出让收支行为，分期分批序时供地，加强出让尾款清收，确保土地收入足额入库；加强国有资产、股权投资、专项债项目等形成收入管理和归集，做实“三资”盘活，拓宽非税收入增收渠道。始终坚持向上争资引项。</w:t>
      </w:r>
      <w:r>
        <w:rPr>
          <w:rFonts w:hint="eastAsia" w:eastAsia="仿宋_GB2312" w:cs="Times New Roman"/>
          <w:kern w:val="2"/>
          <w:sz w:val="32"/>
          <w:szCs w:val="32"/>
          <w:lang w:val="en-US" w:eastAsia="zh-CN" w:bidi="ar-SA"/>
        </w:rPr>
        <w:t>抓抢政策机遇，</w:t>
      </w:r>
      <w:r>
        <w:rPr>
          <w:rFonts w:hint="default" w:ascii="Times New Roman" w:hAnsi="Times New Roman" w:eastAsia="仿宋_GB2312" w:cs="Times New Roman"/>
          <w:kern w:val="2"/>
          <w:sz w:val="32"/>
          <w:szCs w:val="32"/>
          <w:lang w:val="en-US" w:eastAsia="zh-CN" w:bidi="ar-SA"/>
        </w:rPr>
        <w:t>加强项目策划和包装，努力对接国家部委和省市主管部门，着力争取预算内投资、专项资金</w:t>
      </w:r>
      <w:r>
        <w:rPr>
          <w:rFonts w:hint="eastAsia" w:eastAsia="仿宋_GB2312" w:cs="Times New Roman"/>
          <w:kern w:val="2"/>
          <w:sz w:val="32"/>
          <w:szCs w:val="32"/>
          <w:lang w:val="en-US" w:eastAsia="zh-CN" w:bidi="ar-SA"/>
        </w:rPr>
        <w:t>和债券资金</w:t>
      </w:r>
      <w:r>
        <w:rPr>
          <w:rFonts w:hint="default" w:ascii="Times New Roman" w:hAnsi="Times New Roman" w:eastAsia="仿宋_GB2312" w:cs="Times New Roman"/>
          <w:kern w:val="2"/>
          <w:sz w:val="32"/>
          <w:szCs w:val="32"/>
          <w:lang w:val="en-US" w:eastAsia="zh-CN" w:bidi="ar-SA"/>
        </w:rPr>
        <w:t>等，</w:t>
      </w:r>
      <w:r>
        <w:rPr>
          <w:rFonts w:hint="eastAsia" w:eastAsia="仿宋_GB2312" w:cs="Times New Roman"/>
          <w:kern w:val="2"/>
          <w:sz w:val="32"/>
          <w:szCs w:val="32"/>
          <w:lang w:val="en-US" w:eastAsia="zh-CN" w:bidi="ar-SA"/>
        </w:rPr>
        <w:t>为新区发展增添新动能。</w:t>
      </w:r>
    </w:p>
    <w:p w14:paraId="18B25903">
      <w:pPr>
        <w:pStyle w:val="2"/>
        <w:keepNext w:val="0"/>
        <w:keepLines w:val="0"/>
        <w:pageBreakBefore w:val="0"/>
        <w:widowControl w:val="0"/>
        <w:kinsoku/>
        <w:wordWrap/>
        <w:overflowPunct/>
        <w:topLinePunct w:val="0"/>
        <w:autoSpaceDE/>
        <w:autoSpaceDN/>
        <w:bidi w:val="0"/>
        <w:adjustRightInd/>
        <w:snapToGrid/>
        <w:spacing w:beforeAutospacing="0" w:line="580" w:lineRule="exact"/>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（二）以坚持过“紧日子”为导向，写好节用裕民新篇章。</w:t>
      </w:r>
      <w:r>
        <w:rPr>
          <w:rFonts w:hint="default" w:ascii="Times New Roman" w:hAnsi="Times New Roman" w:eastAsia="仿宋_GB2312" w:cs="Times New Roman"/>
          <w:kern w:val="2"/>
          <w:sz w:val="32"/>
          <w:szCs w:val="32"/>
          <w:lang w:val="en-US" w:eastAsia="zh-CN" w:bidi="ar-SA"/>
        </w:rPr>
        <w:t>自觉</w:t>
      </w:r>
      <w:r>
        <w:rPr>
          <w:rFonts w:hint="eastAsia" w:eastAsia="仿宋_GB2312" w:cs="Times New Roman"/>
          <w:kern w:val="2"/>
          <w:sz w:val="32"/>
          <w:szCs w:val="32"/>
          <w:lang w:val="en-US" w:eastAsia="zh-CN" w:bidi="ar-SA"/>
        </w:rPr>
        <w:t>树牢过“紧日子”思想，从严</w:t>
      </w:r>
      <w:r>
        <w:rPr>
          <w:rFonts w:hint="default" w:ascii="Times New Roman" w:hAnsi="Times New Roman" w:eastAsia="仿宋_GB2312" w:cs="Times New Roman"/>
          <w:kern w:val="2"/>
          <w:sz w:val="32"/>
          <w:szCs w:val="32"/>
          <w:lang w:val="en-US" w:eastAsia="zh-CN" w:bidi="ar-SA"/>
        </w:rPr>
        <w:t>落实中央、省市关于党政机关带头过“紧日子”的各项规定，在“保、降、减、统”上用真功，精打细算，厉行节约，腾出更多财力保民生</w:t>
      </w:r>
      <w:r>
        <w:rPr>
          <w:rFonts w:hint="eastAsia" w:ascii="仿宋_GB2312" w:hAnsi="仿宋_GB2312" w:eastAsia="仿宋_GB2312" w:cs="仿宋_GB2312"/>
          <w:b w:val="0"/>
          <w:bCs w:val="0"/>
          <w:spacing w:val="-12"/>
          <w:sz w:val="32"/>
          <w:szCs w:val="32"/>
          <w:lang w:val="en-US" w:eastAsia="zh-CN"/>
        </w:rPr>
        <w:t>、办大事。</w:t>
      </w:r>
      <w:r>
        <w:rPr>
          <w:rFonts w:hint="eastAsia" w:ascii="仿宋_GB2312" w:hAnsi="仿宋_GB2312" w:eastAsia="仿宋_GB2312" w:cs="仿宋_GB2312"/>
          <w:b/>
          <w:bCs/>
          <w:spacing w:val="-12"/>
          <w:sz w:val="32"/>
          <w:szCs w:val="32"/>
          <w:lang w:val="en-US" w:eastAsia="zh-CN"/>
        </w:rPr>
        <w:t>保，</w:t>
      </w:r>
      <w:r>
        <w:rPr>
          <w:rFonts w:hint="eastAsia" w:ascii="仿宋_GB2312" w:hAnsi="仿宋_GB2312" w:eastAsia="仿宋_GB2312" w:cs="仿宋_GB2312"/>
          <w:b w:val="0"/>
          <w:bCs w:val="0"/>
          <w:spacing w:val="-12"/>
          <w:sz w:val="32"/>
          <w:szCs w:val="32"/>
          <w:lang w:val="en-US" w:eastAsia="zh-CN"/>
        </w:rPr>
        <w:t>“三保”支出据实安排，并放在支出第一顺位，</w:t>
      </w:r>
      <w:r>
        <w:rPr>
          <w:rFonts w:hint="eastAsia" w:ascii="仿宋_GB2312" w:hAnsi="仿宋_GB2312" w:eastAsia="仿宋_GB2312" w:cs="仿宋_GB2312"/>
          <w:kern w:val="2"/>
          <w:sz w:val="32"/>
          <w:szCs w:val="32"/>
          <w:lang w:val="en-US" w:eastAsia="zh-CN" w:bidi="ar-SA"/>
        </w:rPr>
        <w:t>严格落实资金直达机制、</w:t>
      </w:r>
      <w:r>
        <w:rPr>
          <w:rFonts w:hint="default" w:ascii="Times New Roman" w:hAnsi="Times New Roman" w:eastAsia="仿宋_GB2312" w:cs="Times New Roman"/>
          <w:kern w:val="2"/>
          <w:sz w:val="32"/>
          <w:szCs w:val="32"/>
          <w:lang w:val="en-US" w:eastAsia="zh-CN" w:bidi="ar-SA"/>
        </w:rPr>
        <w:t>“三保”预算执行监测和库款保障机制，兜牢“三保”底线。</w:t>
      </w:r>
      <w:r>
        <w:rPr>
          <w:rFonts w:hint="default" w:ascii="Times New Roman" w:hAnsi="Times New Roman" w:eastAsia="仿宋" w:cs="Times New Roman"/>
          <w:b/>
          <w:bCs/>
          <w:spacing w:val="-12"/>
          <w:sz w:val="32"/>
          <w:szCs w:val="32"/>
          <w:lang w:val="en-US" w:eastAsia="zh-CN"/>
        </w:rPr>
        <w:t>降，</w:t>
      </w:r>
      <w:r>
        <w:rPr>
          <w:rFonts w:hint="default" w:ascii="Times New Roman" w:hAnsi="Times New Roman" w:eastAsia="仿宋" w:cs="Times New Roman"/>
          <w:b w:val="0"/>
          <w:bCs w:val="0"/>
          <w:spacing w:val="-12"/>
          <w:sz w:val="32"/>
          <w:szCs w:val="32"/>
          <w:lang w:val="en-US" w:eastAsia="zh-CN"/>
        </w:rPr>
        <w:t>就是</w:t>
      </w:r>
      <w:r>
        <w:rPr>
          <w:rFonts w:hint="default" w:ascii="Times New Roman" w:hAnsi="Times New Roman" w:eastAsia="仿宋_GB2312" w:cs="Times New Roman"/>
          <w:color w:val="auto"/>
          <w:sz w:val="32"/>
          <w:szCs w:val="32"/>
          <w:lang w:val="en-US" w:eastAsia="zh-CN"/>
        </w:rPr>
        <w:t>公用经费在上年基础上继续压减10%以上，“三公”经费继续保持“只减不增”</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bCs/>
          <w:color w:val="auto"/>
          <w:sz w:val="32"/>
          <w:szCs w:val="32"/>
          <w:lang w:val="en-US" w:eastAsia="zh-CN"/>
        </w:rPr>
        <w:t>减，</w:t>
      </w:r>
      <w:r>
        <w:rPr>
          <w:rFonts w:hint="default" w:ascii="Times New Roman" w:hAnsi="Times New Roman" w:eastAsia="仿宋_GB2312" w:cs="Times New Roman"/>
          <w:color w:val="auto"/>
          <w:sz w:val="32"/>
          <w:szCs w:val="32"/>
          <w:lang w:val="en-US" w:eastAsia="zh-CN"/>
        </w:rPr>
        <w:t>就是</w:t>
      </w:r>
      <w:r>
        <w:rPr>
          <w:rFonts w:hint="default" w:ascii="Times New Roman" w:hAnsi="Times New Roman" w:eastAsia="仿宋_GB2312" w:cs="Times New Roman"/>
          <w:color w:val="auto"/>
          <w:kern w:val="0"/>
          <w:sz w:val="32"/>
          <w:szCs w:val="32"/>
          <w:highlight w:val="none"/>
          <w:lang w:val="en-US" w:eastAsia="zh-CN"/>
        </w:rPr>
        <w:t>对</w:t>
      </w:r>
      <w:r>
        <w:rPr>
          <w:rFonts w:hint="default" w:ascii="Times New Roman" w:hAnsi="Times New Roman" w:eastAsia="仿宋_GB2312" w:cs="Times New Roman"/>
          <w:sz w:val="32"/>
          <w:szCs w:val="32"/>
          <w:lang w:val="en-US" w:eastAsia="zh-CN"/>
        </w:rPr>
        <w:t>区级</w:t>
      </w:r>
      <w:r>
        <w:rPr>
          <w:rFonts w:hint="default" w:ascii="Times New Roman" w:hAnsi="Times New Roman" w:eastAsia="仿宋_GB2312" w:cs="Times New Roman"/>
          <w:color w:val="auto"/>
          <w:kern w:val="0"/>
          <w:sz w:val="32"/>
          <w:szCs w:val="32"/>
          <w:highlight w:val="none"/>
          <w:lang w:val="en-US" w:eastAsia="zh-CN"/>
        </w:rPr>
        <w:t>出台仍在执行的各项支出政策文件</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会议纪要</w:t>
      </w:r>
      <w:r>
        <w:rPr>
          <w:rFonts w:hint="eastAsia" w:eastAsia="仿宋_GB2312" w:cs="Times New Roman"/>
          <w:color w:val="auto"/>
          <w:kern w:val="0"/>
          <w:sz w:val="32"/>
          <w:szCs w:val="32"/>
          <w:highlight w:val="none"/>
          <w:lang w:val="en-US" w:eastAsia="zh-CN"/>
        </w:rPr>
        <w:t>等</w:t>
      </w:r>
      <w:r>
        <w:rPr>
          <w:rFonts w:hint="default" w:ascii="Times New Roman" w:hAnsi="Times New Roman" w:eastAsia="仿宋_GB2312" w:cs="Times New Roman"/>
          <w:color w:val="auto"/>
          <w:kern w:val="0"/>
          <w:sz w:val="32"/>
          <w:szCs w:val="32"/>
          <w:highlight w:val="none"/>
          <w:lang w:val="en-US" w:eastAsia="zh-CN"/>
        </w:rPr>
        <w:t>进行全面梳理、甄别</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评估，对超出上级政策规定的支出安排，将逐步退坡，坚决防止</w:t>
      </w:r>
      <w:r>
        <w:rPr>
          <w:rFonts w:hint="eastAsia" w:eastAsia="仿宋_GB2312" w:cs="Times New Roman"/>
          <w:color w:val="auto"/>
          <w:kern w:val="0"/>
          <w:sz w:val="32"/>
          <w:szCs w:val="32"/>
          <w:highlight w:val="none"/>
          <w:lang w:val="en-US" w:eastAsia="zh-CN"/>
        </w:rPr>
        <w:t>新开提标扩面增支口子</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kern w:val="2"/>
          <w:sz w:val="32"/>
          <w:szCs w:val="32"/>
          <w:lang w:val="en-US" w:eastAsia="zh-CN" w:bidi="ar-SA"/>
        </w:rPr>
        <w:t>坚持量力而行，适当压减建设项目和产业奖补支出</w:t>
      </w:r>
      <w:r>
        <w:rPr>
          <w:rFonts w:hint="eastAsia" w:eastAsia="仿宋_GB2312" w:cs="Times New Roman"/>
          <w:kern w:val="2"/>
          <w:sz w:val="32"/>
          <w:szCs w:val="32"/>
          <w:lang w:val="en-US" w:eastAsia="zh-CN" w:bidi="ar-SA"/>
        </w:rPr>
        <w:t>。</w:t>
      </w:r>
      <w:r>
        <w:rPr>
          <w:rFonts w:hint="default" w:ascii="Times New Roman" w:hAnsi="Times New Roman" w:eastAsia="仿宋" w:cs="Times New Roman"/>
          <w:b/>
          <w:bCs/>
          <w:color w:val="auto"/>
          <w:kern w:val="2"/>
          <w:sz w:val="32"/>
          <w:szCs w:val="32"/>
          <w:highlight w:val="none"/>
          <w:lang w:val="en-US" w:eastAsia="zh-CN" w:bidi="zh-CN"/>
        </w:rPr>
        <w:t>统，</w:t>
      </w:r>
      <w:r>
        <w:rPr>
          <w:rFonts w:hint="default" w:ascii="Times New Roman" w:hAnsi="Times New Roman" w:eastAsia="仿宋_GB2312" w:cs="Times New Roman"/>
          <w:kern w:val="2"/>
          <w:sz w:val="32"/>
          <w:szCs w:val="32"/>
          <w:lang w:val="en-US" w:eastAsia="zh-CN" w:bidi="ar-SA"/>
        </w:rPr>
        <w:t>就是</w:t>
      </w:r>
      <w:r>
        <w:rPr>
          <w:rFonts w:hint="default" w:ascii="Times New Roman" w:hAnsi="Times New Roman" w:eastAsia="仿宋_GB2312" w:cs="Times New Roman"/>
          <w:color w:val="auto"/>
          <w:sz w:val="32"/>
          <w:szCs w:val="32"/>
          <w:lang w:val="en-US" w:eastAsia="zh-CN"/>
        </w:rPr>
        <w:t>强化各级各类资金资产资源跨年度、跨层级、跨部门整合统筹，提升统的维度、深度、力度，整合工作内容</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资金性质相近</w:t>
      </w:r>
      <w:r>
        <w:rPr>
          <w:rFonts w:hint="eastAsia"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使用分散的专项资金，对于未整合的碎片化事项暂停预算安排，打破部门壁垒和专项边界，</w:t>
      </w:r>
      <w:r>
        <w:rPr>
          <w:rFonts w:hint="default" w:ascii="Times New Roman" w:hAnsi="Times New Roman" w:eastAsia="仿宋_GB2312" w:cs="Times New Roman"/>
          <w:b w:val="0"/>
          <w:bCs w:val="0"/>
          <w:color w:val="000000"/>
          <w:sz w:val="32"/>
          <w:szCs w:val="32"/>
          <w:lang w:val="en-US" w:eastAsia="zh-CN"/>
        </w:rPr>
        <w:t>破除“先要钱、再谋事”的固化格局，</w:t>
      </w:r>
      <w:r>
        <w:rPr>
          <w:rFonts w:hint="default" w:ascii="Times New Roman" w:hAnsi="Times New Roman" w:eastAsia="仿宋_GB2312" w:cs="Times New Roman"/>
          <w:color w:val="auto"/>
          <w:sz w:val="32"/>
          <w:szCs w:val="32"/>
          <w:lang w:val="en-US" w:eastAsia="zh-CN"/>
        </w:rPr>
        <w:t>集中财力保障大事要事等重点支出。</w:t>
      </w:r>
    </w:p>
    <w:p w14:paraId="32D17B86">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（三）以实施零基预算为主线，</w:t>
      </w:r>
      <w:r>
        <w:rPr>
          <w:rFonts w:hint="eastAsia" w:ascii="Times New Roman" w:hAnsi="Times New Roman" w:eastAsia="楷体_GB2312" w:cs="Times New Roman"/>
          <w:kern w:val="2"/>
          <w:sz w:val="32"/>
          <w:szCs w:val="32"/>
          <w:lang w:val="en-US" w:eastAsia="zh-CN" w:bidi="ar-SA"/>
        </w:rPr>
        <w:t>奏响</w:t>
      </w:r>
      <w:r>
        <w:rPr>
          <w:rFonts w:hint="default" w:ascii="Times New Roman" w:hAnsi="Times New Roman" w:eastAsia="楷体_GB2312" w:cs="Times New Roman"/>
          <w:kern w:val="2"/>
          <w:sz w:val="32"/>
          <w:szCs w:val="32"/>
          <w:lang w:val="en-US" w:eastAsia="zh-CN" w:bidi="ar-SA"/>
        </w:rPr>
        <w:t>财政改革主旋律。</w:t>
      </w:r>
      <w:r>
        <w:rPr>
          <w:rFonts w:hint="eastAsia" w:ascii="Times New Roman" w:hAnsi="Times New Roman" w:eastAsia="仿宋_GB2312" w:cs="Times New Roman"/>
          <w:color w:val="auto"/>
          <w:kern w:val="2"/>
          <w:sz w:val="32"/>
          <w:szCs w:val="32"/>
          <w:lang w:val="en-US" w:eastAsia="zh-CN" w:bidi="ar-SA"/>
        </w:rPr>
        <w:t>紧跟国家新一轮财税体制改革的时代脉搏，结合新区实际，扎实深化改革，加快构建现代化财政治理体系。</w:t>
      </w:r>
      <w:r>
        <w:rPr>
          <w:rFonts w:hint="default" w:ascii="Times New Roman" w:hAnsi="Times New Roman" w:eastAsia="仿宋_GB2312" w:cs="Times New Roman"/>
          <w:b/>
          <w:bCs/>
          <w:color w:val="auto"/>
          <w:kern w:val="2"/>
          <w:sz w:val="32"/>
          <w:szCs w:val="32"/>
          <w:lang w:val="en-US" w:eastAsia="zh-CN" w:bidi="ar-SA"/>
        </w:rPr>
        <w:t>落实落细零基预算改革。</w:t>
      </w:r>
      <w:r>
        <w:rPr>
          <w:rFonts w:hint="default" w:ascii="Times New Roman" w:hAnsi="Times New Roman" w:eastAsia="仿宋_GB2312" w:cs="Times New Roman"/>
          <w:color w:val="auto"/>
          <w:kern w:val="2"/>
          <w:sz w:val="32"/>
          <w:szCs w:val="32"/>
          <w:lang w:val="en-US" w:eastAsia="zh-CN" w:bidi="ar-SA"/>
        </w:rPr>
        <w:t>进一步完善事项清单、收入清单、账户清单、资产清单和问题清单，密切跟踪收入、资金、资产等运行情况，回头看预算安排的精准度、科学性，</w:t>
      </w:r>
      <w:r>
        <w:rPr>
          <w:rFonts w:hint="eastAsia" w:ascii="Times New Roman" w:hAnsi="Times New Roman" w:cs="Times New Roman"/>
          <w:color w:val="auto"/>
          <w:kern w:val="2"/>
          <w:sz w:val="32"/>
          <w:szCs w:val="32"/>
          <w:lang w:val="en-US" w:eastAsia="zh-CN" w:bidi="ar-SA"/>
        </w:rPr>
        <w:t>聚焦重点奔着问题去，</w:t>
      </w:r>
      <w:r>
        <w:rPr>
          <w:rFonts w:hint="default" w:ascii="Times New Roman" w:hAnsi="Times New Roman" w:eastAsia="仿宋_GB2312" w:cs="Times New Roman"/>
          <w:color w:val="auto"/>
          <w:kern w:val="2"/>
          <w:sz w:val="32"/>
          <w:szCs w:val="32"/>
          <w:lang w:val="en-US" w:eastAsia="zh-CN" w:bidi="ar-SA"/>
        </w:rPr>
        <w:t>盯着问题改，确保零基预算改革落在实处。</w:t>
      </w:r>
      <w:r>
        <w:rPr>
          <w:rFonts w:hint="default" w:ascii="Times New Roman" w:hAnsi="Times New Roman" w:eastAsia="仿宋_GB2312" w:cs="Times New Roman"/>
          <w:b/>
          <w:bCs/>
          <w:color w:val="auto"/>
          <w:kern w:val="2"/>
          <w:sz w:val="32"/>
          <w:szCs w:val="32"/>
          <w:lang w:val="en-US" w:eastAsia="zh-CN" w:bidi="ar-SA"/>
        </w:rPr>
        <w:t>着力推进配套改革。</w:t>
      </w:r>
      <w:r>
        <w:rPr>
          <w:rFonts w:hint="default" w:ascii="Times New Roman" w:hAnsi="Times New Roman" w:eastAsia="仿宋_GB2312" w:cs="Times New Roman"/>
          <w:color w:val="auto"/>
          <w:kern w:val="2"/>
          <w:sz w:val="32"/>
          <w:szCs w:val="32"/>
          <w:lang w:val="en-US" w:eastAsia="zh-CN" w:bidi="ar-SA"/>
        </w:rPr>
        <w:t>进一步完善资产管理制度、支出标准制度、预算评审制度、国库集中支付制度、绩效评价制度、项目全生命周期制度、政府采购和政府购买服务制度等，加快制度集成，形成管理闭环，统一预算分配权，硬化预算约束，为顺利推进零基预算提供制度保障。</w:t>
      </w:r>
      <w:r>
        <w:rPr>
          <w:rFonts w:hint="default" w:ascii="Times New Roman" w:hAnsi="Times New Roman" w:eastAsia="仿宋_GB2312" w:cs="Times New Roman"/>
          <w:b/>
          <w:bCs/>
          <w:color w:val="auto"/>
          <w:kern w:val="2"/>
          <w:sz w:val="32"/>
          <w:szCs w:val="32"/>
          <w:lang w:val="en-US" w:eastAsia="zh-CN" w:bidi="ar-SA"/>
        </w:rPr>
        <w:t>积极配合税制改革。</w:t>
      </w:r>
      <w:r>
        <w:rPr>
          <w:rFonts w:hint="default" w:ascii="Times New Roman" w:hAnsi="Times New Roman" w:eastAsia="仿宋_GB2312" w:cs="Times New Roman"/>
          <w:color w:val="auto"/>
          <w:kern w:val="2"/>
          <w:sz w:val="32"/>
          <w:szCs w:val="32"/>
          <w:lang w:val="en-US" w:eastAsia="zh-CN" w:bidi="ar-SA"/>
        </w:rPr>
        <w:t>全力</w:t>
      </w:r>
      <w:r>
        <w:rPr>
          <w:rFonts w:hint="eastAsia" w:ascii="Times New Roman" w:hAnsi="Times New Roman" w:cs="Times New Roman"/>
          <w:color w:val="auto"/>
          <w:kern w:val="2"/>
          <w:sz w:val="32"/>
          <w:szCs w:val="32"/>
          <w:lang w:val="en-US" w:eastAsia="zh-CN" w:bidi="ar-SA"/>
        </w:rPr>
        <w:t>实施</w:t>
      </w:r>
      <w:r>
        <w:rPr>
          <w:rFonts w:hint="default" w:ascii="Times New Roman" w:hAnsi="Times New Roman" w:eastAsia="仿宋_GB2312" w:cs="Times New Roman"/>
          <w:color w:val="auto"/>
          <w:kern w:val="2"/>
          <w:sz w:val="32"/>
          <w:szCs w:val="32"/>
          <w:lang w:val="en-US" w:eastAsia="zh-CN" w:bidi="ar-SA"/>
        </w:rPr>
        <w:t>水资源费改资源税</w:t>
      </w:r>
      <w:r>
        <w:rPr>
          <w:rFonts w:hint="eastAsia" w:ascii="Times New Roman" w:hAnsi="Times New Roman" w:cs="Times New Roman"/>
          <w:color w:val="auto"/>
          <w:kern w:val="2"/>
          <w:sz w:val="32"/>
          <w:szCs w:val="32"/>
          <w:lang w:val="en-US" w:eastAsia="zh-CN" w:bidi="ar-SA"/>
        </w:rPr>
        <w:t>改革</w:t>
      </w:r>
      <w:r>
        <w:rPr>
          <w:rFonts w:hint="default" w:ascii="Times New Roman" w:hAnsi="Times New Roman" w:eastAsia="仿宋_GB2312" w:cs="Times New Roman"/>
          <w:color w:val="auto"/>
          <w:kern w:val="2"/>
          <w:sz w:val="32"/>
          <w:szCs w:val="32"/>
          <w:lang w:val="en-US" w:eastAsia="zh-CN" w:bidi="ar-SA"/>
        </w:rPr>
        <w:t>，密切关注消费税、附加税等改革进</w:t>
      </w:r>
      <w:r>
        <w:rPr>
          <w:rFonts w:hint="eastAsia" w:ascii="Times New Roman" w:hAnsi="Times New Roman" w:cs="Times New Roman"/>
          <w:color w:val="auto"/>
          <w:kern w:val="2"/>
          <w:sz w:val="32"/>
          <w:szCs w:val="32"/>
          <w:lang w:val="en-US" w:eastAsia="zh-CN" w:bidi="ar-SA"/>
        </w:rPr>
        <w:t>程</w:t>
      </w:r>
      <w:r>
        <w:rPr>
          <w:rFonts w:hint="default" w:ascii="Times New Roman" w:hAnsi="Times New Roman" w:eastAsia="仿宋_GB2312" w:cs="Times New Roman"/>
          <w:color w:val="auto"/>
          <w:kern w:val="2"/>
          <w:sz w:val="32"/>
          <w:szCs w:val="32"/>
          <w:lang w:val="en-US" w:eastAsia="zh-CN" w:bidi="ar-SA"/>
        </w:rPr>
        <w:t>，深入企业、园区大力宣传</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增值税法</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等税收法律法规、政策，提高税收政策知晓率，确保税制改革在新区实践落地。</w:t>
      </w:r>
      <w:r>
        <w:rPr>
          <w:rFonts w:hint="default" w:ascii="Times New Roman" w:hAnsi="Times New Roman" w:eastAsia="仿宋_GB2312" w:cs="Times New Roman"/>
          <w:b/>
          <w:bCs/>
          <w:kern w:val="2"/>
          <w:sz w:val="32"/>
          <w:szCs w:val="32"/>
          <w:lang w:val="en-US" w:eastAsia="zh-CN" w:bidi="ar-SA"/>
        </w:rPr>
        <w:t>深化国资国企改革。</w:t>
      </w:r>
      <w:r>
        <w:rPr>
          <w:rFonts w:hint="default" w:ascii="Times New Roman" w:hAnsi="Times New Roman" w:eastAsia="仿宋_GB2312" w:cs="Times New Roman"/>
          <w:kern w:val="2"/>
          <w:sz w:val="32"/>
          <w:szCs w:val="32"/>
          <w:lang w:val="en-US" w:eastAsia="zh-CN" w:bidi="ar-SA"/>
        </w:rPr>
        <w:t>持续推进国企市场化改革，不断完善现代企业制度，健全市场化运营、管控机制，支持高科控股注资增信，助推转型升级，</w:t>
      </w:r>
      <w:r>
        <w:rPr>
          <w:rFonts w:hint="eastAsia" w:ascii="Times New Roman" w:hAnsi="Times New Roman" w:cs="Times New Roman"/>
          <w:kern w:val="2"/>
          <w:sz w:val="32"/>
          <w:szCs w:val="32"/>
          <w:lang w:val="en-US" w:eastAsia="zh-CN" w:bidi="ar-SA"/>
        </w:rPr>
        <w:t>激发</w:t>
      </w:r>
      <w:r>
        <w:rPr>
          <w:rFonts w:hint="default" w:ascii="Times New Roman" w:hAnsi="Times New Roman" w:eastAsia="仿宋_GB2312" w:cs="Times New Roman"/>
          <w:kern w:val="2"/>
          <w:sz w:val="32"/>
          <w:szCs w:val="32"/>
          <w:lang w:val="en-US" w:eastAsia="zh-CN" w:bidi="ar-SA"/>
        </w:rPr>
        <w:t>国企“自我”造血功能。</w:t>
      </w:r>
    </w:p>
    <w:p w14:paraId="1116D3A3">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lef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（四）以强化财会监督为抓手，打好风险防范主动仗。</w:t>
      </w:r>
      <w:r>
        <w:rPr>
          <w:rFonts w:hint="eastAsia" w:ascii="Times New Roman" w:hAnsi="Times New Roman" w:eastAsia="仿宋_GB2312" w:cs="Times New Roman"/>
          <w:kern w:val="2"/>
          <w:sz w:val="32"/>
          <w:szCs w:val="32"/>
          <w:lang w:val="en-US" w:eastAsia="zh-CN" w:bidi="ar-SA"/>
        </w:rPr>
        <w:t>全面贯彻落实上级加强财会监督的工作要求，着眼财政资金资源全领域、全方位、全过程，建立健全财会监督机制，</w:t>
      </w:r>
      <w:r>
        <w:rPr>
          <w:rFonts w:hint="default" w:ascii="Times New Roman" w:hAnsi="Times New Roman" w:eastAsia="仿宋_GB2312" w:cs="Times New Roman"/>
          <w:kern w:val="2"/>
          <w:sz w:val="32"/>
          <w:szCs w:val="32"/>
          <w:lang w:val="en-US" w:eastAsia="zh-CN" w:bidi="ar-SA"/>
        </w:rPr>
        <w:t>更好统筹发展和安全</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b/>
          <w:bCs/>
          <w:kern w:val="2"/>
          <w:sz w:val="32"/>
          <w:szCs w:val="32"/>
          <w:lang w:val="en-US" w:eastAsia="zh-CN" w:bidi="ar-SA"/>
        </w:rPr>
        <w:t>聚焦收支重点领域。</w:t>
      </w:r>
      <w:r>
        <w:rPr>
          <w:rFonts w:hint="eastAsia" w:ascii="Times New Roman" w:hAnsi="Times New Roman" w:eastAsia="仿宋_GB2312" w:cs="Times New Roman"/>
          <w:kern w:val="2"/>
          <w:sz w:val="32"/>
          <w:szCs w:val="32"/>
          <w:lang w:val="en-US" w:eastAsia="zh-CN" w:bidi="ar-SA"/>
        </w:rPr>
        <w:t>重点关注和梳理惠民惠农专项资金、违规招商引资和产业奖补、财政收入、专项债券资金使用、财会信息质量等领域风险，</w:t>
      </w:r>
      <w:r>
        <w:rPr>
          <w:rFonts w:hint="eastAsia" w:ascii="Times New Roman" w:hAnsi="Times New Roman" w:cs="Times New Roman"/>
          <w:kern w:val="2"/>
          <w:sz w:val="32"/>
          <w:szCs w:val="32"/>
          <w:lang w:val="en-US" w:eastAsia="zh-CN" w:bidi="ar-SA"/>
        </w:rPr>
        <w:t>认真</w:t>
      </w:r>
      <w:r>
        <w:rPr>
          <w:rFonts w:hint="eastAsia" w:ascii="Times New Roman" w:hAnsi="Times New Roman" w:eastAsia="仿宋_GB2312" w:cs="Times New Roman"/>
          <w:kern w:val="2"/>
          <w:sz w:val="32"/>
          <w:szCs w:val="32"/>
          <w:lang w:val="en-US" w:eastAsia="zh-CN" w:bidi="ar-SA"/>
        </w:rPr>
        <w:t>查找薄弱环节，</w:t>
      </w:r>
      <w:r>
        <w:rPr>
          <w:rFonts w:hint="eastAsia" w:ascii="Times New Roman" w:hAnsi="Times New Roman" w:cs="Times New Roman"/>
          <w:kern w:val="2"/>
          <w:sz w:val="32"/>
          <w:szCs w:val="32"/>
          <w:lang w:val="en-US" w:eastAsia="zh-CN" w:bidi="ar-SA"/>
        </w:rPr>
        <w:t>以查促改，摈弃惯性思维，增强规矩意识，推进依法理财。</w:t>
      </w:r>
      <w:r>
        <w:rPr>
          <w:rFonts w:hint="eastAsia" w:ascii="Times New Roman" w:hAnsi="Times New Roman" w:eastAsia="仿宋_GB2312" w:cs="Times New Roman"/>
          <w:b/>
          <w:bCs/>
          <w:kern w:val="2"/>
          <w:sz w:val="32"/>
          <w:szCs w:val="32"/>
          <w:lang w:val="en-US" w:eastAsia="zh-CN" w:bidi="ar-SA"/>
        </w:rPr>
        <w:t>聚焦债务风险化解。</w:t>
      </w:r>
      <w:r>
        <w:rPr>
          <w:rFonts w:hint="eastAsia" w:ascii="Times New Roman" w:hAnsi="Times New Roman" w:eastAsia="仿宋_GB2312" w:cs="Times New Roman"/>
          <w:kern w:val="2"/>
          <w:sz w:val="32"/>
          <w:szCs w:val="32"/>
          <w:lang w:val="en-US" w:eastAsia="zh-CN" w:bidi="ar-SA"/>
        </w:rPr>
        <w:t>加强全口径地方债务监测，继续推动金融支持化债工作，坚决压实偿债主体责任，积极争取置换债加快隐债化解</w:t>
      </w:r>
      <w:r>
        <w:rPr>
          <w:rFonts w:hint="eastAsia" w:ascii="Times New Roman" w:hAnsi="Times New Roman"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守住“不暴雷”的底线</w:t>
      </w:r>
      <w:r>
        <w:rPr>
          <w:rFonts w:hint="eastAsia" w:ascii="Times New Roman" w:hAnsi="Times New Roman" w:cs="Times New Roman"/>
          <w:kern w:val="2"/>
          <w:sz w:val="32"/>
          <w:szCs w:val="32"/>
          <w:lang w:val="en-US" w:eastAsia="zh-CN" w:bidi="ar-SA"/>
        </w:rPr>
        <w:t>；进一步厘清国有企业和政府的支出边界，优化工作机制，</w:t>
      </w:r>
      <w:r>
        <w:rPr>
          <w:rFonts w:hint="eastAsia" w:ascii="Times New Roman" w:hAnsi="Times New Roman" w:eastAsia="仿宋_GB2312" w:cs="Times New Roman"/>
          <w:kern w:val="2"/>
          <w:sz w:val="32"/>
          <w:szCs w:val="32"/>
          <w:lang w:val="en-US" w:eastAsia="zh-CN" w:bidi="ar-SA"/>
        </w:rPr>
        <w:t>严防新增隐债。</w:t>
      </w:r>
      <w:r>
        <w:rPr>
          <w:rFonts w:hint="eastAsia" w:ascii="Times New Roman" w:hAnsi="Times New Roman" w:eastAsia="仿宋_GB2312" w:cs="Times New Roman"/>
          <w:b/>
          <w:bCs/>
          <w:kern w:val="2"/>
          <w:sz w:val="32"/>
          <w:szCs w:val="32"/>
          <w:lang w:val="en-US" w:eastAsia="zh-CN" w:bidi="ar-SA"/>
        </w:rPr>
        <w:t>聚焦多方协同联动。</w:t>
      </w:r>
      <w:r>
        <w:rPr>
          <w:rFonts w:hint="eastAsia" w:ascii="Times New Roman" w:hAnsi="Times New Roman" w:eastAsia="仿宋_GB2312" w:cs="Times New Roman"/>
          <w:kern w:val="2"/>
          <w:sz w:val="32"/>
          <w:szCs w:val="32"/>
          <w:lang w:val="en-US" w:eastAsia="zh-CN" w:bidi="ar-SA"/>
        </w:rPr>
        <w:t>推动财会监督与人大监督、审计监督、纪检监察监督的贯通协调，突出问题导向，推动整改落实，共筑财政资金规范使用“防火墙”。</w:t>
      </w:r>
    </w:p>
    <w:p w14:paraId="6AEF9518">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80" w:lineRule="exact"/>
        <w:ind w:left="0" w:firstLine="640" w:firstLineChars="200"/>
        <w:jc w:val="both"/>
        <w:textAlignment w:val="auto"/>
        <w:rPr>
          <w:sz w:val="32"/>
          <w:szCs w:val="32"/>
        </w:rPr>
      </w:pPr>
      <w:r>
        <w:rPr>
          <w:rFonts w:hint="default" w:ascii="Times New Roman" w:hAnsi="Times New Roman" w:eastAsia="仿宋_GB2312" w:cs="Times New Roman"/>
          <w:kern w:val="2"/>
          <w:sz w:val="32"/>
          <w:szCs w:val="32"/>
          <w:lang w:val="en-US" w:eastAsia="zh-CN" w:bidi="ar-SA"/>
        </w:rPr>
        <w:t>各位代表，梦虽遥，追则能达；愿虽艰，持则可圆。2025年征程号角已经吹响，我们坚持在工委、管委会、区委的正确领导和区人大、区政协的有力监督下，不辱使命，砥砺奋进，脚踏实地干工作，为推进新区中国式现代化建设贡献力量！</w:t>
      </w:r>
    </w:p>
    <w:sectPr>
      <w:footerReference r:id="rId3" w:type="default"/>
      <w:pgSz w:w="11906" w:h="16838"/>
      <w:pgMar w:top="1417" w:right="153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B1BE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04231C">
                          <w:pPr>
                            <w:pStyle w:val="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04231C">
                    <w:pPr>
                      <w:pStyle w:val="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7F806C"/>
    <w:multiLevelType w:val="singleLevel"/>
    <w:tmpl w:val="607F806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2B5119"/>
    <w:rsid w:val="00044340"/>
    <w:rsid w:val="000E0655"/>
    <w:rsid w:val="00361181"/>
    <w:rsid w:val="004916C5"/>
    <w:rsid w:val="006905D8"/>
    <w:rsid w:val="006A1B96"/>
    <w:rsid w:val="006B1B57"/>
    <w:rsid w:val="00847283"/>
    <w:rsid w:val="00A0196C"/>
    <w:rsid w:val="00C45A09"/>
    <w:rsid w:val="00DE7D4A"/>
    <w:rsid w:val="0128199D"/>
    <w:rsid w:val="01380392"/>
    <w:rsid w:val="01404292"/>
    <w:rsid w:val="01450FFE"/>
    <w:rsid w:val="014A22C3"/>
    <w:rsid w:val="015B4F0C"/>
    <w:rsid w:val="01624819"/>
    <w:rsid w:val="01753716"/>
    <w:rsid w:val="018411EC"/>
    <w:rsid w:val="0187483B"/>
    <w:rsid w:val="01907918"/>
    <w:rsid w:val="01975A31"/>
    <w:rsid w:val="01A45709"/>
    <w:rsid w:val="01A55424"/>
    <w:rsid w:val="01A71BF0"/>
    <w:rsid w:val="01AA0AFD"/>
    <w:rsid w:val="01AA24C2"/>
    <w:rsid w:val="01AF2EA4"/>
    <w:rsid w:val="01B230B3"/>
    <w:rsid w:val="01B61582"/>
    <w:rsid w:val="01B9389A"/>
    <w:rsid w:val="01D37A89"/>
    <w:rsid w:val="01D4342D"/>
    <w:rsid w:val="01D519FE"/>
    <w:rsid w:val="01DF5E48"/>
    <w:rsid w:val="01E12220"/>
    <w:rsid w:val="01E34D23"/>
    <w:rsid w:val="01E918F9"/>
    <w:rsid w:val="01FE1053"/>
    <w:rsid w:val="01FE29EA"/>
    <w:rsid w:val="022E1DEF"/>
    <w:rsid w:val="0238129E"/>
    <w:rsid w:val="02482FF8"/>
    <w:rsid w:val="0254057E"/>
    <w:rsid w:val="0266297B"/>
    <w:rsid w:val="027A3C95"/>
    <w:rsid w:val="02835344"/>
    <w:rsid w:val="02917CC8"/>
    <w:rsid w:val="02942690"/>
    <w:rsid w:val="029E4639"/>
    <w:rsid w:val="02A4226B"/>
    <w:rsid w:val="02A63B4E"/>
    <w:rsid w:val="02B56974"/>
    <w:rsid w:val="02C8312B"/>
    <w:rsid w:val="02D545C2"/>
    <w:rsid w:val="02D755AE"/>
    <w:rsid w:val="02DD3CA2"/>
    <w:rsid w:val="02F11176"/>
    <w:rsid w:val="02FE4B05"/>
    <w:rsid w:val="0300744F"/>
    <w:rsid w:val="03073C19"/>
    <w:rsid w:val="03183297"/>
    <w:rsid w:val="031D54BC"/>
    <w:rsid w:val="031D6C39"/>
    <w:rsid w:val="03203EC5"/>
    <w:rsid w:val="03213A12"/>
    <w:rsid w:val="034F16EC"/>
    <w:rsid w:val="036D6DB0"/>
    <w:rsid w:val="03791ECF"/>
    <w:rsid w:val="0386205A"/>
    <w:rsid w:val="03A879FC"/>
    <w:rsid w:val="03BE2741"/>
    <w:rsid w:val="03D82984"/>
    <w:rsid w:val="03DF547A"/>
    <w:rsid w:val="04040433"/>
    <w:rsid w:val="041A00B4"/>
    <w:rsid w:val="04253FAA"/>
    <w:rsid w:val="04365D3D"/>
    <w:rsid w:val="044503A2"/>
    <w:rsid w:val="045A5F5F"/>
    <w:rsid w:val="045B3D46"/>
    <w:rsid w:val="046023B5"/>
    <w:rsid w:val="04616877"/>
    <w:rsid w:val="046E2412"/>
    <w:rsid w:val="048132DB"/>
    <w:rsid w:val="048A6F46"/>
    <w:rsid w:val="048E7004"/>
    <w:rsid w:val="04952F87"/>
    <w:rsid w:val="049E5F6E"/>
    <w:rsid w:val="04A80760"/>
    <w:rsid w:val="04B67048"/>
    <w:rsid w:val="04CA62F8"/>
    <w:rsid w:val="04D84F81"/>
    <w:rsid w:val="04E60824"/>
    <w:rsid w:val="04F02531"/>
    <w:rsid w:val="04F61161"/>
    <w:rsid w:val="050722BF"/>
    <w:rsid w:val="05131955"/>
    <w:rsid w:val="051A2C77"/>
    <w:rsid w:val="051D43D5"/>
    <w:rsid w:val="051E1F1B"/>
    <w:rsid w:val="052E6104"/>
    <w:rsid w:val="054312BB"/>
    <w:rsid w:val="056D0AA3"/>
    <w:rsid w:val="0586701F"/>
    <w:rsid w:val="05903A3C"/>
    <w:rsid w:val="059D12DC"/>
    <w:rsid w:val="05AC708B"/>
    <w:rsid w:val="05BB003C"/>
    <w:rsid w:val="05C726D1"/>
    <w:rsid w:val="05CA14FA"/>
    <w:rsid w:val="05D95063"/>
    <w:rsid w:val="05DA2A63"/>
    <w:rsid w:val="05F63D5D"/>
    <w:rsid w:val="06031CC5"/>
    <w:rsid w:val="060C1392"/>
    <w:rsid w:val="0610601E"/>
    <w:rsid w:val="061651F0"/>
    <w:rsid w:val="06181BCF"/>
    <w:rsid w:val="06201E4D"/>
    <w:rsid w:val="06286DB9"/>
    <w:rsid w:val="062C5BEF"/>
    <w:rsid w:val="062D4C3D"/>
    <w:rsid w:val="064168E7"/>
    <w:rsid w:val="064A3648"/>
    <w:rsid w:val="06504B52"/>
    <w:rsid w:val="065E7569"/>
    <w:rsid w:val="066859A0"/>
    <w:rsid w:val="066949CC"/>
    <w:rsid w:val="066A0081"/>
    <w:rsid w:val="06703D50"/>
    <w:rsid w:val="06742A81"/>
    <w:rsid w:val="06757F06"/>
    <w:rsid w:val="06945CE9"/>
    <w:rsid w:val="069E1C6E"/>
    <w:rsid w:val="06A34B7A"/>
    <w:rsid w:val="06B85015"/>
    <w:rsid w:val="06C14C18"/>
    <w:rsid w:val="06C72F4F"/>
    <w:rsid w:val="06D3378D"/>
    <w:rsid w:val="06D802A7"/>
    <w:rsid w:val="06D83FFD"/>
    <w:rsid w:val="06D92C09"/>
    <w:rsid w:val="06DF45E3"/>
    <w:rsid w:val="06E83972"/>
    <w:rsid w:val="06EB4674"/>
    <w:rsid w:val="06F30112"/>
    <w:rsid w:val="06FC3219"/>
    <w:rsid w:val="07003655"/>
    <w:rsid w:val="07095482"/>
    <w:rsid w:val="072E5089"/>
    <w:rsid w:val="07401714"/>
    <w:rsid w:val="07417F6F"/>
    <w:rsid w:val="07464ADF"/>
    <w:rsid w:val="07516DC5"/>
    <w:rsid w:val="075E3C09"/>
    <w:rsid w:val="0783014F"/>
    <w:rsid w:val="07833BDB"/>
    <w:rsid w:val="07B16C5A"/>
    <w:rsid w:val="07B27703"/>
    <w:rsid w:val="07C95439"/>
    <w:rsid w:val="07EC2730"/>
    <w:rsid w:val="08053DF5"/>
    <w:rsid w:val="08081F0A"/>
    <w:rsid w:val="081F5D20"/>
    <w:rsid w:val="08244748"/>
    <w:rsid w:val="082923F9"/>
    <w:rsid w:val="08295378"/>
    <w:rsid w:val="082C7709"/>
    <w:rsid w:val="08377A76"/>
    <w:rsid w:val="08386FC6"/>
    <w:rsid w:val="083A78BB"/>
    <w:rsid w:val="083C3124"/>
    <w:rsid w:val="08450366"/>
    <w:rsid w:val="085A7C41"/>
    <w:rsid w:val="086F2CA0"/>
    <w:rsid w:val="0876637F"/>
    <w:rsid w:val="08777956"/>
    <w:rsid w:val="08911077"/>
    <w:rsid w:val="089B34EB"/>
    <w:rsid w:val="08CC079B"/>
    <w:rsid w:val="08E65F0A"/>
    <w:rsid w:val="08F5136B"/>
    <w:rsid w:val="08F5171A"/>
    <w:rsid w:val="08F638CC"/>
    <w:rsid w:val="08F816EE"/>
    <w:rsid w:val="08FC2115"/>
    <w:rsid w:val="090735D1"/>
    <w:rsid w:val="091006CD"/>
    <w:rsid w:val="09237D5D"/>
    <w:rsid w:val="092B0A54"/>
    <w:rsid w:val="092F39C1"/>
    <w:rsid w:val="09326CB2"/>
    <w:rsid w:val="097415D3"/>
    <w:rsid w:val="098234D6"/>
    <w:rsid w:val="09A67C3F"/>
    <w:rsid w:val="09BA4645"/>
    <w:rsid w:val="09BF1AF0"/>
    <w:rsid w:val="09C54888"/>
    <w:rsid w:val="09C73E82"/>
    <w:rsid w:val="09CD5EFA"/>
    <w:rsid w:val="09D62374"/>
    <w:rsid w:val="0A0159CC"/>
    <w:rsid w:val="0A1D4FBB"/>
    <w:rsid w:val="0A203BDD"/>
    <w:rsid w:val="0A3424CF"/>
    <w:rsid w:val="0A3434A4"/>
    <w:rsid w:val="0A350E1F"/>
    <w:rsid w:val="0A3608D1"/>
    <w:rsid w:val="0A3C757D"/>
    <w:rsid w:val="0A3E4E22"/>
    <w:rsid w:val="0A5767D3"/>
    <w:rsid w:val="0A5A4522"/>
    <w:rsid w:val="0A653238"/>
    <w:rsid w:val="0A6978AD"/>
    <w:rsid w:val="0A733877"/>
    <w:rsid w:val="0A7909C1"/>
    <w:rsid w:val="0A835E85"/>
    <w:rsid w:val="0AA23B5C"/>
    <w:rsid w:val="0AAA58CA"/>
    <w:rsid w:val="0AB03DC3"/>
    <w:rsid w:val="0AC624A7"/>
    <w:rsid w:val="0AC92681"/>
    <w:rsid w:val="0ADF636A"/>
    <w:rsid w:val="0AE858C5"/>
    <w:rsid w:val="0AE97750"/>
    <w:rsid w:val="0B0C6648"/>
    <w:rsid w:val="0B0D20B0"/>
    <w:rsid w:val="0B2247DE"/>
    <w:rsid w:val="0B392127"/>
    <w:rsid w:val="0B453753"/>
    <w:rsid w:val="0B461113"/>
    <w:rsid w:val="0B4D7A1F"/>
    <w:rsid w:val="0B67573E"/>
    <w:rsid w:val="0B732735"/>
    <w:rsid w:val="0B802CBB"/>
    <w:rsid w:val="0B9A556F"/>
    <w:rsid w:val="0BA7343B"/>
    <w:rsid w:val="0BC565E9"/>
    <w:rsid w:val="0BD24D8B"/>
    <w:rsid w:val="0BE278AF"/>
    <w:rsid w:val="0BE652BF"/>
    <w:rsid w:val="0BF34004"/>
    <w:rsid w:val="0C012E75"/>
    <w:rsid w:val="0C0C2FCA"/>
    <w:rsid w:val="0C0D5591"/>
    <w:rsid w:val="0C0E79F1"/>
    <w:rsid w:val="0C2445BB"/>
    <w:rsid w:val="0C3E17A8"/>
    <w:rsid w:val="0C4760C1"/>
    <w:rsid w:val="0C5269AE"/>
    <w:rsid w:val="0C5827E6"/>
    <w:rsid w:val="0C5E1095"/>
    <w:rsid w:val="0CA438D8"/>
    <w:rsid w:val="0CA57CDC"/>
    <w:rsid w:val="0CC94A78"/>
    <w:rsid w:val="0CF05934"/>
    <w:rsid w:val="0CF35F05"/>
    <w:rsid w:val="0CFE29B1"/>
    <w:rsid w:val="0D066A5B"/>
    <w:rsid w:val="0D0B2C81"/>
    <w:rsid w:val="0D0C5E2E"/>
    <w:rsid w:val="0D1233E7"/>
    <w:rsid w:val="0D244268"/>
    <w:rsid w:val="0D272939"/>
    <w:rsid w:val="0D3C4363"/>
    <w:rsid w:val="0D5B5740"/>
    <w:rsid w:val="0D693D8C"/>
    <w:rsid w:val="0D6D3EB4"/>
    <w:rsid w:val="0D6F1D78"/>
    <w:rsid w:val="0D7531CE"/>
    <w:rsid w:val="0D7B5B51"/>
    <w:rsid w:val="0D93119E"/>
    <w:rsid w:val="0D940025"/>
    <w:rsid w:val="0D980426"/>
    <w:rsid w:val="0DC07B72"/>
    <w:rsid w:val="0DC62D0E"/>
    <w:rsid w:val="0DC84899"/>
    <w:rsid w:val="0DDD72D0"/>
    <w:rsid w:val="0DE27332"/>
    <w:rsid w:val="0DEE34F9"/>
    <w:rsid w:val="0DF14BEF"/>
    <w:rsid w:val="0DF22B1B"/>
    <w:rsid w:val="0E0A629E"/>
    <w:rsid w:val="0E14523F"/>
    <w:rsid w:val="0E2D3871"/>
    <w:rsid w:val="0E483906"/>
    <w:rsid w:val="0E4A3CD6"/>
    <w:rsid w:val="0E5F3F80"/>
    <w:rsid w:val="0EB34FE3"/>
    <w:rsid w:val="0ED273E9"/>
    <w:rsid w:val="0EE33D73"/>
    <w:rsid w:val="0F052650"/>
    <w:rsid w:val="0F063F6E"/>
    <w:rsid w:val="0F0C699F"/>
    <w:rsid w:val="0F1748E6"/>
    <w:rsid w:val="0F1B3447"/>
    <w:rsid w:val="0F305E3B"/>
    <w:rsid w:val="0F5925EF"/>
    <w:rsid w:val="0F6C000D"/>
    <w:rsid w:val="0F743961"/>
    <w:rsid w:val="0F854084"/>
    <w:rsid w:val="0F8601A2"/>
    <w:rsid w:val="0F8C6341"/>
    <w:rsid w:val="0FB0568E"/>
    <w:rsid w:val="0FBE477F"/>
    <w:rsid w:val="0FC05407"/>
    <w:rsid w:val="0FD753DE"/>
    <w:rsid w:val="0FDE3B5A"/>
    <w:rsid w:val="100E7EAF"/>
    <w:rsid w:val="10332BD2"/>
    <w:rsid w:val="10332FAF"/>
    <w:rsid w:val="10563DAE"/>
    <w:rsid w:val="10581AA5"/>
    <w:rsid w:val="10624C47"/>
    <w:rsid w:val="108207F0"/>
    <w:rsid w:val="109D37D9"/>
    <w:rsid w:val="10CC26BA"/>
    <w:rsid w:val="10CE2E09"/>
    <w:rsid w:val="11017FF4"/>
    <w:rsid w:val="112162A7"/>
    <w:rsid w:val="11234778"/>
    <w:rsid w:val="11297A22"/>
    <w:rsid w:val="113F5A71"/>
    <w:rsid w:val="11427982"/>
    <w:rsid w:val="116018E2"/>
    <w:rsid w:val="11797FCD"/>
    <w:rsid w:val="11876CEC"/>
    <w:rsid w:val="118802E0"/>
    <w:rsid w:val="11880B69"/>
    <w:rsid w:val="11950B0F"/>
    <w:rsid w:val="119D5D21"/>
    <w:rsid w:val="11A61D9F"/>
    <w:rsid w:val="11AC294E"/>
    <w:rsid w:val="11BD2410"/>
    <w:rsid w:val="11F64C9F"/>
    <w:rsid w:val="11F929B5"/>
    <w:rsid w:val="11F9648D"/>
    <w:rsid w:val="11FF673D"/>
    <w:rsid w:val="121964B0"/>
    <w:rsid w:val="122E2289"/>
    <w:rsid w:val="12447FCC"/>
    <w:rsid w:val="12501B14"/>
    <w:rsid w:val="125A5946"/>
    <w:rsid w:val="12753088"/>
    <w:rsid w:val="128118AD"/>
    <w:rsid w:val="128C47B5"/>
    <w:rsid w:val="128F53DE"/>
    <w:rsid w:val="1290462B"/>
    <w:rsid w:val="12917C81"/>
    <w:rsid w:val="129B52A0"/>
    <w:rsid w:val="12A0160E"/>
    <w:rsid w:val="12A54FC4"/>
    <w:rsid w:val="12A64D26"/>
    <w:rsid w:val="12C74310"/>
    <w:rsid w:val="12C837EE"/>
    <w:rsid w:val="12C96BA5"/>
    <w:rsid w:val="12D17E46"/>
    <w:rsid w:val="12D22ABF"/>
    <w:rsid w:val="12E313CA"/>
    <w:rsid w:val="12F06CB2"/>
    <w:rsid w:val="12F67F55"/>
    <w:rsid w:val="12FB02C9"/>
    <w:rsid w:val="130F22E5"/>
    <w:rsid w:val="13166436"/>
    <w:rsid w:val="13255E0F"/>
    <w:rsid w:val="132960D6"/>
    <w:rsid w:val="133C0BF8"/>
    <w:rsid w:val="134C687A"/>
    <w:rsid w:val="134D7756"/>
    <w:rsid w:val="13556B8C"/>
    <w:rsid w:val="137B3F3F"/>
    <w:rsid w:val="139A60B5"/>
    <w:rsid w:val="139A6827"/>
    <w:rsid w:val="139C366D"/>
    <w:rsid w:val="13A56970"/>
    <w:rsid w:val="13B26D51"/>
    <w:rsid w:val="13B706FA"/>
    <w:rsid w:val="13BD25DC"/>
    <w:rsid w:val="13BF132E"/>
    <w:rsid w:val="13C51863"/>
    <w:rsid w:val="13CA0F8E"/>
    <w:rsid w:val="13CB2932"/>
    <w:rsid w:val="13D214E4"/>
    <w:rsid w:val="13DE3E23"/>
    <w:rsid w:val="13F00AE5"/>
    <w:rsid w:val="13FE2E79"/>
    <w:rsid w:val="13FF04E7"/>
    <w:rsid w:val="140338F1"/>
    <w:rsid w:val="14087A6A"/>
    <w:rsid w:val="140A39D0"/>
    <w:rsid w:val="140B41E9"/>
    <w:rsid w:val="141631D4"/>
    <w:rsid w:val="14240788"/>
    <w:rsid w:val="142B7824"/>
    <w:rsid w:val="14344CD8"/>
    <w:rsid w:val="146200CF"/>
    <w:rsid w:val="1491791E"/>
    <w:rsid w:val="14931DD6"/>
    <w:rsid w:val="14957A28"/>
    <w:rsid w:val="14971848"/>
    <w:rsid w:val="14980506"/>
    <w:rsid w:val="14A62936"/>
    <w:rsid w:val="14AA529A"/>
    <w:rsid w:val="14B44EDB"/>
    <w:rsid w:val="14D54C78"/>
    <w:rsid w:val="14E6425C"/>
    <w:rsid w:val="14EC38D1"/>
    <w:rsid w:val="150A2278"/>
    <w:rsid w:val="150B169E"/>
    <w:rsid w:val="151378A2"/>
    <w:rsid w:val="15402121"/>
    <w:rsid w:val="156760D7"/>
    <w:rsid w:val="156B530B"/>
    <w:rsid w:val="156D1A2B"/>
    <w:rsid w:val="15A03BCA"/>
    <w:rsid w:val="15A65AD8"/>
    <w:rsid w:val="15B41B56"/>
    <w:rsid w:val="15BE0E94"/>
    <w:rsid w:val="15C83C36"/>
    <w:rsid w:val="15CD760F"/>
    <w:rsid w:val="15F00444"/>
    <w:rsid w:val="16035649"/>
    <w:rsid w:val="160F55F3"/>
    <w:rsid w:val="16101348"/>
    <w:rsid w:val="161923CB"/>
    <w:rsid w:val="161D5ED1"/>
    <w:rsid w:val="16335D89"/>
    <w:rsid w:val="16384AD3"/>
    <w:rsid w:val="16445B55"/>
    <w:rsid w:val="164E4C5F"/>
    <w:rsid w:val="166452D1"/>
    <w:rsid w:val="166B72CC"/>
    <w:rsid w:val="1678117D"/>
    <w:rsid w:val="167B650D"/>
    <w:rsid w:val="16824ED7"/>
    <w:rsid w:val="16856779"/>
    <w:rsid w:val="168F09D0"/>
    <w:rsid w:val="16AB4670"/>
    <w:rsid w:val="16B35F4C"/>
    <w:rsid w:val="16BD099A"/>
    <w:rsid w:val="16C7234F"/>
    <w:rsid w:val="170F0410"/>
    <w:rsid w:val="17127D0E"/>
    <w:rsid w:val="172E34C3"/>
    <w:rsid w:val="17450558"/>
    <w:rsid w:val="174777DB"/>
    <w:rsid w:val="176B696B"/>
    <w:rsid w:val="177F5404"/>
    <w:rsid w:val="17841B37"/>
    <w:rsid w:val="179851A5"/>
    <w:rsid w:val="17A110C6"/>
    <w:rsid w:val="17B1632A"/>
    <w:rsid w:val="17B21392"/>
    <w:rsid w:val="17B44976"/>
    <w:rsid w:val="17DF726E"/>
    <w:rsid w:val="180973FA"/>
    <w:rsid w:val="18120268"/>
    <w:rsid w:val="1830654C"/>
    <w:rsid w:val="184D30DC"/>
    <w:rsid w:val="187B33EE"/>
    <w:rsid w:val="187C56B2"/>
    <w:rsid w:val="187F2E71"/>
    <w:rsid w:val="18963C6F"/>
    <w:rsid w:val="18985081"/>
    <w:rsid w:val="18A72A31"/>
    <w:rsid w:val="18AD136D"/>
    <w:rsid w:val="18B513A4"/>
    <w:rsid w:val="18B552C7"/>
    <w:rsid w:val="18B959B0"/>
    <w:rsid w:val="18BA3FDB"/>
    <w:rsid w:val="18C56FB2"/>
    <w:rsid w:val="18C75292"/>
    <w:rsid w:val="18D975CA"/>
    <w:rsid w:val="18EB70C9"/>
    <w:rsid w:val="18EC7597"/>
    <w:rsid w:val="18F14772"/>
    <w:rsid w:val="191B2B93"/>
    <w:rsid w:val="191D1EB9"/>
    <w:rsid w:val="1930565B"/>
    <w:rsid w:val="19351452"/>
    <w:rsid w:val="193C4471"/>
    <w:rsid w:val="193F7975"/>
    <w:rsid w:val="19475172"/>
    <w:rsid w:val="19676EF0"/>
    <w:rsid w:val="1969519C"/>
    <w:rsid w:val="196E5B87"/>
    <w:rsid w:val="197D7A93"/>
    <w:rsid w:val="19A15BEE"/>
    <w:rsid w:val="19AD54A0"/>
    <w:rsid w:val="19B371E8"/>
    <w:rsid w:val="19C52D74"/>
    <w:rsid w:val="19F225B2"/>
    <w:rsid w:val="19F63D3E"/>
    <w:rsid w:val="1A240D9D"/>
    <w:rsid w:val="1A2A3E1D"/>
    <w:rsid w:val="1A341DD0"/>
    <w:rsid w:val="1A432FC4"/>
    <w:rsid w:val="1A4C72E8"/>
    <w:rsid w:val="1A4D7C0A"/>
    <w:rsid w:val="1A87692F"/>
    <w:rsid w:val="1A8928EE"/>
    <w:rsid w:val="1A8D331B"/>
    <w:rsid w:val="1A9264B2"/>
    <w:rsid w:val="1AB6612E"/>
    <w:rsid w:val="1AC75F69"/>
    <w:rsid w:val="1ACA68F0"/>
    <w:rsid w:val="1AD110E8"/>
    <w:rsid w:val="1AD25C1A"/>
    <w:rsid w:val="1ADA5A4F"/>
    <w:rsid w:val="1AEA72C1"/>
    <w:rsid w:val="1AEF7916"/>
    <w:rsid w:val="1AF743FD"/>
    <w:rsid w:val="1B041AA2"/>
    <w:rsid w:val="1B0D0826"/>
    <w:rsid w:val="1B144A7C"/>
    <w:rsid w:val="1B17056E"/>
    <w:rsid w:val="1B172EB8"/>
    <w:rsid w:val="1B19175B"/>
    <w:rsid w:val="1B2F1712"/>
    <w:rsid w:val="1B3125E6"/>
    <w:rsid w:val="1B375F65"/>
    <w:rsid w:val="1B3A45DE"/>
    <w:rsid w:val="1B3F4FE5"/>
    <w:rsid w:val="1B545709"/>
    <w:rsid w:val="1B564F2A"/>
    <w:rsid w:val="1B566B6C"/>
    <w:rsid w:val="1B5C3699"/>
    <w:rsid w:val="1B69020F"/>
    <w:rsid w:val="1B786FC4"/>
    <w:rsid w:val="1B7D53EB"/>
    <w:rsid w:val="1B7F3DDE"/>
    <w:rsid w:val="1B901190"/>
    <w:rsid w:val="1B9240C4"/>
    <w:rsid w:val="1B935F04"/>
    <w:rsid w:val="1BA564B2"/>
    <w:rsid w:val="1BAC4B7E"/>
    <w:rsid w:val="1BB36CB9"/>
    <w:rsid w:val="1BB819D9"/>
    <w:rsid w:val="1BBF6180"/>
    <w:rsid w:val="1BBF61C6"/>
    <w:rsid w:val="1BDE7C4E"/>
    <w:rsid w:val="1BEB6786"/>
    <w:rsid w:val="1BF36A08"/>
    <w:rsid w:val="1BF76B99"/>
    <w:rsid w:val="1C0E7879"/>
    <w:rsid w:val="1C144448"/>
    <w:rsid w:val="1C176AE6"/>
    <w:rsid w:val="1C2F17EF"/>
    <w:rsid w:val="1C33039D"/>
    <w:rsid w:val="1C3B1ACC"/>
    <w:rsid w:val="1C423D2C"/>
    <w:rsid w:val="1C4742FA"/>
    <w:rsid w:val="1C4E32C2"/>
    <w:rsid w:val="1C535625"/>
    <w:rsid w:val="1C7620FC"/>
    <w:rsid w:val="1C89644C"/>
    <w:rsid w:val="1CA94124"/>
    <w:rsid w:val="1CA956F5"/>
    <w:rsid w:val="1CDD089E"/>
    <w:rsid w:val="1CEF5E1B"/>
    <w:rsid w:val="1CFC4876"/>
    <w:rsid w:val="1CFD70A5"/>
    <w:rsid w:val="1D0A4BAC"/>
    <w:rsid w:val="1D166143"/>
    <w:rsid w:val="1D285C1A"/>
    <w:rsid w:val="1D345936"/>
    <w:rsid w:val="1D3D234E"/>
    <w:rsid w:val="1D3E1393"/>
    <w:rsid w:val="1D440087"/>
    <w:rsid w:val="1D4A5F2D"/>
    <w:rsid w:val="1D4B162B"/>
    <w:rsid w:val="1D4B3F41"/>
    <w:rsid w:val="1D610480"/>
    <w:rsid w:val="1D695324"/>
    <w:rsid w:val="1D71258E"/>
    <w:rsid w:val="1D760CC0"/>
    <w:rsid w:val="1D88431A"/>
    <w:rsid w:val="1D9857E6"/>
    <w:rsid w:val="1DA331F0"/>
    <w:rsid w:val="1DB34CC9"/>
    <w:rsid w:val="1DB91DB3"/>
    <w:rsid w:val="1DC457CD"/>
    <w:rsid w:val="1DDD7DA4"/>
    <w:rsid w:val="1E04327A"/>
    <w:rsid w:val="1E0D6037"/>
    <w:rsid w:val="1E2F2FC6"/>
    <w:rsid w:val="1E303698"/>
    <w:rsid w:val="1E3401EB"/>
    <w:rsid w:val="1E4551ED"/>
    <w:rsid w:val="1E5531D3"/>
    <w:rsid w:val="1E6F49D8"/>
    <w:rsid w:val="1E820CBF"/>
    <w:rsid w:val="1E96617C"/>
    <w:rsid w:val="1E9B7DC1"/>
    <w:rsid w:val="1EB26D78"/>
    <w:rsid w:val="1EC05CD3"/>
    <w:rsid w:val="1EE3702B"/>
    <w:rsid w:val="1EE37844"/>
    <w:rsid w:val="1EEB3EF9"/>
    <w:rsid w:val="1EF57527"/>
    <w:rsid w:val="1EF97E29"/>
    <w:rsid w:val="1EFA20D2"/>
    <w:rsid w:val="1F23043A"/>
    <w:rsid w:val="1F416E92"/>
    <w:rsid w:val="1F426C79"/>
    <w:rsid w:val="1F4B32F1"/>
    <w:rsid w:val="1F4D2C70"/>
    <w:rsid w:val="1F506F4B"/>
    <w:rsid w:val="1FC16233"/>
    <w:rsid w:val="1FC266E1"/>
    <w:rsid w:val="1FE801D8"/>
    <w:rsid w:val="1FE84886"/>
    <w:rsid w:val="1FFB7C67"/>
    <w:rsid w:val="1FFD79C7"/>
    <w:rsid w:val="1FFE39EB"/>
    <w:rsid w:val="200E523C"/>
    <w:rsid w:val="202C1B9A"/>
    <w:rsid w:val="203D0A1E"/>
    <w:rsid w:val="2042625A"/>
    <w:rsid w:val="204B0CB6"/>
    <w:rsid w:val="20600BEA"/>
    <w:rsid w:val="206F02BC"/>
    <w:rsid w:val="207B0EB3"/>
    <w:rsid w:val="207E208F"/>
    <w:rsid w:val="20914157"/>
    <w:rsid w:val="209F147A"/>
    <w:rsid w:val="20A7574C"/>
    <w:rsid w:val="20A868AA"/>
    <w:rsid w:val="20AB466A"/>
    <w:rsid w:val="20C87A02"/>
    <w:rsid w:val="20DC1462"/>
    <w:rsid w:val="20DF4829"/>
    <w:rsid w:val="20E632F7"/>
    <w:rsid w:val="20F978F2"/>
    <w:rsid w:val="20FC456A"/>
    <w:rsid w:val="210E51AB"/>
    <w:rsid w:val="211F06FE"/>
    <w:rsid w:val="21281544"/>
    <w:rsid w:val="213717A8"/>
    <w:rsid w:val="213B2685"/>
    <w:rsid w:val="213F2D8D"/>
    <w:rsid w:val="214539FE"/>
    <w:rsid w:val="21454CF4"/>
    <w:rsid w:val="215D2B19"/>
    <w:rsid w:val="215F347E"/>
    <w:rsid w:val="218006F6"/>
    <w:rsid w:val="21A557DB"/>
    <w:rsid w:val="21AE688A"/>
    <w:rsid w:val="21D06EC4"/>
    <w:rsid w:val="21D73153"/>
    <w:rsid w:val="21E74D9D"/>
    <w:rsid w:val="21FD2236"/>
    <w:rsid w:val="22055724"/>
    <w:rsid w:val="2207617D"/>
    <w:rsid w:val="223064D0"/>
    <w:rsid w:val="22415D94"/>
    <w:rsid w:val="22482523"/>
    <w:rsid w:val="22545A2E"/>
    <w:rsid w:val="22565463"/>
    <w:rsid w:val="225B36E8"/>
    <w:rsid w:val="2267270E"/>
    <w:rsid w:val="226A0675"/>
    <w:rsid w:val="2273340F"/>
    <w:rsid w:val="22900B88"/>
    <w:rsid w:val="22A30B8F"/>
    <w:rsid w:val="22A674FC"/>
    <w:rsid w:val="22B37EDB"/>
    <w:rsid w:val="22C4286A"/>
    <w:rsid w:val="22E6497D"/>
    <w:rsid w:val="230B757A"/>
    <w:rsid w:val="23121D7B"/>
    <w:rsid w:val="231F7DD5"/>
    <w:rsid w:val="233205E2"/>
    <w:rsid w:val="234664AC"/>
    <w:rsid w:val="235A4DB9"/>
    <w:rsid w:val="236E3468"/>
    <w:rsid w:val="237A7BC5"/>
    <w:rsid w:val="238C0990"/>
    <w:rsid w:val="238F21CF"/>
    <w:rsid w:val="23952E59"/>
    <w:rsid w:val="23994966"/>
    <w:rsid w:val="23B47CC7"/>
    <w:rsid w:val="23BB0B34"/>
    <w:rsid w:val="23C231E8"/>
    <w:rsid w:val="23C664F8"/>
    <w:rsid w:val="23CE02A3"/>
    <w:rsid w:val="23DB42CE"/>
    <w:rsid w:val="23DC0D6D"/>
    <w:rsid w:val="23E52400"/>
    <w:rsid w:val="23E76440"/>
    <w:rsid w:val="23EA0A14"/>
    <w:rsid w:val="23EB3D79"/>
    <w:rsid w:val="23ED6392"/>
    <w:rsid w:val="23F402FA"/>
    <w:rsid w:val="23F63EF2"/>
    <w:rsid w:val="24081646"/>
    <w:rsid w:val="2409471A"/>
    <w:rsid w:val="24096A8D"/>
    <w:rsid w:val="240C6FDE"/>
    <w:rsid w:val="240E64E0"/>
    <w:rsid w:val="240F63C9"/>
    <w:rsid w:val="241101F0"/>
    <w:rsid w:val="241B4260"/>
    <w:rsid w:val="241F6352"/>
    <w:rsid w:val="24423900"/>
    <w:rsid w:val="24464D45"/>
    <w:rsid w:val="245C737E"/>
    <w:rsid w:val="2466694F"/>
    <w:rsid w:val="247F6217"/>
    <w:rsid w:val="2494489A"/>
    <w:rsid w:val="24A154E8"/>
    <w:rsid w:val="24AD0063"/>
    <w:rsid w:val="24AF08A4"/>
    <w:rsid w:val="24C07D71"/>
    <w:rsid w:val="24D22E37"/>
    <w:rsid w:val="24D71B5A"/>
    <w:rsid w:val="24F22C71"/>
    <w:rsid w:val="24FA7B63"/>
    <w:rsid w:val="2504749C"/>
    <w:rsid w:val="251E63C8"/>
    <w:rsid w:val="252411B2"/>
    <w:rsid w:val="252A55A6"/>
    <w:rsid w:val="252B5119"/>
    <w:rsid w:val="253604C7"/>
    <w:rsid w:val="253F5E98"/>
    <w:rsid w:val="25427371"/>
    <w:rsid w:val="254C7190"/>
    <w:rsid w:val="25761FA9"/>
    <w:rsid w:val="2586087B"/>
    <w:rsid w:val="25875CFF"/>
    <w:rsid w:val="25896A50"/>
    <w:rsid w:val="259A3168"/>
    <w:rsid w:val="25AB56B4"/>
    <w:rsid w:val="25B54C87"/>
    <w:rsid w:val="25EA4D5C"/>
    <w:rsid w:val="25F16988"/>
    <w:rsid w:val="261374F6"/>
    <w:rsid w:val="26244CE7"/>
    <w:rsid w:val="2627232B"/>
    <w:rsid w:val="26291C8A"/>
    <w:rsid w:val="263B10C6"/>
    <w:rsid w:val="26530581"/>
    <w:rsid w:val="26555F97"/>
    <w:rsid w:val="266337EB"/>
    <w:rsid w:val="266A0419"/>
    <w:rsid w:val="266F4B46"/>
    <w:rsid w:val="26736A9D"/>
    <w:rsid w:val="26753108"/>
    <w:rsid w:val="2676498C"/>
    <w:rsid w:val="26843A3F"/>
    <w:rsid w:val="268A2FE9"/>
    <w:rsid w:val="269A3370"/>
    <w:rsid w:val="26AB442B"/>
    <w:rsid w:val="26CF35DD"/>
    <w:rsid w:val="26EB30CB"/>
    <w:rsid w:val="271A3DF4"/>
    <w:rsid w:val="271C0E57"/>
    <w:rsid w:val="272D73EF"/>
    <w:rsid w:val="273B3686"/>
    <w:rsid w:val="27452691"/>
    <w:rsid w:val="2756504F"/>
    <w:rsid w:val="276E2DA6"/>
    <w:rsid w:val="276F6677"/>
    <w:rsid w:val="2771018A"/>
    <w:rsid w:val="27740516"/>
    <w:rsid w:val="2776239E"/>
    <w:rsid w:val="277673AC"/>
    <w:rsid w:val="27836A60"/>
    <w:rsid w:val="27852F50"/>
    <w:rsid w:val="27870254"/>
    <w:rsid w:val="278A5BEC"/>
    <w:rsid w:val="278E5CC1"/>
    <w:rsid w:val="278F47CD"/>
    <w:rsid w:val="2791136B"/>
    <w:rsid w:val="2791690C"/>
    <w:rsid w:val="27923CE0"/>
    <w:rsid w:val="27976FF7"/>
    <w:rsid w:val="27986FE8"/>
    <w:rsid w:val="27A56D4E"/>
    <w:rsid w:val="27C074D0"/>
    <w:rsid w:val="27CA0906"/>
    <w:rsid w:val="27DD33D1"/>
    <w:rsid w:val="27F04F3F"/>
    <w:rsid w:val="28170F8A"/>
    <w:rsid w:val="2819511F"/>
    <w:rsid w:val="28244CBA"/>
    <w:rsid w:val="28302E57"/>
    <w:rsid w:val="284437AB"/>
    <w:rsid w:val="285B6B0F"/>
    <w:rsid w:val="285D282C"/>
    <w:rsid w:val="28701D8B"/>
    <w:rsid w:val="28951F44"/>
    <w:rsid w:val="289C6F48"/>
    <w:rsid w:val="28B964DA"/>
    <w:rsid w:val="28C13CB4"/>
    <w:rsid w:val="28C2281B"/>
    <w:rsid w:val="28CF2A36"/>
    <w:rsid w:val="29042DD7"/>
    <w:rsid w:val="29174118"/>
    <w:rsid w:val="292021B0"/>
    <w:rsid w:val="29211962"/>
    <w:rsid w:val="29302B5A"/>
    <w:rsid w:val="29354C37"/>
    <w:rsid w:val="293D4141"/>
    <w:rsid w:val="29425B48"/>
    <w:rsid w:val="29462663"/>
    <w:rsid w:val="295328C4"/>
    <w:rsid w:val="29876120"/>
    <w:rsid w:val="298B5988"/>
    <w:rsid w:val="298E69C7"/>
    <w:rsid w:val="29B14705"/>
    <w:rsid w:val="29C97A13"/>
    <w:rsid w:val="29CB2170"/>
    <w:rsid w:val="2A1829CD"/>
    <w:rsid w:val="2A2A3735"/>
    <w:rsid w:val="2A2F4A45"/>
    <w:rsid w:val="2A416CC2"/>
    <w:rsid w:val="2A6972DA"/>
    <w:rsid w:val="2A830F22"/>
    <w:rsid w:val="2AB91B4F"/>
    <w:rsid w:val="2AB93B09"/>
    <w:rsid w:val="2AC957D7"/>
    <w:rsid w:val="2ACB5D06"/>
    <w:rsid w:val="2AD7392A"/>
    <w:rsid w:val="2AF77E75"/>
    <w:rsid w:val="2B46023F"/>
    <w:rsid w:val="2B51240A"/>
    <w:rsid w:val="2B656826"/>
    <w:rsid w:val="2B8041C7"/>
    <w:rsid w:val="2B813A2B"/>
    <w:rsid w:val="2B9041A1"/>
    <w:rsid w:val="2B9D0A6F"/>
    <w:rsid w:val="2BA627F8"/>
    <w:rsid w:val="2BAA6B0B"/>
    <w:rsid w:val="2BAC1DB5"/>
    <w:rsid w:val="2BAD668D"/>
    <w:rsid w:val="2BB55E30"/>
    <w:rsid w:val="2BBC35B7"/>
    <w:rsid w:val="2BBC4FAB"/>
    <w:rsid w:val="2BC1738D"/>
    <w:rsid w:val="2BD35354"/>
    <w:rsid w:val="2BEB2BA2"/>
    <w:rsid w:val="2BF005F0"/>
    <w:rsid w:val="2BF8363A"/>
    <w:rsid w:val="2C00578E"/>
    <w:rsid w:val="2C016AC9"/>
    <w:rsid w:val="2C040106"/>
    <w:rsid w:val="2C084461"/>
    <w:rsid w:val="2C1D43CA"/>
    <w:rsid w:val="2C213CFA"/>
    <w:rsid w:val="2C237D28"/>
    <w:rsid w:val="2C343813"/>
    <w:rsid w:val="2C4D2A5D"/>
    <w:rsid w:val="2C500C2F"/>
    <w:rsid w:val="2C522E04"/>
    <w:rsid w:val="2C554F8F"/>
    <w:rsid w:val="2C5F449E"/>
    <w:rsid w:val="2C6A2344"/>
    <w:rsid w:val="2C6E47BD"/>
    <w:rsid w:val="2C842E18"/>
    <w:rsid w:val="2CA43818"/>
    <w:rsid w:val="2CB52F46"/>
    <w:rsid w:val="2CB53EED"/>
    <w:rsid w:val="2CC977B2"/>
    <w:rsid w:val="2CD66CC8"/>
    <w:rsid w:val="2CD917B3"/>
    <w:rsid w:val="2CE52B69"/>
    <w:rsid w:val="2CE626A4"/>
    <w:rsid w:val="2CED53FC"/>
    <w:rsid w:val="2CFA4AFD"/>
    <w:rsid w:val="2D2074F0"/>
    <w:rsid w:val="2D2369A4"/>
    <w:rsid w:val="2D2B664E"/>
    <w:rsid w:val="2D2C3B97"/>
    <w:rsid w:val="2D5E740C"/>
    <w:rsid w:val="2D6D36FE"/>
    <w:rsid w:val="2D760EAF"/>
    <w:rsid w:val="2D7A1B77"/>
    <w:rsid w:val="2D842FAF"/>
    <w:rsid w:val="2D87153D"/>
    <w:rsid w:val="2DAB7AE2"/>
    <w:rsid w:val="2DBA3979"/>
    <w:rsid w:val="2DD6145D"/>
    <w:rsid w:val="2DEB45DF"/>
    <w:rsid w:val="2DF45177"/>
    <w:rsid w:val="2E0F3D95"/>
    <w:rsid w:val="2E47516F"/>
    <w:rsid w:val="2E486651"/>
    <w:rsid w:val="2E526660"/>
    <w:rsid w:val="2E6D571A"/>
    <w:rsid w:val="2E702DAB"/>
    <w:rsid w:val="2E7C55EF"/>
    <w:rsid w:val="2E871B2D"/>
    <w:rsid w:val="2E9505F2"/>
    <w:rsid w:val="2E9D5E3C"/>
    <w:rsid w:val="2EAC2E2A"/>
    <w:rsid w:val="2EC515C6"/>
    <w:rsid w:val="2EE653D7"/>
    <w:rsid w:val="2EF56826"/>
    <w:rsid w:val="2F091E47"/>
    <w:rsid w:val="2F0A299D"/>
    <w:rsid w:val="2F4B3551"/>
    <w:rsid w:val="2F524142"/>
    <w:rsid w:val="2F57656F"/>
    <w:rsid w:val="2F7A63E2"/>
    <w:rsid w:val="2F8B41C3"/>
    <w:rsid w:val="2FA37105"/>
    <w:rsid w:val="2FAA2545"/>
    <w:rsid w:val="2FB166D9"/>
    <w:rsid w:val="2FDA088B"/>
    <w:rsid w:val="30024115"/>
    <w:rsid w:val="300C2C9C"/>
    <w:rsid w:val="301D231C"/>
    <w:rsid w:val="301F793A"/>
    <w:rsid w:val="30275C41"/>
    <w:rsid w:val="302C7F96"/>
    <w:rsid w:val="303566A7"/>
    <w:rsid w:val="30420BCB"/>
    <w:rsid w:val="304B3A65"/>
    <w:rsid w:val="307274F7"/>
    <w:rsid w:val="30805B80"/>
    <w:rsid w:val="308F11D0"/>
    <w:rsid w:val="30DB0638"/>
    <w:rsid w:val="30E426C4"/>
    <w:rsid w:val="30EF7598"/>
    <w:rsid w:val="310D2222"/>
    <w:rsid w:val="3125232C"/>
    <w:rsid w:val="314C145F"/>
    <w:rsid w:val="315A31EC"/>
    <w:rsid w:val="315C0C02"/>
    <w:rsid w:val="315C1ACD"/>
    <w:rsid w:val="317A2922"/>
    <w:rsid w:val="318D15D4"/>
    <w:rsid w:val="3195413F"/>
    <w:rsid w:val="319B2F95"/>
    <w:rsid w:val="31A969BC"/>
    <w:rsid w:val="31D2667D"/>
    <w:rsid w:val="31DE21D5"/>
    <w:rsid w:val="31DE7202"/>
    <w:rsid w:val="31E13389"/>
    <w:rsid w:val="31E87CAD"/>
    <w:rsid w:val="31EA5200"/>
    <w:rsid w:val="32063520"/>
    <w:rsid w:val="32161C6A"/>
    <w:rsid w:val="32295F41"/>
    <w:rsid w:val="32433E55"/>
    <w:rsid w:val="32472BFE"/>
    <w:rsid w:val="324F16AE"/>
    <w:rsid w:val="325555E1"/>
    <w:rsid w:val="32566DAC"/>
    <w:rsid w:val="326969F4"/>
    <w:rsid w:val="326F0A4A"/>
    <w:rsid w:val="32800210"/>
    <w:rsid w:val="328355C2"/>
    <w:rsid w:val="32862787"/>
    <w:rsid w:val="3290292D"/>
    <w:rsid w:val="32912A5B"/>
    <w:rsid w:val="329D5480"/>
    <w:rsid w:val="32A539DD"/>
    <w:rsid w:val="32AA2139"/>
    <w:rsid w:val="32B90BC6"/>
    <w:rsid w:val="32D47326"/>
    <w:rsid w:val="330308E4"/>
    <w:rsid w:val="330D559A"/>
    <w:rsid w:val="330D7D30"/>
    <w:rsid w:val="331E67FC"/>
    <w:rsid w:val="33264928"/>
    <w:rsid w:val="332A250D"/>
    <w:rsid w:val="332D452B"/>
    <w:rsid w:val="332F250F"/>
    <w:rsid w:val="33365455"/>
    <w:rsid w:val="33375B0B"/>
    <w:rsid w:val="333C5DB2"/>
    <w:rsid w:val="333D3B48"/>
    <w:rsid w:val="33590948"/>
    <w:rsid w:val="336D6239"/>
    <w:rsid w:val="337E36C6"/>
    <w:rsid w:val="3383117D"/>
    <w:rsid w:val="33873A0D"/>
    <w:rsid w:val="3391740E"/>
    <w:rsid w:val="33A535E1"/>
    <w:rsid w:val="33A55822"/>
    <w:rsid w:val="33B8303E"/>
    <w:rsid w:val="33B85000"/>
    <w:rsid w:val="33B96957"/>
    <w:rsid w:val="33BE5A96"/>
    <w:rsid w:val="33CA73B3"/>
    <w:rsid w:val="33D475A4"/>
    <w:rsid w:val="33D76034"/>
    <w:rsid w:val="33E75939"/>
    <w:rsid w:val="33F27322"/>
    <w:rsid w:val="33F54726"/>
    <w:rsid w:val="34295443"/>
    <w:rsid w:val="342A3FE3"/>
    <w:rsid w:val="342D4AFD"/>
    <w:rsid w:val="345D0843"/>
    <w:rsid w:val="346218D1"/>
    <w:rsid w:val="34626F2D"/>
    <w:rsid w:val="346E7B9E"/>
    <w:rsid w:val="34900702"/>
    <w:rsid w:val="3492057E"/>
    <w:rsid w:val="34993B76"/>
    <w:rsid w:val="349F3ABA"/>
    <w:rsid w:val="34A10CB9"/>
    <w:rsid w:val="34A52AFA"/>
    <w:rsid w:val="34AF5013"/>
    <w:rsid w:val="34F918F9"/>
    <w:rsid w:val="35011EF0"/>
    <w:rsid w:val="351124C2"/>
    <w:rsid w:val="351271E2"/>
    <w:rsid w:val="352B7DBA"/>
    <w:rsid w:val="352F529E"/>
    <w:rsid w:val="35795703"/>
    <w:rsid w:val="357F1B36"/>
    <w:rsid w:val="35835CAD"/>
    <w:rsid w:val="35923C9C"/>
    <w:rsid w:val="359C59F1"/>
    <w:rsid w:val="359F370F"/>
    <w:rsid w:val="35A34B38"/>
    <w:rsid w:val="35BF20C9"/>
    <w:rsid w:val="35D6463E"/>
    <w:rsid w:val="35FA1B6A"/>
    <w:rsid w:val="35FE4487"/>
    <w:rsid w:val="36025B95"/>
    <w:rsid w:val="36310D8A"/>
    <w:rsid w:val="36341D71"/>
    <w:rsid w:val="364333BA"/>
    <w:rsid w:val="36454A74"/>
    <w:rsid w:val="364621B6"/>
    <w:rsid w:val="36770767"/>
    <w:rsid w:val="367921F1"/>
    <w:rsid w:val="367A7549"/>
    <w:rsid w:val="36B361F5"/>
    <w:rsid w:val="36B42CC6"/>
    <w:rsid w:val="36B772A8"/>
    <w:rsid w:val="36C02FF0"/>
    <w:rsid w:val="36CE1798"/>
    <w:rsid w:val="36D27C45"/>
    <w:rsid w:val="36D908BF"/>
    <w:rsid w:val="370B1904"/>
    <w:rsid w:val="371157EF"/>
    <w:rsid w:val="372F15E3"/>
    <w:rsid w:val="374D58B7"/>
    <w:rsid w:val="37562C70"/>
    <w:rsid w:val="37814DDA"/>
    <w:rsid w:val="37992A43"/>
    <w:rsid w:val="37992EEC"/>
    <w:rsid w:val="37A379B6"/>
    <w:rsid w:val="37DC3007"/>
    <w:rsid w:val="37DE5262"/>
    <w:rsid w:val="37F00D4A"/>
    <w:rsid w:val="380F1D73"/>
    <w:rsid w:val="38152FEA"/>
    <w:rsid w:val="381E12FC"/>
    <w:rsid w:val="382204D7"/>
    <w:rsid w:val="38270D62"/>
    <w:rsid w:val="385F464D"/>
    <w:rsid w:val="38647C31"/>
    <w:rsid w:val="38723FE9"/>
    <w:rsid w:val="3872477C"/>
    <w:rsid w:val="387A453A"/>
    <w:rsid w:val="38853134"/>
    <w:rsid w:val="388932E6"/>
    <w:rsid w:val="388A11BB"/>
    <w:rsid w:val="388B24EB"/>
    <w:rsid w:val="38991C08"/>
    <w:rsid w:val="38C375E1"/>
    <w:rsid w:val="38C821B2"/>
    <w:rsid w:val="38CE12CE"/>
    <w:rsid w:val="38CE2EF7"/>
    <w:rsid w:val="38D4293C"/>
    <w:rsid w:val="38E76033"/>
    <w:rsid w:val="38E87301"/>
    <w:rsid w:val="38F11BD3"/>
    <w:rsid w:val="38F66A29"/>
    <w:rsid w:val="38FD040A"/>
    <w:rsid w:val="39063A12"/>
    <w:rsid w:val="39154C31"/>
    <w:rsid w:val="391615E7"/>
    <w:rsid w:val="39162454"/>
    <w:rsid w:val="391805B6"/>
    <w:rsid w:val="39262427"/>
    <w:rsid w:val="39423189"/>
    <w:rsid w:val="3946024F"/>
    <w:rsid w:val="3946572A"/>
    <w:rsid w:val="395E4046"/>
    <w:rsid w:val="395E46D0"/>
    <w:rsid w:val="3966474B"/>
    <w:rsid w:val="396C172B"/>
    <w:rsid w:val="397620CD"/>
    <w:rsid w:val="39872818"/>
    <w:rsid w:val="398D5774"/>
    <w:rsid w:val="39A416B5"/>
    <w:rsid w:val="39B36301"/>
    <w:rsid w:val="39B61A4A"/>
    <w:rsid w:val="39C731AF"/>
    <w:rsid w:val="39DA0BC5"/>
    <w:rsid w:val="39DE0F04"/>
    <w:rsid w:val="39EC7115"/>
    <w:rsid w:val="39F53424"/>
    <w:rsid w:val="39F6380E"/>
    <w:rsid w:val="39FE4A2F"/>
    <w:rsid w:val="3A011EF3"/>
    <w:rsid w:val="3A0F17EC"/>
    <w:rsid w:val="3A157A0D"/>
    <w:rsid w:val="3A1C32DD"/>
    <w:rsid w:val="3A1E6DB4"/>
    <w:rsid w:val="3A206707"/>
    <w:rsid w:val="3A6234E3"/>
    <w:rsid w:val="3A9252BC"/>
    <w:rsid w:val="3AA62509"/>
    <w:rsid w:val="3AAB585A"/>
    <w:rsid w:val="3AB533FF"/>
    <w:rsid w:val="3AB67AD1"/>
    <w:rsid w:val="3AC079CE"/>
    <w:rsid w:val="3AC24B23"/>
    <w:rsid w:val="3AD04177"/>
    <w:rsid w:val="3AD20029"/>
    <w:rsid w:val="3ADC2AC3"/>
    <w:rsid w:val="3AE35484"/>
    <w:rsid w:val="3AEB30CF"/>
    <w:rsid w:val="3AF466AF"/>
    <w:rsid w:val="3AF94267"/>
    <w:rsid w:val="3B047451"/>
    <w:rsid w:val="3B103102"/>
    <w:rsid w:val="3B2F096E"/>
    <w:rsid w:val="3B3C2587"/>
    <w:rsid w:val="3B4417CD"/>
    <w:rsid w:val="3B453418"/>
    <w:rsid w:val="3B496153"/>
    <w:rsid w:val="3B564C66"/>
    <w:rsid w:val="3B6A76C4"/>
    <w:rsid w:val="3B7D5A4A"/>
    <w:rsid w:val="3B865A6F"/>
    <w:rsid w:val="3BA92E7E"/>
    <w:rsid w:val="3BBB472C"/>
    <w:rsid w:val="3BBE13A8"/>
    <w:rsid w:val="3BC4719F"/>
    <w:rsid w:val="3BF0544F"/>
    <w:rsid w:val="3BF132E7"/>
    <w:rsid w:val="3BF35BF0"/>
    <w:rsid w:val="3BFE7451"/>
    <w:rsid w:val="3C0D31B5"/>
    <w:rsid w:val="3C13019E"/>
    <w:rsid w:val="3C22581B"/>
    <w:rsid w:val="3C2F7E6B"/>
    <w:rsid w:val="3C321A09"/>
    <w:rsid w:val="3C3F498D"/>
    <w:rsid w:val="3C40578C"/>
    <w:rsid w:val="3C6704B7"/>
    <w:rsid w:val="3C7E5A68"/>
    <w:rsid w:val="3CA43A55"/>
    <w:rsid w:val="3CCD6881"/>
    <w:rsid w:val="3CD70538"/>
    <w:rsid w:val="3CD82F60"/>
    <w:rsid w:val="3CF82280"/>
    <w:rsid w:val="3CF8595A"/>
    <w:rsid w:val="3D077DE4"/>
    <w:rsid w:val="3D0B4D6E"/>
    <w:rsid w:val="3D0F3630"/>
    <w:rsid w:val="3D1628E9"/>
    <w:rsid w:val="3D3125A4"/>
    <w:rsid w:val="3D432D4B"/>
    <w:rsid w:val="3D670582"/>
    <w:rsid w:val="3D7578D7"/>
    <w:rsid w:val="3D810F6A"/>
    <w:rsid w:val="3D837272"/>
    <w:rsid w:val="3D896301"/>
    <w:rsid w:val="3DC10B1C"/>
    <w:rsid w:val="3DC339A2"/>
    <w:rsid w:val="3DCE04DC"/>
    <w:rsid w:val="3DCE3FA2"/>
    <w:rsid w:val="3DD02A0D"/>
    <w:rsid w:val="3DE31C69"/>
    <w:rsid w:val="3DEF5F36"/>
    <w:rsid w:val="3DFC7BB5"/>
    <w:rsid w:val="3E031DE1"/>
    <w:rsid w:val="3E035239"/>
    <w:rsid w:val="3E1928D5"/>
    <w:rsid w:val="3E1D33AC"/>
    <w:rsid w:val="3E2B0486"/>
    <w:rsid w:val="3E33229A"/>
    <w:rsid w:val="3E49180E"/>
    <w:rsid w:val="3E4A6366"/>
    <w:rsid w:val="3E4C32B7"/>
    <w:rsid w:val="3E4E12C9"/>
    <w:rsid w:val="3E6D2068"/>
    <w:rsid w:val="3E845F66"/>
    <w:rsid w:val="3E955A4F"/>
    <w:rsid w:val="3E9825EA"/>
    <w:rsid w:val="3EA06660"/>
    <w:rsid w:val="3EAA497B"/>
    <w:rsid w:val="3EE27A0E"/>
    <w:rsid w:val="3EEC67C5"/>
    <w:rsid w:val="3EF516D0"/>
    <w:rsid w:val="3EFB0CB0"/>
    <w:rsid w:val="3EFF5E04"/>
    <w:rsid w:val="3F04693C"/>
    <w:rsid w:val="3F227757"/>
    <w:rsid w:val="3F2D39AC"/>
    <w:rsid w:val="3F30781F"/>
    <w:rsid w:val="3F490677"/>
    <w:rsid w:val="3F4D3EDA"/>
    <w:rsid w:val="3F550AA7"/>
    <w:rsid w:val="3F5B1C95"/>
    <w:rsid w:val="3F6E49F9"/>
    <w:rsid w:val="3F706C26"/>
    <w:rsid w:val="3F8174D1"/>
    <w:rsid w:val="3F823261"/>
    <w:rsid w:val="3F832C5D"/>
    <w:rsid w:val="3F927F3C"/>
    <w:rsid w:val="3FA71468"/>
    <w:rsid w:val="3FB140B2"/>
    <w:rsid w:val="3FC42F12"/>
    <w:rsid w:val="3FC8281A"/>
    <w:rsid w:val="3FD34C4E"/>
    <w:rsid w:val="3FD91098"/>
    <w:rsid w:val="3FDB5C7E"/>
    <w:rsid w:val="3FDF70B7"/>
    <w:rsid w:val="3FE236A0"/>
    <w:rsid w:val="3FEC7F5A"/>
    <w:rsid w:val="3FF553FF"/>
    <w:rsid w:val="3FF66DA8"/>
    <w:rsid w:val="3FFD6478"/>
    <w:rsid w:val="3FFE39E5"/>
    <w:rsid w:val="4009520A"/>
    <w:rsid w:val="400F64A3"/>
    <w:rsid w:val="402012B6"/>
    <w:rsid w:val="40262908"/>
    <w:rsid w:val="4028732A"/>
    <w:rsid w:val="40383D60"/>
    <w:rsid w:val="40513489"/>
    <w:rsid w:val="40643629"/>
    <w:rsid w:val="406C06ED"/>
    <w:rsid w:val="407C0B54"/>
    <w:rsid w:val="407F7DA5"/>
    <w:rsid w:val="40883E3C"/>
    <w:rsid w:val="40A30249"/>
    <w:rsid w:val="40AB2F2F"/>
    <w:rsid w:val="40AD22BE"/>
    <w:rsid w:val="40B70122"/>
    <w:rsid w:val="40D04721"/>
    <w:rsid w:val="40E06C7C"/>
    <w:rsid w:val="40E07179"/>
    <w:rsid w:val="40EC2905"/>
    <w:rsid w:val="410024E6"/>
    <w:rsid w:val="41006C3C"/>
    <w:rsid w:val="410652DB"/>
    <w:rsid w:val="410A3D24"/>
    <w:rsid w:val="41165B69"/>
    <w:rsid w:val="412E2B35"/>
    <w:rsid w:val="414921EC"/>
    <w:rsid w:val="415D4467"/>
    <w:rsid w:val="419C5ECF"/>
    <w:rsid w:val="41A311A5"/>
    <w:rsid w:val="41A777E0"/>
    <w:rsid w:val="41AB1621"/>
    <w:rsid w:val="41C41590"/>
    <w:rsid w:val="41CB7DA9"/>
    <w:rsid w:val="41DD71A6"/>
    <w:rsid w:val="41E61C1E"/>
    <w:rsid w:val="41F417B2"/>
    <w:rsid w:val="41F93324"/>
    <w:rsid w:val="4214363F"/>
    <w:rsid w:val="422967D2"/>
    <w:rsid w:val="42297C63"/>
    <w:rsid w:val="423A6762"/>
    <w:rsid w:val="424B29E6"/>
    <w:rsid w:val="426B7EC8"/>
    <w:rsid w:val="426C6532"/>
    <w:rsid w:val="428C7F96"/>
    <w:rsid w:val="42964C27"/>
    <w:rsid w:val="429E499C"/>
    <w:rsid w:val="42A7269E"/>
    <w:rsid w:val="42B0625E"/>
    <w:rsid w:val="42B11B77"/>
    <w:rsid w:val="42B429F9"/>
    <w:rsid w:val="42BC5D19"/>
    <w:rsid w:val="42C714E7"/>
    <w:rsid w:val="42C9104A"/>
    <w:rsid w:val="42D47BBF"/>
    <w:rsid w:val="42DD0EA1"/>
    <w:rsid w:val="42E01183"/>
    <w:rsid w:val="42E15734"/>
    <w:rsid w:val="43157ED8"/>
    <w:rsid w:val="431B1402"/>
    <w:rsid w:val="432C18C2"/>
    <w:rsid w:val="43373DDB"/>
    <w:rsid w:val="43424728"/>
    <w:rsid w:val="436928F5"/>
    <w:rsid w:val="436948D3"/>
    <w:rsid w:val="436E5DBF"/>
    <w:rsid w:val="437840C9"/>
    <w:rsid w:val="437B33D2"/>
    <w:rsid w:val="43952E28"/>
    <w:rsid w:val="43973726"/>
    <w:rsid w:val="43A864DF"/>
    <w:rsid w:val="43AB0490"/>
    <w:rsid w:val="43B963F1"/>
    <w:rsid w:val="43BE0E5F"/>
    <w:rsid w:val="43CE12C9"/>
    <w:rsid w:val="43D3776E"/>
    <w:rsid w:val="43DE29EB"/>
    <w:rsid w:val="43F376CA"/>
    <w:rsid w:val="44036993"/>
    <w:rsid w:val="44221E3D"/>
    <w:rsid w:val="44353405"/>
    <w:rsid w:val="44394B35"/>
    <w:rsid w:val="443E4F2B"/>
    <w:rsid w:val="444009A8"/>
    <w:rsid w:val="4441710A"/>
    <w:rsid w:val="444D5F2E"/>
    <w:rsid w:val="445A5C0C"/>
    <w:rsid w:val="44627DF5"/>
    <w:rsid w:val="44BB1DA0"/>
    <w:rsid w:val="44DB185B"/>
    <w:rsid w:val="44E3290F"/>
    <w:rsid w:val="44E53692"/>
    <w:rsid w:val="44E92E11"/>
    <w:rsid w:val="44F13362"/>
    <w:rsid w:val="44F61EE4"/>
    <w:rsid w:val="44F86834"/>
    <w:rsid w:val="44FF6C2B"/>
    <w:rsid w:val="45086B24"/>
    <w:rsid w:val="451C4C5A"/>
    <w:rsid w:val="45497E2B"/>
    <w:rsid w:val="455E2477"/>
    <w:rsid w:val="45632744"/>
    <w:rsid w:val="45641D57"/>
    <w:rsid w:val="456B2352"/>
    <w:rsid w:val="456E0A63"/>
    <w:rsid w:val="4577029A"/>
    <w:rsid w:val="4581778F"/>
    <w:rsid w:val="458F2416"/>
    <w:rsid w:val="45917903"/>
    <w:rsid w:val="45993A2F"/>
    <w:rsid w:val="45B228A9"/>
    <w:rsid w:val="45CA3C46"/>
    <w:rsid w:val="45D22FED"/>
    <w:rsid w:val="45D4777C"/>
    <w:rsid w:val="45D60CDB"/>
    <w:rsid w:val="45E91DAA"/>
    <w:rsid w:val="45F872DA"/>
    <w:rsid w:val="46065020"/>
    <w:rsid w:val="46110971"/>
    <w:rsid w:val="461C5DE2"/>
    <w:rsid w:val="46394A0C"/>
    <w:rsid w:val="4643431C"/>
    <w:rsid w:val="46453269"/>
    <w:rsid w:val="464A185A"/>
    <w:rsid w:val="46507B12"/>
    <w:rsid w:val="466C39E0"/>
    <w:rsid w:val="46720F55"/>
    <w:rsid w:val="46760032"/>
    <w:rsid w:val="46795763"/>
    <w:rsid w:val="46861D99"/>
    <w:rsid w:val="469C57CB"/>
    <w:rsid w:val="46B761FF"/>
    <w:rsid w:val="46C957DD"/>
    <w:rsid w:val="46E8079F"/>
    <w:rsid w:val="470353FF"/>
    <w:rsid w:val="471211EB"/>
    <w:rsid w:val="472847C8"/>
    <w:rsid w:val="47470705"/>
    <w:rsid w:val="47530158"/>
    <w:rsid w:val="475D1F21"/>
    <w:rsid w:val="47675811"/>
    <w:rsid w:val="477968D4"/>
    <w:rsid w:val="47BE3993"/>
    <w:rsid w:val="47DD3EFB"/>
    <w:rsid w:val="47F07F79"/>
    <w:rsid w:val="47F44256"/>
    <w:rsid w:val="48093C0F"/>
    <w:rsid w:val="4822559B"/>
    <w:rsid w:val="48327A64"/>
    <w:rsid w:val="4851672A"/>
    <w:rsid w:val="48526914"/>
    <w:rsid w:val="485914F6"/>
    <w:rsid w:val="485E66D8"/>
    <w:rsid w:val="48604AF3"/>
    <w:rsid w:val="48682E99"/>
    <w:rsid w:val="48710957"/>
    <w:rsid w:val="48727589"/>
    <w:rsid w:val="487D432E"/>
    <w:rsid w:val="487F316E"/>
    <w:rsid w:val="48803F6F"/>
    <w:rsid w:val="48AC24DD"/>
    <w:rsid w:val="48B43CA9"/>
    <w:rsid w:val="48B54C1A"/>
    <w:rsid w:val="48B84DFF"/>
    <w:rsid w:val="48BE1612"/>
    <w:rsid w:val="48CE2E98"/>
    <w:rsid w:val="48DA27B4"/>
    <w:rsid w:val="490F6343"/>
    <w:rsid w:val="49110C31"/>
    <w:rsid w:val="495060D4"/>
    <w:rsid w:val="49636AA2"/>
    <w:rsid w:val="49717AE3"/>
    <w:rsid w:val="49753D6A"/>
    <w:rsid w:val="497917FC"/>
    <w:rsid w:val="498A21DF"/>
    <w:rsid w:val="49914D57"/>
    <w:rsid w:val="499732AD"/>
    <w:rsid w:val="499A4471"/>
    <w:rsid w:val="49C056A5"/>
    <w:rsid w:val="49C67020"/>
    <w:rsid w:val="49E3501E"/>
    <w:rsid w:val="49FB037F"/>
    <w:rsid w:val="4A00462F"/>
    <w:rsid w:val="4A0C255E"/>
    <w:rsid w:val="4A1204E8"/>
    <w:rsid w:val="4A15530C"/>
    <w:rsid w:val="4A2D1871"/>
    <w:rsid w:val="4A3A041B"/>
    <w:rsid w:val="4A4C7BEA"/>
    <w:rsid w:val="4A553CF4"/>
    <w:rsid w:val="4A5A4844"/>
    <w:rsid w:val="4A5A67E9"/>
    <w:rsid w:val="4A9B453D"/>
    <w:rsid w:val="4A9B50CD"/>
    <w:rsid w:val="4AC018A7"/>
    <w:rsid w:val="4AC42336"/>
    <w:rsid w:val="4AD56C2E"/>
    <w:rsid w:val="4AE23056"/>
    <w:rsid w:val="4AE27A2A"/>
    <w:rsid w:val="4B0C51B3"/>
    <w:rsid w:val="4B1E1CE9"/>
    <w:rsid w:val="4B220DF4"/>
    <w:rsid w:val="4B2272E5"/>
    <w:rsid w:val="4B242690"/>
    <w:rsid w:val="4B277F70"/>
    <w:rsid w:val="4B2A09D4"/>
    <w:rsid w:val="4B2B1848"/>
    <w:rsid w:val="4B326BCD"/>
    <w:rsid w:val="4B352190"/>
    <w:rsid w:val="4B3A7613"/>
    <w:rsid w:val="4B4607C0"/>
    <w:rsid w:val="4B4D0FBD"/>
    <w:rsid w:val="4B623FD5"/>
    <w:rsid w:val="4B693945"/>
    <w:rsid w:val="4BAB231D"/>
    <w:rsid w:val="4BC31A00"/>
    <w:rsid w:val="4BD74A82"/>
    <w:rsid w:val="4BD977EA"/>
    <w:rsid w:val="4C02053C"/>
    <w:rsid w:val="4C071A28"/>
    <w:rsid w:val="4C0B3F2E"/>
    <w:rsid w:val="4C0F075D"/>
    <w:rsid w:val="4C123571"/>
    <w:rsid w:val="4C162CFB"/>
    <w:rsid w:val="4C29283E"/>
    <w:rsid w:val="4C2E103A"/>
    <w:rsid w:val="4C314E75"/>
    <w:rsid w:val="4C413C1F"/>
    <w:rsid w:val="4C5D780F"/>
    <w:rsid w:val="4C66426E"/>
    <w:rsid w:val="4C6D3102"/>
    <w:rsid w:val="4C7C603C"/>
    <w:rsid w:val="4C7F239D"/>
    <w:rsid w:val="4C83625D"/>
    <w:rsid w:val="4C9A42E6"/>
    <w:rsid w:val="4C9A58B4"/>
    <w:rsid w:val="4CAA2250"/>
    <w:rsid w:val="4CAE6C9F"/>
    <w:rsid w:val="4CC555F2"/>
    <w:rsid w:val="4CE1237A"/>
    <w:rsid w:val="4CE75B89"/>
    <w:rsid w:val="4CEE283F"/>
    <w:rsid w:val="4CF46887"/>
    <w:rsid w:val="4CF96EC3"/>
    <w:rsid w:val="4CF979CE"/>
    <w:rsid w:val="4D0E6BE1"/>
    <w:rsid w:val="4D1F5D52"/>
    <w:rsid w:val="4D2728CC"/>
    <w:rsid w:val="4D342BB2"/>
    <w:rsid w:val="4D43028F"/>
    <w:rsid w:val="4D4614A8"/>
    <w:rsid w:val="4D4D4F8F"/>
    <w:rsid w:val="4D632F95"/>
    <w:rsid w:val="4D6C16DC"/>
    <w:rsid w:val="4D735BFA"/>
    <w:rsid w:val="4D862332"/>
    <w:rsid w:val="4D8C67C3"/>
    <w:rsid w:val="4D981434"/>
    <w:rsid w:val="4DB8304A"/>
    <w:rsid w:val="4DC34767"/>
    <w:rsid w:val="4DC90D14"/>
    <w:rsid w:val="4DD32AFF"/>
    <w:rsid w:val="4DE56B3B"/>
    <w:rsid w:val="4DEF4654"/>
    <w:rsid w:val="4DEF622F"/>
    <w:rsid w:val="4DF3653E"/>
    <w:rsid w:val="4E0811D2"/>
    <w:rsid w:val="4E287D02"/>
    <w:rsid w:val="4E2A71B9"/>
    <w:rsid w:val="4E416449"/>
    <w:rsid w:val="4E435E12"/>
    <w:rsid w:val="4E443D1D"/>
    <w:rsid w:val="4E5B2551"/>
    <w:rsid w:val="4E6031D1"/>
    <w:rsid w:val="4E6E4C3E"/>
    <w:rsid w:val="4E765FC2"/>
    <w:rsid w:val="4E783E5B"/>
    <w:rsid w:val="4E8628FE"/>
    <w:rsid w:val="4E8E0691"/>
    <w:rsid w:val="4EB42468"/>
    <w:rsid w:val="4EB832BF"/>
    <w:rsid w:val="4EC227E4"/>
    <w:rsid w:val="4EE42D22"/>
    <w:rsid w:val="4EE91F7C"/>
    <w:rsid w:val="4EF33CD5"/>
    <w:rsid w:val="4F341F1C"/>
    <w:rsid w:val="4F457D11"/>
    <w:rsid w:val="4F49632C"/>
    <w:rsid w:val="4F5A4A97"/>
    <w:rsid w:val="4F664E4A"/>
    <w:rsid w:val="4F715347"/>
    <w:rsid w:val="4F9676B5"/>
    <w:rsid w:val="4F9A2C0E"/>
    <w:rsid w:val="4FAA0584"/>
    <w:rsid w:val="4FAD4D47"/>
    <w:rsid w:val="4FB24C8C"/>
    <w:rsid w:val="4FB279C1"/>
    <w:rsid w:val="4FBA235D"/>
    <w:rsid w:val="4FBF18D6"/>
    <w:rsid w:val="4FC067DA"/>
    <w:rsid w:val="4FC42A47"/>
    <w:rsid w:val="4FD91133"/>
    <w:rsid w:val="4FE01828"/>
    <w:rsid w:val="4FE12D47"/>
    <w:rsid w:val="4FE32F16"/>
    <w:rsid w:val="50100B27"/>
    <w:rsid w:val="50242F75"/>
    <w:rsid w:val="50333507"/>
    <w:rsid w:val="50525ADA"/>
    <w:rsid w:val="50583D4B"/>
    <w:rsid w:val="505D4982"/>
    <w:rsid w:val="50620810"/>
    <w:rsid w:val="506730E8"/>
    <w:rsid w:val="507258BA"/>
    <w:rsid w:val="507B0407"/>
    <w:rsid w:val="50840969"/>
    <w:rsid w:val="508E09B0"/>
    <w:rsid w:val="50AC7BA9"/>
    <w:rsid w:val="50B06B71"/>
    <w:rsid w:val="50B63676"/>
    <w:rsid w:val="50B82208"/>
    <w:rsid w:val="50BF2BA7"/>
    <w:rsid w:val="50D63BB8"/>
    <w:rsid w:val="50F3590B"/>
    <w:rsid w:val="50F41E13"/>
    <w:rsid w:val="50F63562"/>
    <w:rsid w:val="50FD2FC4"/>
    <w:rsid w:val="510463B3"/>
    <w:rsid w:val="51057C98"/>
    <w:rsid w:val="51214442"/>
    <w:rsid w:val="51254E58"/>
    <w:rsid w:val="5155194F"/>
    <w:rsid w:val="515572BF"/>
    <w:rsid w:val="51567D97"/>
    <w:rsid w:val="51700805"/>
    <w:rsid w:val="51715C7E"/>
    <w:rsid w:val="51783070"/>
    <w:rsid w:val="518B375C"/>
    <w:rsid w:val="51A13B6B"/>
    <w:rsid w:val="51A56886"/>
    <w:rsid w:val="51C536D8"/>
    <w:rsid w:val="51CA5B33"/>
    <w:rsid w:val="51CC5D90"/>
    <w:rsid w:val="51DA0B4C"/>
    <w:rsid w:val="51DE6629"/>
    <w:rsid w:val="51E17818"/>
    <w:rsid w:val="51F47412"/>
    <w:rsid w:val="520764DF"/>
    <w:rsid w:val="52087132"/>
    <w:rsid w:val="5220601E"/>
    <w:rsid w:val="52455C15"/>
    <w:rsid w:val="524F6329"/>
    <w:rsid w:val="525703B4"/>
    <w:rsid w:val="525A7BE2"/>
    <w:rsid w:val="52676623"/>
    <w:rsid w:val="526C4AF9"/>
    <w:rsid w:val="527A73B2"/>
    <w:rsid w:val="528533F3"/>
    <w:rsid w:val="52A153F9"/>
    <w:rsid w:val="52B1689E"/>
    <w:rsid w:val="52C70A51"/>
    <w:rsid w:val="52CC6B89"/>
    <w:rsid w:val="52D45005"/>
    <w:rsid w:val="52DD6F4B"/>
    <w:rsid w:val="52E9054C"/>
    <w:rsid w:val="52E9476D"/>
    <w:rsid w:val="52EB0B88"/>
    <w:rsid w:val="530C3AB5"/>
    <w:rsid w:val="5316721C"/>
    <w:rsid w:val="531E2031"/>
    <w:rsid w:val="531E4893"/>
    <w:rsid w:val="53434035"/>
    <w:rsid w:val="534E6921"/>
    <w:rsid w:val="53574BE4"/>
    <w:rsid w:val="535E7336"/>
    <w:rsid w:val="539011CC"/>
    <w:rsid w:val="5396577A"/>
    <w:rsid w:val="539B528B"/>
    <w:rsid w:val="539E7C0A"/>
    <w:rsid w:val="53A17193"/>
    <w:rsid w:val="53B2131C"/>
    <w:rsid w:val="53CA4F6C"/>
    <w:rsid w:val="53D335B3"/>
    <w:rsid w:val="53D4723B"/>
    <w:rsid w:val="53DE7BB8"/>
    <w:rsid w:val="53ED3F36"/>
    <w:rsid w:val="53F87BB5"/>
    <w:rsid w:val="540060C9"/>
    <w:rsid w:val="540C0AB1"/>
    <w:rsid w:val="542070AD"/>
    <w:rsid w:val="54227006"/>
    <w:rsid w:val="54233EA9"/>
    <w:rsid w:val="5433209F"/>
    <w:rsid w:val="54352BA0"/>
    <w:rsid w:val="54582A90"/>
    <w:rsid w:val="545A4161"/>
    <w:rsid w:val="545E08C9"/>
    <w:rsid w:val="545F2BEC"/>
    <w:rsid w:val="546201E8"/>
    <w:rsid w:val="547612DA"/>
    <w:rsid w:val="548946E6"/>
    <w:rsid w:val="54917C8D"/>
    <w:rsid w:val="549A20A6"/>
    <w:rsid w:val="54A463BA"/>
    <w:rsid w:val="54BE4918"/>
    <w:rsid w:val="5507313D"/>
    <w:rsid w:val="550B6E82"/>
    <w:rsid w:val="550D29E4"/>
    <w:rsid w:val="550D7530"/>
    <w:rsid w:val="551F1A97"/>
    <w:rsid w:val="552B666D"/>
    <w:rsid w:val="554A2F50"/>
    <w:rsid w:val="555F383F"/>
    <w:rsid w:val="55674710"/>
    <w:rsid w:val="556A214D"/>
    <w:rsid w:val="556F7022"/>
    <w:rsid w:val="55721069"/>
    <w:rsid w:val="55747341"/>
    <w:rsid w:val="55770E21"/>
    <w:rsid w:val="557F7F8B"/>
    <w:rsid w:val="558B7029"/>
    <w:rsid w:val="55A76EC4"/>
    <w:rsid w:val="55C6135D"/>
    <w:rsid w:val="55DD5F8B"/>
    <w:rsid w:val="55EE3031"/>
    <w:rsid w:val="55FA6E60"/>
    <w:rsid w:val="55FC6EAE"/>
    <w:rsid w:val="56187A3B"/>
    <w:rsid w:val="562B66C8"/>
    <w:rsid w:val="56331AF4"/>
    <w:rsid w:val="565101E3"/>
    <w:rsid w:val="567877C6"/>
    <w:rsid w:val="567C36E8"/>
    <w:rsid w:val="567C7C95"/>
    <w:rsid w:val="56962FE2"/>
    <w:rsid w:val="56A06897"/>
    <w:rsid w:val="56A46E92"/>
    <w:rsid w:val="56AC4F70"/>
    <w:rsid w:val="56E700FD"/>
    <w:rsid w:val="56EF68CA"/>
    <w:rsid w:val="570E6943"/>
    <w:rsid w:val="57196144"/>
    <w:rsid w:val="571A7E1B"/>
    <w:rsid w:val="57242D62"/>
    <w:rsid w:val="57311E22"/>
    <w:rsid w:val="57501CC4"/>
    <w:rsid w:val="575B4916"/>
    <w:rsid w:val="576E3EB1"/>
    <w:rsid w:val="577759E0"/>
    <w:rsid w:val="5791645E"/>
    <w:rsid w:val="579620FB"/>
    <w:rsid w:val="57A059E9"/>
    <w:rsid w:val="57AA090D"/>
    <w:rsid w:val="57BF37B5"/>
    <w:rsid w:val="57C01C1E"/>
    <w:rsid w:val="57C136F5"/>
    <w:rsid w:val="57DB25B0"/>
    <w:rsid w:val="57DD0A3C"/>
    <w:rsid w:val="57DD0B58"/>
    <w:rsid w:val="57DF6CED"/>
    <w:rsid w:val="57F259FA"/>
    <w:rsid w:val="57F54323"/>
    <w:rsid w:val="57F60BB4"/>
    <w:rsid w:val="57FD07B2"/>
    <w:rsid w:val="57FD3A81"/>
    <w:rsid w:val="58024DC7"/>
    <w:rsid w:val="582111DB"/>
    <w:rsid w:val="582F50F3"/>
    <w:rsid w:val="583420A8"/>
    <w:rsid w:val="58342D1A"/>
    <w:rsid w:val="585F4BC2"/>
    <w:rsid w:val="58686151"/>
    <w:rsid w:val="586C03C1"/>
    <w:rsid w:val="588F4C44"/>
    <w:rsid w:val="58925E21"/>
    <w:rsid w:val="58A12DA1"/>
    <w:rsid w:val="58A2233F"/>
    <w:rsid w:val="58B83D93"/>
    <w:rsid w:val="58C00F1C"/>
    <w:rsid w:val="58C415F6"/>
    <w:rsid w:val="58C659DA"/>
    <w:rsid w:val="58CA14DF"/>
    <w:rsid w:val="58DE20C9"/>
    <w:rsid w:val="58F175DE"/>
    <w:rsid w:val="59015A7D"/>
    <w:rsid w:val="590221FB"/>
    <w:rsid w:val="59032122"/>
    <w:rsid w:val="59052B09"/>
    <w:rsid w:val="590E07A8"/>
    <w:rsid w:val="59167B59"/>
    <w:rsid w:val="5918309A"/>
    <w:rsid w:val="592114BC"/>
    <w:rsid w:val="592D4D28"/>
    <w:rsid w:val="5930692B"/>
    <w:rsid w:val="59546A66"/>
    <w:rsid w:val="59643D7B"/>
    <w:rsid w:val="599723C5"/>
    <w:rsid w:val="599C6E87"/>
    <w:rsid w:val="599E6EB3"/>
    <w:rsid w:val="59C92F8B"/>
    <w:rsid w:val="59DD1741"/>
    <w:rsid w:val="59E97C04"/>
    <w:rsid w:val="59F82AC9"/>
    <w:rsid w:val="59FD3217"/>
    <w:rsid w:val="5A053336"/>
    <w:rsid w:val="5A160603"/>
    <w:rsid w:val="5A1A1CD1"/>
    <w:rsid w:val="5A1F4630"/>
    <w:rsid w:val="5A2537D4"/>
    <w:rsid w:val="5A277E48"/>
    <w:rsid w:val="5A3173D0"/>
    <w:rsid w:val="5A494BB8"/>
    <w:rsid w:val="5A515E03"/>
    <w:rsid w:val="5A7A53D5"/>
    <w:rsid w:val="5A8744B5"/>
    <w:rsid w:val="5A933C49"/>
    <w:rsid w:val="5AA0223E"/>
    <w:rsid w:val="5ABE1C54"/>
    <w:rsid w:val="5AC55579"/>
    <w:rsid w:val="5AC77DE7"/>
    <w:rsid w:val="5AE651F5"/>
    <w:rsid w:val="5AE859B9"/>
    <w:rsid w:val="5AFF6D1D"/>
    <w:rsid w:val="5B1B4C44"/>
    <w:rsid w:val="5B1E59D3"/>
    <w:rsid w:val="5B226BC5"/>
    <w:rsid w:val="5B5C115B"/>
    <w:rsid w:val="5B6E1F7E"/>
    <w:rsid w:val="5B7133D4"/>
    <w:rsid w:val="5B73055E"/>
    <w:rsid w:val="5BA17E8D"/>
    <w:rsid w:val="5BBF6444"/>
    <w:rsid w:val="5BE215C1"/>
    <w:rsid w:val="5BE363B5"/>
    <w:rsid w:val="5BF12C07"/>
    <w:rsid w:val="5C0965FE"/>
    <w:rsid w:val="5C1E6ED7"/>
    <w:rsid w:val="5C287BE8"/>
    <w:rsid w:val="5C311AF5"/>
    <w:rsid w:val="5C39388B"/>
    <w:rsid w:val="5C3F1A8B"/>
    <w:rsid w:val="5C62036C"/>
    <w:rsid w:val="5C625527"/>
    <w:rsid w:val="5C7142DA"/>
    <w:rsid w:val="5C7609F0"/>
    <w:rsid w:val="5C8D6295"/>
    <w:rsid w:val="5CB77751"/>
    <w:rsid w:val="5CD005FC"/>
    <w:rsid w:val="5CD43124"/>
    <w:rsid w:val="5D2B360D"/>
    <w:rsid w:val="5D3F73F1"/>
    <w:rsid w:val="5D477EE6"/>
    <w:rsid w:val="5D4E2508"/>
    <w:rsid w:val="5D651528"/>
    <w:rsid w:val="5D7112AF"/>
    <w:rsid w:val="5D7603AD"/>
    <w:rsid w:val="5D774D25"/>
    <w:rsid w:val="5DA105F1"/>
    <w:rsid w:val="5DAE00DE"/>
    <w:rsid w:val="5DB102A0"/>
    <w:rsid w:val="5DBA650D"/>
    <w:rsid w:val="5DBD1505"/>
    <w:rsid w:val="5DC14A03"/>
    <w:rsid w:val="5DCE7328"/>
    <w:rsid w:val="5DD96C3F"/>
    <w:rsid w:val="5DF218F7"/>
    <w:rsid w:val="5DF323C6"/>
    <w:rsid w:val="5DFE18FD"/>
    <w:rsid w:val="5E152F47"/>
    <w:rsid w:val="5E1D6173"/>
    <w:rsid w:val="5E2445BB"/>
    <w:rsid w:val="5E2E5332"/>
    <w:rsid w:val="5E347FDE"/>
    <w:rsid w:val="5E3710E0"/>
    <w:rsid w:val="5E374C78"/>
    <w:rsid w:val="5E4568F3"/>
    <w:rsid w:val="5E486EDA"/>
    <w:rsid w:val="5E4E476C"/>
    <w:rsid w:val="5E5B5E48"/>
    <w:rsid w:val="5E7175B1"/>
    <w:rsid w:val="5E8B2A2D"/>
    <w:rsid w:val="5E933EE0"/>
    <w:rsid w:val="5EAD5845"/>
    <w:rsid w:val="5ECA2480"/>
    <w:rsid w:val="5EE41848"/>
    <w:rsid w:val="5EE42147"/>
    <w:rsid w:val="5EF027F0"/>
    <w:rsid w:val="5EF27F87"/>
    <w:rsid w:val="5EF33E9F"/>
    <w:rsid w:val="5F05084D"/>
    <w:rsid w:val="5F287258"/>
    <w:rsid w:val="5F3221FC"/>
    <w:rsid w:val="5F350C5E"/>
    <w:rsid w:val="5F445E15"/>
    <w:rsid w:val="5F683BBA"/>
    <w:rsid w:val="5F8B09D1"/>
    <w:rsid w:val="5F8C5ACD"/>
    <w:rsid w:val="5F98417E"/>
    <w:rsid w:val="5FA33D7C"/>
    <w:rsid w:val="5FB3009B"/>
    <w:rsid w:val="5FBC6643"/>
    <w:rsid w:val="5FCC2CE4"/>
    <w:rsid w:val="5FD73348"/>
    <w:rsid w:val="5FDA1AB5"/>
    <w:rsid w:val="5FE43AA6"/>
    <w:rsid w:val="5FF85D63"/>
    <w:rsid w:val="600E11AA"/>
    <w:rsid w:val="60172A22"/>
    <w:rsid w:val="603932B4"/>
    <w:rsid w:val="60410025"/>
    <w:rsid w:val="60492DFB"/>
    <w:rsid w:val="605F44AB"/>
    <w:rsid w:val="606E23C8"/>
    <w:rsid w:val="60731BE0"/>
    <w:rsid w:val="608115BE"/>
    <w:rsid w:val="60833132"/>
    <w:rsid w:val="60872DC3"/>
    <w:rsid w:val="608A6309"/>
    <w:rsid w:val="60A8707A"/>
    <w:rsid w:val="60AA07AE"/>
    <w:rsid w:val="60CD3CD7"/>
    <w:rsid w:val="60CD6067"/>
    <w:rsid w:val="60DC50FE"/>
    <w:rsid w:val="60E05C90"/>
    <w:rsid w:val="60E309A5"/>
    <w:rsid w:val="60E70C46"/>
    <w:rsid w:val="60FC35BE"/>
    <w:rsid w:val="61101007"/>
    <w:rsid w:val="61157B84"/>
    <w:rsid w:val="61184593"/>
    <w:rsid w:val="61382889"/>
    <w:rsid w:val="616869CB"/>
    <w:rsid w:val="618810F0"/>
    <w:rsid w:val="618C6543"/>
    <w:rsid w:val="618D788D"/>
    <w:rsid w:val="619017A5"/>
    <w:rsid w:val="61913A63"/>
    <w:rsid w:val="61AA171A"/>
    <w:rsid w:val="61AF6538"/>
    <w:rsid w:val="61B93218"/>
    <w:rsid w:val="61C95FA7"/>
    <w:rsid w:val="61CE3DC3"/>
    <w:rsid w:val="61DE5681"/>
    <w:rsid w:val="61DF091F"/>
    <w:rsid w:val="61F27092"/>
    <w:rsid w:val="61F52399"/>
    <w:rsid w:val="61FE43B9"/>
    <w:rsid w:val="62115386"/>
    <w:rsid w:val="623743FB"/>
    <w:rsid w:val="623D44AB"/>
    <w:rsid w:val="624E6AA8"/>
    <w:rsid w:val="6262152D"/>
    <w:rsid w:val="62803DBF"/>
    <w:rsid w:val="62833888"/>
    <w:rsid w:val="62943D13"/>
    <w:rsid w:val="6299641A"/>
    <w:rsid w:val="62B57C09"/>
    <w:rsid w:val="62BF3AA5"/>
    <w:rsid w:val="62C36DBC"/>
    <w:rsid w:val="62C4230D"/>
    <w:rsid w:val="62D46FC5"/>
    <w:rsid w:val="62F54B77"/>
    <w:rsid w:val="6310359E"/>
    <w:rsid w:val="631420A1"/>
    <w:rsid w:val="631505C0"/>
    <w:rsid w:val="63155417"/>
    <w:rsid w:val="63214A2B"/>
    <w:rsid w:val="63376160"/>
    <w:rsid w:val="633E13E5"/>
    <w:rsid w:val="63487719"/>
    <w:rsid w:val="634A51E1"/>
    <w:rsid w:val="634A5D11"/>
    <w:rsid w:val="634F3317"/>
    <w:rsid w:val="635268DC"/>
    <w:rsid w:val="6358606B"/>
    <w:rsid w:val="63666A48"/>
    <w:rsid w:val="637D77CE"/>
    <w:rsid w:val="63854280"/>
    <w:rsid w:val="638E374E"/>
    <w:rsid w:val="63924A3C"/>
    <w:rsid w:val="63AD1A5F"/>
    <w:rsid w:val="63BB2A2E"/>
    <w:rsid w:val="63C15C46"/>
    <w:rsid w:val="63C80DC2"/>
    <w:rsid w:val="63D01584"/>
    <w:rsid w:val="63D06A71"/>
    <w:rsid w:val="63D471E1"/>
    <w:rsid w:val="63D868DC"/>
    <w:rsid w:val="63DB2DFC"/>
    <w:rsid w:val="63E45270"/>
    <w:rsid w:val="64026ADC"/>
    <w:rsid w:val="643E7FAD"/>
    <w:rsid w:val="64425CB3"/>
    <w:rsid w:val="644E4E36"/>
    <w:rsid w:val="647309C8"/>
    <w:rsid w:val="647B79AC"/>
    <w:rsid w:val="64845247"/>
    <w:rsid w:val="649F545E"/>
    <w:rsid w:val="64A3106F"/>
    <w:rsid w:val="64AC439A"/>
    <w:rsid w:val="64BC5C08"/>
    <w:rsid w:val="65063072"/>
    <w:rsid w:val="6519042C"/>
    <w:rsid w:val="652B19EA"/>
    <w:rsid w:val="65351C97"/>
    <w:rsid w:val="653C7F90"/>
    <w:rsid w:val="654273BD"/>
    <w:rsid w:val="6551224D"/>
    <w:rsid w:val="656004EA"/>
    <w:rsid w:val="656A718A"/>
    <w:rsid w:val="656E6718"/>
    <w:rsid w:val="65941268"/>
    <w:rsid w:val="659D44F6"/>
    <w:rsid w:val="65AB06EE"/>
    <w:rsid w:val="65B6230A"/>
    <w:rsid w:val="65B72220"/>
    <w:rsid w:val="65CA59F4"/>
    <w:rsid w:val="65CE0AD2"/>
    <w:rsid w:val="65FE4FCA"/>
    <w:rsid w:val="65FF72F4"/>
    <w:rsid w:val="66007846"/>
    <w:rsid w:val="66050458"/>
    <w:rsid w:val="661029F1"/>
    <w:rsid w:val="66197240"/>
    <w:rsid w:val="66250479"/>
    <w:rsid w:val="662E1E71"/>
    <w:rsid w:val="663B6634"/>
    <w:rsid w:val="66560242"/>
    <w:rsid w:val="665A0509"/>
    <w:rsid w:val="666A3E84"/>
    <w:rsid w:val="66852253"/>
    <w:rsid w:val="668D6304"/>
    <w:rsid w:val="66997A17"/>
    <w:rsid w:val="66A74AF7"/>
    <w:rsid w:val="66BB4EFF"/>
    <w:rsid w:val="66CC2CD1"/>
    <w:rsid w:val="66CD4212"/>
    <w:rsid w:val="66F6602B"/>
    <w:rsid w:val="6715045E"/>
    <w:rsid w:val="672503DA"/>
    <w:rsid w:val="67364881"/>
    <w:rsid w:val="67494819"/>
    <w:rsid w:val="6749507E"/>
    <w:rsid w:val="67582785"/>
    <w:rsid w:val="677059D3"/>
    <w:rsid w:val="677A748F"/>
    <w:rsid w:val="67833172"/>
    <w:rsid w:val="67A11BFB"/>
    <w:rsid w:val="67A422BF"/>
    <w:rsid w:val="67A77FD6"/>
    <w:rsid w:val="67CC52CC"/>
    <w:rsid w:val="67E14CE7"/>
    <w:rsid w:val="68097558"/>
    <w:rsid w:val="680F2878"/>
    <w:rsid w:val="68114DE5"/>
    <w:rsid w:val="68151BFA"/>
    <w:rsid w:val="68231EDE"/>
    <w:rsid w:val="683237FF"/>
    <w:rsid w:val="683F41C3"/>
    <w:rsid w:val="684624F4"/>
    <w:rsid w:val="68494D7D"/>
    <w:rsid w:val="686D03AD"/>
    <w:rsid w:val="68751009"/>
    <w:rsid w:val="68765BE9"/>
    <w:rsid w:val="68795F3C"/>
    <w:rsid w:val="687A4F18"/>
    <w:rsid w:val="687B2AA7"/>
    <w:rsid w:val="68834B36"/>
    <w:rsid w:val="68892C9A"/>
    <w:rsid w:val="688C4253"/>
    <w:rsid w:val="68940B4F"/>
    <w:rsid w:val="68BD1B79"/>
    <w:rsid w:val="68D304B7"/>
    <w:rsid w:val="68D41B15"/>
    <w:rsid w:val="68DE7190"/>
    <w:rsid w:val="68EC113A"/>
    <w:rsid w:val="68F12B74"/>
    <w:rsid w:val="68FB469D"/>
    <w:rsid w:val="6910471D"/>
    <w:rsid w:val="69202D71"/>
    <w:rsid w:val="69221CE2"/>
    <w:rsid w:val="69291EB7"/>
    <w:rsid w:val="693A4B15"/>
    <w:rsid w:val="694B4A20"/>
    <w:rsid w:val="695C1D76"/>
    <w:rsid w:val="695C3D80"/>
    <w:rsid w:val="69776F57"/>
    <w:rsid w:val="69891CEE"/>
    <w:rsid w:val="699A2F50"/>
    <w:rsid w:val="69B93B50"/>
    <w:rsid w:val="69BC240E"/>
    <w:rsid w:val="69BC6C44"/>
    <w:rsid w:val="69E432C9"/>
    <w:rsid w:val="69E5438C"/>
    <w:rsid w:val="69FA4028"/>
    <w:rsid w:val="6A191E72"/>
    <w:rsid w:val="6A1A1E26"/>
    <w:rsid w:val="6A2758C5"/>
    <w:rsid w:val="6A34661B"/>
    <w:rsid w:val="6A347AA9"/>
    <w:rsid w:val="6A3624BF"/>
    <w:rsid w:val="6A3C304D"/>
    <w:rsid w:val="6A45684A"/>
    <w:rsid w:val="6A4E5974"/>
    <w:rsid w:val="6A5E36D6"/>
    <w:rsid w:val="6A6E48CA"/>
    <w:rsid w:val="6A7F6F3C"/>
    <w:rsid w:val="6A951A43"/>
    <w:rsid w:val="6AA91745"/>
    <w:rsid w:val="6AB1273A"/>
    <w:rsid w:val="6AB7168A"/>
    <w:rsid w:val="6AB736F7"/>
    <w:rsid w:val="6ABD5298"/>
    <w:rsid w:val="6AC005CD"/>
    <w:rsid w:val="6AC360C6"/>
    <w:rsid w:val="6ADB49F3"/>
    <w:rsid w:val="6AE04982"/>
    <w:rsid w:val="6AE1101D"/>
    <w:rsid w:val="6AE35FE6"/>
    <w:rsid w:val="6AEB2198"/>
    <w:rsid w:val="6AF234CE"/>
    <w:rsid w:val="6AF626B3"/>
    <w:rsid w:val="6AF9498B"/>
    <w:rsid w:val="6B1A7565"/>
    <w:rsid w:val="6B272F01"/>
    <w:rsid w:val="6B394DDD"/>
    <w:rsid w:val="6B3A5B9C"/>
    <w:rsid w:val="6B4C32FC"/>
    <w:rsid w:val="6B4F395F"/>
    <w:rsid w:val="6B560499"/>
    <w:rsid w:val="6B59412C"/>
    <w:rsid w:val="6B5A2D84"/>
    <w:rsid w:val="6B64425E"/>
    <w:rsid w:val="6B6C3316"/>
    <w:rsid w:val="6B6E39A6"/>
    <w:rsid w:val="6B6F1861"/>
    <w:rsid w:val="6B7B1C0C"/>
    <w:rsid w:val="6B7D1114"/>
    <w:rsid w:val="6B8A1D10"/>
    <w:rsid w:val="6B8C15EC"/>
    <w:rsid w:val="6B984205"/>
    <w:rsid w:val="6BB5482A"/>
    <w:rsid w:val="6BBD7EDD"/>
    <w:rsid w:val="6BC76DA0"/>
    <w:rsid w:val="6BC80646"/>
    <w:rsid w:val="6BD01835"/>
    <w:rsid w:val="6BDD76DB"/>
    <w:rsid w:val="6C10472A"/>
    <w:rsid w:val="6C110459"/>
    <w:rsid w:val="6C315A00"/>
    <w:rsid w:val="6C3E2E7C"/>
    <w:rsid w:val="6C3E6D64"/>
    <w:rsid w:val="6C475BB2"/>
    <w:rsid w:val="6C4C63DD"/>
    <w:rsid w:val="6C543809"/>
    <w:rsid w:val="6C5B597F"/>
    <w:rsid w:val="6C6235EC"/>
    <w:rsid w:val="6C89435F"/>
    <w:rsid w:val="6C8F3628"/>
    <w:rsid w:val="6C922719"/>
    <w:rsid w:val="6C9D2625"/>
    <w:rsid w:val="6CA16A6A"/>
    <w:rsid w:val="6CAB63A4"/>
    <w:rsid w:val="6CB452EF"/>
    <w:rsid w:val="6CB659CC"/>
    <w:rsid w:val="6CB74228"/>
    <w:rsid w:val="6CBB0589"/>
    <w:rsid w:val="6CBC426B"/>
    <w:rsid w:val="6CC31E29"/>
    <w:rsid w:val="6CC8474D"/>
    <w:rsid w:val="6CF7489F"/>
    <w:rsid w:val="6CFD0FAB"/>
    <w:rsid w:val="6D516FE8"/>
    <w:rsid w:val="6D6132F1"/>
    <w:rsid w:val="6D626330"/>
    <w:rsid w:val="6D637FFC"/>
    <w:rsid w:val="6D75001A"/>
    <w:rsid w:val="6D7A155E"/>
    <w:rsid w:val="6D7F272B"/>
    <w:rsid w:val="6D7F466C"/>
    <w:rsid w:val="6D844A88"/>
    <w:rsid w:val="6D895481"/>
    <w:rsid w:val="6D8F0329"/>
    <w:rsid w:val="6D910B0A"/>
    <w:rsid w:val="6D9F2167"/>
    <w:rsid w:val="6DB22CAE"/>
    <w:rsid w:val="6DC81515"/>
    <w:rsid w:val="6DCA756F"/>
    <w:rsid w:val="6DCB3D37"/>
    <w:rsid w:val="6DD65D4D"/>
    <w:rsid w:val="6E0061E4"/>
    <w:rsid w:val="6E1263EB"/>
    <w:rsid w:val="6E150BB4"/>
    <w:rsid w:val="6E1E4A68"/>
    <w:rsid w:val="6E255253"/>
    <w:rsid w:val="6E2F758F"/>
    <w:rsid w:val="6E5F5853"/>
    <w:rsid w:val="6E6A2AB7"/>
    <w:rsid w:val="6E715E64"/>
    <w:rsid w:val="6EA30D36"/>
    <w:rsid w:val="6EC27A52"/>
    <w:rsid w:val="6EC51706"/>
    <w:rsid w:val="6ECE5D28"/>
    <w:rsid w:val="6EF16BAA"/>
    <w:rsid w:val="6F3E6F6A"/>
    <w:rsid w:val="6F4F61FF"/>
    <w:rsid w:val="6F645B3D"/>
    <w:rsid w:val="6F6F6BB0"/>
    <w:rsid w:val="6F721EE8"/>
    <w:rsid w:val="6F7C5B1D"/>
    <w:rsid w:val="6F8242A6"/>
    <w:rsid w:val="6F9C7C9F"/>
    <w:rsid w:val="6FAA31AE"/>
    <w:rsid w:val="6FC2019E"/>
    <w:rsid w:val="6FCF1FCC"/>
    <w:rsid w:val="6FDC6A13"/>
    <w:rsid w:val="6FE11250"/>
    <w:rsid w:val="6FEB30A6"/>
    <w:rsid w:val="700F60AB"/>
    <w:rsid w:val="702E1C60"/>
    <w:rsid w:val="703833EE"/>
    <w:rsid w:val="70396585"/>
    <w:rsid w:val="7057642C"/>
    <w:rsid w:val="70582D7C"/>
    <w:rsid w:val="706937F3"/>
    <w:rsid w:val="70762609"/>
    <w:rsid w:val="70846DB9"/>
    <w:rsid w:val="708608F2"/>
    <w:rsid w:val="708E0274"/>
    <w:rsid w:val="70951C8F"/>
    <w:rsid w:val="70970637"/>
    <w:rsid w:val="709D17E5"/>
    <w:rsid w:val="70AB693F"/>
    <w:rsid w:val="70BA2AB1"/>
    <w:rsid w:val="70CC6B01"/>
    <w:rsid w:val="70E45185"/>
    <w:rsid w:val="70F26E94"/>
    <w:rsid w:val="70F37C92"/>
    <w:rsid w:val="71075C58"/>
    <w:rsid w:val="710809BA"/>
    <w:rsid w:val="7111050D"/>
    <w:rsid w:val="71114BD0"/>
    <w:rsid w:val="71231D83"/>
    <w:rsid w:val="71277652"/>
    <w:rsid w:val="712D1FB3"/>
    <w:rsid w:val="713105F3"/>
    <w:rsid w:val="714840A3"/>
    <w:rsid w:val="715947FB"/>
    <w:rsid w:val="715B25CD"/>
    <w:rsid w:val="71784C11"/>
    <w:rsid w:val="717A0AF5"/>
    <w:rsid w:val="718A579B"/>
    <w:rsid w:val="718E1942"/>
    <w:rsid w:val="7190210E"/>
    <w:rsid w:val="719C04D0"/>
    <w:rsid w:val="71A602D5"/>
    <w:rsid w:val="71AC3FB1"/>
    <w:rsid w:val="71C5681C"/>
    <w:rsid w:val="71CB27A0"/>
    <w:rsid w:val="71D50832"/>
    <w:rsid w:val="71DA0669"/>
    <w:rsid w:val="71F6443D"/>
    <w:rsid w:val="71F944ED"/>
    <w:rsid w:val="7202041C"/>
    <w:rsid w:val="72036DF7"/>
    <w:rsid w:val="72150C3A"/>
    <w:rsid w:val="72163FF5"/>
    <w:rsid w:val="72195950"/>
    <w:rsid w:val="72220E9F"/>
    <w:rsid w:val="722658A7"/>
    <w:rsid w:val="72565FD2"/>
    <w:rsid w:val="726A5470"/>
    <w:rsid w:val="726C7784"/>
    <w:rsid w:val="72736A21"/>
    <w:rsid w:val="72835B5C"/>
    <w:rsid w:val="72D92AA4"/>
    <w:rsid w:val="72EE4890"/>
    <w:rsid w:val="72FB29D2"/>
    <w:rsid w:val="72FF2A6A"/>
    <w:rsid w:val="730514CA"/>
    <w:rsid w:val="73165606"/>
    <w:rsid w:val="7350124A"/>
    <w:rsid w:val="7357250A"/>
    <w:rsid w:val="736503F3"/>
    <w:rsid w:val="73666181"/>
    <w:rsid w:val="73743B84"/>
    <w:rsid w:val="737D13D8"/>
    <w:rsid w:val="73BC5ADA"/>
    <w:rsid w:val="73C05E0A"/>
    <w:rsid w:val="73CC0CFE"/>
    <w:rsid w:val="73D16E0F"/>
    <w:rsid w:val="73E75195"/>
    <w:rsid w:val="73E75942"/>
    <w:rsid w:val="73F45B5B"/>
    <w:rsid w:val="73FD0D7C"/>
    <w:rsid w:val="74106D25"/>
    <w:rsid w:val="742D7F70"/>
    <w:rsid w:val="744201E5"/>
    <w:rsid w:val="74605527"/>
    <w:rsid w:val="7473422F"/>
    <w:rsid w:val="748536CD"/>
    <w:rsid w:val="74896B95"/>
    <w:rsid w:val="74B22248"/>
    <w:rsid w:val="74C628DC"/>
    <w:rsid w:val="74C67F85"/>
    <w:rsid w:val="74CE75EB"/>
    <w:rsid w:val="74D010FC"/>
    <w:rsid w:val="74D953F9"/>
    <w:rsid w:val="74E00E4C"/>
    <w:rsid w:val="74E0672D"/>
    <w:rsid w:val="74ED0418"/>
    <w:rsid w:val="74EE579C"/>
    <w:rsid w:val="74F30D0D"/>
    <w:rsid w:val="75013FA2"/>
    <w:rsid w:val="751B0AC2"/>
    <w:rsid w:val="752B6CBD"/>
    <w:rsid w:val="75347ABF"/>
    <w:rsid w:val="75370356"/>
    <w:rsid w:val="75387185"/>
    <w:rsid w:val="7541070B"/>
    <w:rsid w:val="7559734B"/>
    <w:rsid w:val="755D017A"/>
    <w:rsid w:val="75631BF1"/>
    <w:rsid w:val="75682E1E"/>
    <w:rsid w:val="756A03D5"/>
    <w:rsid w:val="75761201"/>
    <w:rsid w:val="757D001D"/>
    <w:rsid w:val="75871959"/>
    <w:rsid w:val="75884E5F"/>
    <w:rsid w:val="75BC4922"/>
    <w:rsid w:val="75C51532"/>
    <w:rsid w:val="75CE4B54"/>
    <w:rsid w:val="75D74DEB"/>
    <w:rsid w:val="75DE6F48"/>
    <w:rsid w:val="75E64D6F"/>
    <w:rsid w:val="75ED3C68"/>
    <w:rsid w:val="75F41D12"/>
    <w:rsid w:val="76217E78"/>
    <w:rsid w:val="7639125E"/>
    <w:rsid w:val="7651342C"/>
    <w:rsid w:val="765A31EB"/>
    <w:rsid w:val="766E45E7"/>
    <w:rsid w:val="766F7200"/>
    <w:rsid w:val="76741A30"/>
    <w:rsid w:val="767B1CC7"/>
    <w:rsid w:val="767D01A5"/>
    <w:rsid w:val="76805E9F"/>
    <w:rsid w:val="76835829"/>
    <w:rsid w:val="768507DC"/>
    <w:rsid w:val="76983C3B"/>
    <w:rsid w:val="76A02BCB"/>
    <w:rsid w:val="76AA5B4F"/>
    <w:rsid w:val="76AC060F"/>
    <w:rsid w:val="76BA353D"/>
    <w:rsid w:val="76BA3B09"/>
    <w:rsid w:val="76D07064"/>
    <w:rsid w:val="76D20F89"/>
    <w:rsid w:val="770400CE"/>
    <w:rsid w:val="77051325"/>
    <w:rsid w:val="77251F1E"/>
    <w:rsid w:val="77332201"/>
    <w:rsid w:val="77376543"/>
    <w:rsid w:val="77393B75"/>
    <w:rsid w:val="773B37EE"/>
    <w:rsid w:val="77504672"/>
    <w:rsid w:val="77513043"/>
    <w:rsid w:val="775A6B62"/>
    <w:rsid w:val="775B6CFA"/>
    <w:rsid w:val="77791A9B"/>
    <w:rsid w:val="77871AA2"/>
    <w:rsid w:val="7796391E"/>
    <w:rsid w:val="77A518B2"/>
    <w:rsid w:val="77AB37E1"/>
    <w:rsid w:val="77AE35EA"/>
    <w:rsid w:val="77B36B8D"/>
    <w:rsid w:val="77BD74BE"/>
    <w:rsid w:val="77CB6F10"/>
    <w:rsid w:val="77D91930"/>
    <w:rsid w:val="77D91CF0"/>
    <w:rsid w:val="77E3052F"/>
    <w:rsid w:val="77E53A33"/>
    <w:rsid w:val="77F701A9"/>
    <w:rsid w:val="77FB4C40"/>
    <w:rsid w:val="780F5843"/>
    <w:rsid w:val="78192A9B"/>
    <w:rsid w:val="78333C91"/>
    <w:rsid w:val="78555717"/>
    <w:rsid w:val="785C3A79"/>
    <w:rsid w:val="787119DD"/>
    <w:rsid w:val="787C777E"/>
    <w:rsid w:val="78B038E4"/>
    <w:rsid w:val="78BB1DAB"/>
    <w:rsid w:val="78D16820"/>
    <w:rsid w:val="78D77B83"/>
    <w:rsid w:val="78E15525"/>
    <w:rsid w:val="79181325"/>
    <w:rsid w:val="794D4E7A"/>
    <w:rsid w:val="794E7266"/>
    <w:rsid w:val="7950299E"/>
    <w:rsid w:val="797444FE"/>
    <w:rsid w:val="797A6355"/>
    <w:rsid w:val="79AF2022"/>
    <w:rsid w:val="79D91321"/>
    <w:rsid w:val="79F25B7F"/>
    <w:rsid w:val="79F66CD1"/>
    <w:rsid w:val="79FE6514"/>
    <w:rsid w:val="7A113396"/>
    <w:rsid w:val="7A122842"/>
    <w:rsid w:val="7A1C72DC"/>
    <w:rsid w:val="7A1F5FA2"/>
    <w:rsid w:val="7A3469DE"/>
    <w:rsid w:val="7A361287"/>
    <w:rsid w:val="7A385392"/>
    <w:rsid w:val="7A4E59E3"/>
    <w:rsid w:val="7A563FBF"/>
    <w:rsid w:val="7A6207B7"/>
    <w:rsid w:val="7A682EFA"/>
    <w:rsid w:val="7A911B7E"/>
    <w:rsid w:val="7AA06C09"/>
    <w:rsid w:val="7AA15A77"/>
    <w:rsid w:val="7AA44615"/>
    <w:rsid w:val="7AA519E3"/>
    <w:rsid w:val="7AB0214F"/>
    <w:rsid w:val="7AC257FB"/>
    <w:rsid w:val="7AC301CD"/>
    <w:rsid w:val="7AD420A9"/>
    <w:rsid w:val="7AD4612D"/>
    <w:rsid w:val="7ADC2036"/>
    <w:rsid w:val="7ADE083F"/>
    <w:rsid w:val="7AEE5A5B"/>
    <w:rsid w:val="7AF06587"/>
    <w:rsid w:val="7AF07095"/>
    <w:rsid w:val="7AF62D67"/>
    <w:rsid w:val="7AFA5037"/>
    <w:rsid w:val="7AFC3017"/>
    <w:rsid w:val="7B063963"/>
    <w:rsid w:val="7B0901B1"/>
    <w:rsid w:val="7B134C00"/>
    <w:rsid w:val="7B406518"/>
    <w:rsid w:val="7B524983"/>
    <w:rsid w:val="7B605382"/>
    <w:rsid w:val="7B637FBA"/>
    <w:rsid w:val="7B67318D"/>
    <w:rsid w:val="7B780461"/>
    <w:rsid w:val="7B944295"/>
    <w:rsid w:val="7B96044F"/>
    <w:rsid w:val="7B9A6999"/>
    <w:rsid w:val="7B9B41E8"/>
    <w:rsid w:val="7B9E2369"/>
    <w:rsid w:val="7BA448C6"/>
    <w:rsid w:val="7BB17274"/>
    <w:rsid w:val="7BB443D5"/>
    <w:rsid w:val="7BED37BB"/>
    <w:rsid w:val="7BEE17A8"/>
    <w:rsid w:val="7BEE7B58"/>
    <w:rsid w:val="7BFB294D"/>
    <w:rsid w:val="7C071821"/>
    <w:rsid w:val="7C19606C"/>
    <w:rsid w:val="7C37247B"/>
    <w:rsid w:val="7C434BCC"/>
    <w:rsid w:val="7C4942D6"/>
    <w:rsid w:val="7C4C6752"/>
    <w:rsid w:val="7C710304"/>
    <w:rsid w:val="7C730235"/>
    <w:rsid w:val="7C7E1157"/>
    <w:rsid w:val="7C810D66"/>
    <w:rsid w:val="7C9B30A4"/>
    <w:rsid w:val="7CA531A9"/>
    <w:rsid w:val="7CA96E25"/>
    <w:rsid w:val="7CAF713E"/>
    <w:rsid w:val="7CC16B07"/>
    <w:rsid w:val="7CD056DC"/>
    <w:rsid w:val="7CDD604C"/>
    <w:rsid w:val="7CEA2989"/>
    <w:rsid w:val="7CED777C"/>
    <w:rsid w:val="7CEF5C24"/>
    <w:rsid w:val="7CF0172B"/>
    <w:rsid w:val="7CFA5C8C"/>
    <w:rsid w:val="7D135F4F"/>
    <w:rsid w:val="7D144207"/>
    <w:rsid w:val="7D216977"/>
    <w:rsid w:val="7D300226"/>
    <w:rsid w:val="7D3C7801"/>
    <w:rsid w:val="7D4958C7"/>
    <w:rsid w:val="7D6162BA"/>
    <w:rsid w:val="7D7B6551"/>
    <w:rsid w:val="7D7C5C11"/>
    <w:rsid w:val="7D8B1368"/>
    <w:rsid w:val="7DA270C7"/>
    <w:rsid w:val="7DB81071"/>
    <w:rsid w:val="7DBC12AD"/>
    <w:rsid w:val="7DDF4C74"/>
    <w:rsid w:val="7DEA668B"/>
    <w:rsid w:val="7DEF17B8"/>
    <w:rsid w:val="7DFD7774"/>
    <w:rsid w:val="7E2605FE"/>
    <w:rsid w:val="7E423131"/>
    <w:rsid w:val="7E5D6622"/>
    <w:rsid w:val="7E684DBE"/>
    <w:rsid w:val="7E687E3F"/>
    <w:rsid w:val="7E6D5504"/>
    <w:rsid w:val="7E747822"/>
    <w:rsid w:val="7E7F26BC"/>
    <w:rsid w:val="7E884DA1"/>
    <w:rsid w:val="7E9969AC"/>
    <w:rsid w:val="7E9D7358"/>
    <w:rsid w:val="7EA158BD"/>
    <w:rsid w:val="7EAC55F2"/>
    <w:rsid w:val="7EB14232"/>
    <w:rsid w:val="7EB354E2"/>
    <w:rsid w:val="7EB452C6"/>
    <w:rsid w:val="7EBD2769"/>
    <w:rsid w:val="7EC161F3"/>
    <w:rsid w:val="7EC57F5A"/>
    <w:rsid w:val="7ECC2C41"/>
    <w:rsid w:val="7EFB64EE"/>
    <w:rsid w:val="7F00265B"/>
    <w:rsid w:val="7F15709B"/>
    <w:rsid w:val="7F386FF1"/>
    <w:rsid w:val="7F440068"/>
    <w:rsid w:val="7F563B3A"/>
    <w:rsid w:val="7F6040AC"/>
    <w:rsid w:val="7F6D2B32"/>
    <w:rsid w:val="7F747A9F"/>
    <w:rsid w:val="7F78122E"/>
    <w:rsid w:val="7F856212"/>
    <w:rsid w:val="7FA23AB4"/>
    <w:rsid w:val="7FA61964"/>
    <w:rsid w:val="7FB1324C"/>
    <w:rsid w:val="7FB839AD"/>
    <w:rsid w:val="7FC0404F"/>
    <w:rsid w:val="7FC23594"/>
    <w:rsid w:val="7FC8795F"/>
    <w:rsid w:val="7FD13D37"/>
    <w:rsid w:val="7FF01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4"/>
      <w:szCs w:val="24"/>
      <w:lang w:val="en-US" w:eastAsia="en-US" w:bidi="ar-SA"/>
    </w:rPr>
  </w:style>
  <w:style w:type="character" w:default="1" w:styleId="15">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widowControl/>
      <w:ind w:firstLine="420" w:firstLineChars="200"/>
      <w:textAlignment w:val="baseline"/>
    </w:pPr>
    <w:rPr>
      <w:rFonts w:ascii="Times New Roman" w:hAnsi="Times New Roman" w:eastAsia="宋体" w:cs="Times New Roman"/>
      <w:sz w:val="24"/>
      <w:szCs w:val="24"/>
      <w:lang w:val="en-US" w:eastAsia="en-US" w:bidi="ar-SA"/>
    </w:rPr>
  </w:style>
  <w:style w:type="paragraph" w:styleId="3">
    <w:name w:val="Body Text Indent"/>
    <w:basedOn w:val="1"/>
    <w:next w:val="4"/>
    <w:qFormat/>
    <w:uiPriority w:val="0"/>
    <w:pPr>
      <w:spacing w:line="460" w:lineRule="exact"/>
      <w:ind w:firstLine="200" w:firstLineChars="200"/>
    </w:pPr>
    <w:rPr>
      <w:rFonts w:ascii="仿宋_GB2312" w:eastAsia="仿宋_GB2312"/>
      <w:sz w:val="24"/>
    </w:rPr>
  </w:style>
  <w:style w:type="paragraph" w:styleId="4">
    <w:name w:val="Body Text First Indent 2"/>
    <w:basedOn w:val="3"/>
    <w:next w:val="2"/>
    <w:qFormat/>
    <w:uiPriority w:val="0"/>
    <w:pPr>
      <w:spacing w:before="100" w:beforeAutospacing="1"/>
    </w:pPr>
    <w:rPr>
      <w:rFonts w:ascii="Calibri" w:hAnsi="Calibri"/>
    </w:rPr>
  </w:style>
  <w:style w:type="paragraph" w:styleId="5">
    <w:name w:val="index 5"/>
    <w:basedOn w:val="1"/>
    <w:next w:val="1"/>
    <w:qFormat/>
    <w:uiPriority w:val="0"/>
    <w:pPr>
      <w:ind w:left="1680"/>
    </w:pPr>
  </w:style>
  <w:style w:type="paragraph" w:styleId="6">
    <w:name w:val="Body Text"/>
    <w:basedOn w:val="1"/>
    <w:next w:val="7"/>
    <w:qFormat/>
    <w:uiPriority w:val="1"/>
    <w:pPr>
      <w:ind w:left="111"/>
    </w:pPr>
    <w:rPr>
      <w:rFonts w:ascii="仿宋_GB2312" w:hAnsi="仿宋_GB2312" w:eastAsia="仿宋_GB2312" w:cs="仿宋_GB2312"/>
      <w:sz w:val="32"/>
      <w:szCs w:val="32"/>
      <w:lang w:val="zh-CN" w:eastAsia="zh-CN" w:bidi="zh-CN"/>
    </w:rPr>
  </w:style>
  <w:style w:type="paragraph" w:customStyle="1" w:styleId="7">
    <w:name w:val="列出段落1"/>
    <w:basedOn w:val="1"/>
    <w:qFormat/>
    <w:uiPriority w:val="0"/>
    <w:pPr>
      <w:ind w:firstLine="420"/>
    </w:pPr>
    <w:rPr>
      <w:rFonts w:ascii="Times New Roman" w:hAnsi="Times New Roman"/>
    </w:rPr>
  </w:style>
  <w:style w:type="paragraph" w:styleId="8">
    <w:name w:val="footer"/>
    <w:basedOn w:val="1"/>
    <w:next w:val="9"/>
    <w:qFormat/>
    <w:uiPriority w:val="0"/>
    <w:pPr>
      <w:tabs>
        <w:tab w:val="center" w:pos="4153"/>
        <w:tab w:val="right" w:pos="8307"/>
      </w:tabs>
      <w:snapToGrid w:val="0"/>
      <w:jc w:val="left"/>
    </w:pPr>
    <w:rPr>
      <w:sz w:val="18"/>
    </w:rPr>
  </w:style>
  <w:style w:type="paragraph" w:styleId="9">
    <w:name w:val="Normal (Web)"/>
    <w:basedOn w:val="1"/>
    <w:next w:val="10"/>
    <w:unhideWhenUsed/>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10">
    <w:name w:val="Body text|1"/>
    <w:next w:val="5"/>
    <w:qFormat/>
    <w:uiPriority w:val="0"/>
    <w:pPr>
      <w:widowControl w:val="0"/>
      <w:spacing w:line="420" w:lineRule="auto"/>
      <w:ind w:firstLine="400"/>
      <w:jc w:val="both"/>
    </w:pPr>
    <w:rPr>
      <w:rFonts w:ascii="宋体" w:hAnsi="Times New Roman" w:eastAsia="宋体" w:cs="宋体"/>
      <w:kern w:val="2"/>
      <w:sz w:val="30"/>
      <w:szCs w:val="30"/>
      <w:lang w:val="zh-TW" w:eastAsia="zh-TW" w:bidi="zh-TW"/>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Body Text First Indent"/>
    <w:basedOn w:val="6"/>
    <w:next w:val="1"/>
    <w:qFormat/>
    <w:uiPriority w:val="0"/>
    <w:pPr>
      <w:widowControl/>
      <w:spacing w:after="120" w:afterAutospacing="0"/>
      <w:ind w:firstLine="0"/>
      <w:textAlignment w:val="baseline"/>
    </w:pPr>
    <w:rPr>
      <w:rFonts w:ascii="Times New Roman" w:hAnsi="Times New Roman" w:eastAsia="宋体" w:cs="Times New Roman"/>
      <w:sz w:val="24"/>
      <w:szCs w:val="24"/>
      <w:lang w:val="en-US" w:eastAsia="en-US" w:bidi="ar-SA"/>
    </w:rPr>
  </w:style>
  <w:style w:type="paragraph" w:customStyle="1" w:styleId="16">
    <w:name w:val="正文文字"/>
    <w:basedOn w:val="1"/>
    <w:next w:val="1"/>
    <w:qFormat/>
    <w:uiPriority w:val="0"/>
    <w:pPr>
      <w:spacing w:after="120"/>
    </w:pPr>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8326</Words>
  <Characters>9024</Characters>
  <Lines>0</Lines>
  <Paragraphs>0</Paragraphs>
  <TotalTime>959</TotalTime>
  <ScaleCrop>false</ScaleCrop>
  <LinksUpToDate>false</LinksUpToDate>
  <CharactersWithSpaces>9057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2025-01-06T06:57:00Z</dcterms:created>
  <dc:creator>100个熊熊</dc:creator>
  <cp:lastModifiedBy>Administrator</cp:lastModifiedBy>
  <cp:lastPrinted>2025-01-13T09:32:00Z</cp:lastPrinted>
  <dcterms:modified xsi:type="dcterms:W3CDTF">2025-01-15T01:05:39Z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BAF4E166F14F47DA91A362AC30FDF6AB_13</vt:lpwstr>
  </property>
  <property fmtid="{D5CDD505-2E9C-101B-9397-08002B2CF9AE}" pid="4" name="KSOTemplateDocerSaveRecord">
    <vt:lpwstr>eyJoZGlkIjoiN2ZlODNkZWFlMDNlMTgxZDg5NWZhNzU1ZGI1NWM5NTUifQ==</vt:lpwstr>
  </property>
</Properties>
</file>