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群众性体育赛事活动方案（模板）</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一、申报单位概况</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二、赛事基本情况介绍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但不限于</w:t>
      </w:r>
      <w:r>
        <w:rPr>
          <w:rFonts w:hint="eastAsia" w:ascii="仿宋_GB2312" w:hAnsi="仿宋_GB2312" w:eastAsia="仿宋_GB2312" w:cs="仿宋_GB2312"/>
          <w:sz w:val="32"/>
          <w:szCs w:val="32"/>
        </w:rPr>
        <w:t>赛事</w:t>
      </w:r>
      <w:r>
        <w:rPr>
          <w:rFonts w:hint="eastAsia" w:ascii="仿宋_GB2312" w:hAnsi="仿宋_GB2312" w:eastAsia="仿宋_GB2312" w:cs="仿宋_GB2312"/>
          <w:sz w:val="32"/>
          <w:szCs w:val="32"/>
          <w:lang w:eastAsia="zh-CN"/>
        </w:rPr>
        <w:t>级别</w:t>
      </w:r>
      <w:r>
        <w:rPr>
          <w:rFonts w:hint="eastAsia" w:ascii="仿宋_GB2312" w:hAnsi="仿宋_GB2312" w:eastAsia="仿宋_GB2312" w:cs="仿宋_GB2312"/>
          <w:sz w:val="32"/>
          <w:szCs w:val="32"/>
        </w:rPr>
        <w:t>、参数选手</w:t>
      </w:r>
      <w:r>
        <w:rPr>
          <w:rFonts w:hint="eastAsia" w:ascii="仿宋_GB2312" w:hAnsi="仿宋_GB2312" w:eastAsia="仿宋_GB2312" w:cs="仿宋_GB2312"/>
          <w:sz w:val="32"/>
          <w:szCs w:val="32"/>
          <w:lang w:eastAsia="zh-CN"/>
        </w:rPr>
        <w:t>、本地人数和外地人数，比赛天数、</w:t>
      </w:r>
      <w:r>
        <w:rPr>
          <w:rFonts w:hint="eastAsia" w:ascii="仿宋_GB2312" w:hAnsi="仿宋_GB2312" w:eastAsia="仿宋_GB2312" w:cs="仿宋_GB2312"/>
          <w:sz w:val="32"/>
          <w:szCs w:val="32"/>
        </w:rPr>
        <w:t>赞助情况等。</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三、赛事社会和经济效益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说明申请项目的总体实施效果，包括对本市赛事及运动项目发展、体育产业、文</w:t>
      </w:r>
      <w:r>
        <w:rPr>
          <w:rFonts w:hint="eastAsia" w:ascii="仿宋_GB2312" w:hAnsi="仿宋_GB2312" w:eastAsia="仿宋_GB2312" w:cs="仿宋_GB2312"/>
          <w:sz w:val="32"/>
          <w:szCs w:val="32"/>
          <w:lang w:eastAsia="zh-CN"/>
        </w:rPr>
        <w:t>体</w:t>
      </w:r>
      <w:r>
        <w:rPr>
          <w:rFonts w:hint="eastAsia" w:ascii="仿宋_GB2312" w:hAnsi="仿宋_GB2312" w:eastAsia="仿宋_GB2312" w:cs="仿宋_GB2312"/>
          <w:sz w:val="32"/>
          <w:szCs w:val="32"/>
        </w:rPr>
        <w:t>旅融合发展等方面的溢出效应及城市形象与影响力提升等方面贡献度分析。若有第三方出具的赛事绩效评价报告，请说明第三方评价意见，并提供材料。</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四、赛事预算</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包含本次比赛所有预算，其中自筹金额、拟申请补助金额分别列明。</w:t>
      </w:r>
    </w:p>
    <w:p>
      <w:pPr>
        <w:pStyle w:val="3"/>
        <w:keepNext w:val="0"/>
        <w:keepLines w:val="0"/>
        <w:pageBreakBefore w:val="0"/>
        <w:widowControl w:val="0"/>
        <w:kinsoku/>
        <w:wordWrap/>
        <w:overflowPunct/>
        <w:topLinePunct w:val="0"/>
        <w:autoSpaceDE/>
        <w:autoSpaceDN/>
        <w:bidi w:val="0"/>
        <w:adjustRightIn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五、赛事安全保障方案、宣传方案、活动组织方案等。</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24F5116"/>
    <w:rsid w:val="F24F5116"/>
    <w:rsid w:val="FFB7A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99"/>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2025-03-12T00:36:00Z</dcterms:created>
  <dc:creator>WPS_1673934078</dc:creator>
  <cp:lastModifiedBy>WPS_1673934078</cp:lastModifiedBy>
  <dcterms:modified xsi:type="dcterms:W3CDTF">2025-03-11T16:40:22Z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ies>
</file>