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firstLine="420" w:firstLineChars="0"/>
        <w:jc w:val="center"/>
        <w:textAlignment w:val="auto"/>
        <w:rPr>
          <w:rFonts w:hint="default" w:ascii="Times New Roman" w:hAnsi="Times New Roman" w:eastAsia="方正小标宋_GBK" w:cs="Times New Roman"/>
          <w:snapToGrid/>
          <w:kern w:val="2"/>
          <w:sz w:val="44"/>
          <w:szCs w:val="44"/>
          <w:lang w:val="en-US" w:eastAsia="zh-CN"/>
        </w:rPr>
      </w:pPr>
      <w:r>
        <w:rPr>
          <w:rFonts w:hint="default" w:ascii="Times New Roman" w:hAnsi="Times New Roman" w:eastAsia="方正小标宋_GBK" w:cs="Times New Roman"/>
          <w:snapToGrid/>
          <w:kern w:val="2"/>
          <w:sz w:val="44"/>
          <w:szCs w:val="44"/>
          <w:lang w:val="en-US" w:eastAsia="zh-CN"/>
        </w:rPr>
        <w:t>株洲市渌口区财政局2024年度</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napToGrid/>
          <w:kern w:val="2"/>
          <w:sz w:val="44"/>
          <w:szCs w:val="44"/>
          <w:lang w:val="en-US" w:eastAsia="zh-CN"/>
        </w:rPr>
      </w:pPr>
      <w:r>
        <w:rPr>
          <w:rFonts w:hint="eastAsia" w:ascii="Times New Roman" w:hAnsi="Times New Roman" w:eastAsia="方正小标宋_GBK" w:cs="Times New Roman"/>
          <w:snapToGrid/>
          <w:kern w:val="2"/>
          <w:sz w:val="44"/>
          <w:szCs w:val="44"/>
          <w:lang w:val="en-US" w:eastAsia="zh-CN"/>
        </w:rPr>
        <w:t>绩效管理</w:t>
      </w:r>
      <w:r>
        <w:rPr>
          <w:rFonts w:hint="default" w:ascii="Times New Roman" w:hAnsi="Times New Roman" w:eastAsia="方正小标宋_GBK" w:cs="Times New Roman"/>
          <w:snapToGrid/>
          <w:kern w:val="2"/>
          <w:sz w:val="44"/>
          <w:szCs w:val="44"/>
          <w:lang w:val="en-US" w:eastAsia="zh-CN"/>
        </w:rPr>
        <w:t>工作</w:t>
      </w:r>
      <w:r>
        <w:rPr>
          <w:rFonts w:hint="eastAsia" w:ascii="Times New Roman" w:hAnsi="Times New Roman" w:eastAsia="方正小标宋_GBK" w:cs="Times New Roman"/>
          <w:snapToGrid/>
          <w:kern w:val="2"/>
          <w:sz w:val="44"/>
          <w:szCs w:val="44"/>
          <w:lang w:val="en-US" w:eastAsia="zh-CN"/>
        </w:rPr>
        <w:t>开展情况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snapToGrid/>
          <w:color w:val="000000"/>
          <w:kern w:val="0"/>
          <w:sz w:val="32"/>
          <w:szCs w:val="32"/>
          <w:lang w:val="en-US" w:eastAsia="zh-CN"/>
        </w:rPr>
      </w:pPr>
      <w:r>
        <w:rPr>
          <w:rFonts w:hint="eastAsia" w:ascii="方正仿宋_GBK" w:hAnsi="方正仿宋_GBK" w:eastAsia="方正仿宋_GBK" w:cs="方正仿宋_GBK"/>
          <w:snapToGrid/>
          <w:color w:val="000000"/>
          <w:kern w:val="0"/>
          <w:sz w:val="32"/>
          <w:szCs w:val="32"/>
          <w:lang w:val="en-US" w:eastAsia="zh-CN"/>
        </w:rPr>
        <w:t>2024年，根据省厅的部署要求，在区委、区政府的坚强领导下，在局各业务股室及各预算单位大力支</w:t>
      </w:r>
      <w:bookmarkStart w:id="0" w:name="_GoBack"/>
      <w:bookmarkEnd w:id="0"/>
      <w:r>
        <w:rPr>
          <w:rFonts w:hint="eastAsia" w:ascii="方正仿宋_GBK" w:hAnsi="方正仿宋_GBK" w:eastAsia="方正仿宋_GBK" w:cs="方正仿宋_GBK"/>
          <w:snapToGrid/>
          <w:color w:val="000000"/>
          <w:kern w:val="0"/>
          <w:sz w:val="32"/>
          <w:szCs w:val="32"/>
          <w:lang w:val="en-US" w:eastAsia="zh-CN"/>
        </w:rPr>
        <w:t>持和配合下，联合第三方事务所</w:t>
      </w:r>
      <w:r>
        <w:rPr>
          <w:rFonts w:hint="eastAsia" w:ascii="Times New Roman" w:hAnsi="Times New Roman" w:eastAsia="仿宋_GB2312" w:cs="Times New Roman"/>
          <w:color w:val="auto"/>
          <w:spacing w:val="0"/>
          <w:sz w:val="32"/>
          <w:szCs w:val="32"/>
          <w:lang w:eastAsia="zh-CN"/>
        </w:rPr>
        <w:t>扎实开展了</w:t>
      </w:r>
      <w:r>
        <w:rPr>
          <w:rFonts w:hint="eastAsia" w:ascii="Times New Roman" w:hAnsi="Times New Roman" w:eastAsia="仿宋_GB2312" w:cs="Times New Roman"/>
          <w:color w:val="auto"/>
          <w:spacing w:val="0"/>
          <w:sz w:val="32"/>
          <w:szCs w:val="32"/>
        </w:rPr>
        <w:t>财政“绩效管理</w:t>
      </w:r>
      <w:r>
        <w:rPr>
          <w:rFonts w:hint="eastAsia" w:ascii="Times New Roman" w:hAnsi="Times New Roman" w:eastAsia="仿宋_GB2312" w:cs="Times New Roman"/>
          <w:color w:val="auto"/>
          <w:spacing w:val="0"/>
          <w:sz w:val="32"/>
          <w:szCs w:val="32"/>
          <w:lang w:eastAsia="zh-CN"/>
        </w:rPr>
        <w:t>巩固</w:t>
      </w:r>
      <w:r>
        <w:rPr>
          <w:rFonts w:hint="eastAsia" w:ascii="Times New Roman" w:hAnsi="Times New Roman" w:eastAsia="仿宋_GB2312" w:cs="Times New Roman"/>
          <w:color w:val="auto"/>
          <w:spacing w:val="0"/>
          <w:sz w:val="32"/>
          <w:szCs w:val="32"/>
        </w:rPr>
        <w:t>年”行动</w:t>
      </w:r>
      <w:r>
        <w:rPr>
          <w:rFonts w:hint="eastAsia" w:ascii="Times New Roman" w:hAnsi="Times New Roman" w:eastAsia="仿宋_GB2312" w:cs="Times New Roman"/>
          <w:color w:val="auto"/>
          <w:spacing w:val="0"/>
          <w:sz w:val="32"/>
          <w:szCs w:val="32"/>
          <w:lang w:eastAsia="zh-CN"/>
        </w:rPr>
        <w:t>工作</w:t>
      </w:r>
      <w:r>
        <w:rPr>
          <w:rFonts w:hint="eastAsia" w:ascii="方正仿宋_GBK" w:hAnsi="方正仿宋_GBK" w:eastAsia="方正仿宋_GBK" w:cs="方正仿宋_GBK"/>
          <w:snapToGrid/>
          <w:color w:val="000000"/>
          <w:kern w:val="0"/>
          <w:sz w:val="32"/>
          <w:szCs w:val="32"/>
          <w:lang w:val="en-US" w:eastAsia="zh-CN"/>
        </w:rPr>
        <w:t>，</w:t>
      </w:r>
      <w:r>
        <w:rPr>
          <w:rFonts w:hint="eastAsia" w:ascii="方正仿宋_GBK" w:hAnsi="方正仿宋_GBK" w:eastAsia="方正仿宋_GBK" w:cs="方正仿宋_GBK"/>
          <w:sz w:val="32"/>
          <w:szCs w:val="32"/>
        </w:rPr>
        <w:t>稳步推进全方位、全过程、全覆盖的“三全”预算绩效管理体系建设，带动</w:t>
      </w:r>
      <w:r>
        <w:rPr>
          <w:rFonts w:hint="eastAsia" w:ascii="方正仿宋_GBK" w:hAnsi="方正仿宋_GBK" w:eastAsia="方正仿宋_GBK" w:cs="方正仿宋_GBK"/>
          <w:sz w:val="32"/>
          <w:szCs w:val="32"/>
          <w:lang w:val="en-US" w:eastAsia="zh-CN"/>
        </w:rPr>
        <w:t>全区</w:t>
      </w:r>
      <w:r>
        <w:rPr>
          <w:rFonts w:hint="eastAsia" w:ascii="方正仿宋_GBK" w:hAnsi="方正仿宋_GBK" w:eastAsia="方正仿宋_GBK" w:cs="方正仿宋_GBK"/>
          <w:sz w:val="32"/>
          <w:szCs w:val="32"/>
        </w:rPr>
        <w:t>预算绩效管理水平的全面提升，营造预算绩效管理工作创新突破新局面，推动财政资金全面提质增效。</w:t>
      </w:r>
      <w:r>
        <w:rPr>
          <w:rFonts w:hint="eastAsia" w:ascii="方正仿宋_GBK" w:hAnsi="方正仿宋_GBK" w:eastAsia="方正仿宋_GBK" w:cs="方正仿宋_GBK"/>
          <w:snapToGrid/>
          <w:color w:val="000000"/>
          <w:kern w:val="0"/>
          <w:sz w:val="32"/>
          <w:szCs w:val="32"/>
          <w:lang w:val="en-US" w:eastAsia="zh-CN"/>
        </w:rPr>
        <w:t>现将2024年绩效管理工作总结报告如下：</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2" w:firstLineChars="200"/>
        <w:jc w:val="left"/>
        <w:textAlignment w:val="auto"/>
        <w:rPr>
          <w:rFonts w:hint="eastAsia" w:ascii="方正仿宋_GBK" w:hAnsi="方正仿宋_GBK" w:eastAsia="方正仿宋_GBK" w:cs="方正仿宋_GBK"/>
          <w:b/>
          <w:bCs/>
          <w:snapToGrid/>
          <w:color w:val="000000"/>
          <w:kern w:val="0"/>
          <w:sz w:val="32"/>
          <w:szCs w:val="32"/>
          <w:lang w:val="en-US" w:eastAsia="zh-CN"/>
        </w:rPr>
      </w:pPr>
      <w:r>
        <w:rPr>
          <w:rFonts w:hint="eastAsia" w:ascii="方正仿宋_GBK" w:hAnsi="方正仿宋_GBK" w:eastAsia="方正仿宋_GBK" w:cs="方正仿宋_GBK"/>
          <w:b/>
          <w:bCs/>
          <w:snapToGrid/>
          <w:color w:val="000000"/>
          <w:kern w:val="0"/>
          <w:sz w:val="32"/>
          <w:szCs w:val="32"/>
          <w:lang w:val="en-US" w:eastAsia="zh-CN"/>
        </w:rPr>
        <w:t>一、工作开展情况</w:t>
      </w:r>
    </w:p>
    <w:p>
      <w:pPr>
        <w:keepNext w:val="0"/>
        <w:keepLines w:val="0"/>
        <w:pageBreakBefore w:val="0"/>
        <w:widowControl/>
        <w:numPr>
          <w:ilvl w:val="0"/>
          <w:numId w:val="0"/>
        </w:numPr>
        <w:wordWrap/>
        <w:overflowPunct/>
        <w:topLinePunct w:val="0"/>
        <w:bidi w:val="0"/>
        <w:adjustRightInd w:val="0"/>
        <w:snapToGrid w:val="0"/>
        <w:spacing w:line="560" w:lineRule="exact"/>
        <w:ind w:firstLine="64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优化培训方案，明确工作目标</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lang w:eastAsia="zh-CN"/>
        </w:rPr>
        <w:t>因股室能力范畴及工作的覆盖面有片面性，结合工作需求，本区聘请了</w:t>
      </w:r>
      <w:r>
        <w:rPr>
          <w:rFonts w:hint="eastAsia" w:ascii="方正仿宋_GBK" w:hAnsi="方正仿宋_GBK" w:eastAsia="方正仿宋_GBK" w:cs="方正仿宋_GBK"/>
          <w:sz w:val="32"/>
          <w:szCs w:val="32"/>
        </w:rPr>
        <w:t>专业第三方机构、预算绩效管理专家，对全面实施预算绩效管理工作进行指导，通过完善创新预算绩效管理工作培训机制，为促进预算绩效管理工作升级扩围和提质增效打下坚实基础。</w:t>
      </w:r>
      <w:r>
        <w:rPr>
          <w:rFonts w:hint="eastAsia" w:ascii="方正仿宋_GBK" w:hAnsi="方正仿宋_GBK" w:eastAsia="方正仿宋_GBK" w:cs="方正仿宋_GBK"/>
          <w:b w:val="0"/>
          <w:bCs w:val="0"/>
          <w:sz w:val="32"/>
          <w:szCs w:val="32"/>
        </w:rPr>
        <w:t>一是扩大覆盖面。</w:t>
      </w:r>
      <w:r>
        <w:rPr>
          <w:rFonts w:hint="eastAsia" w:ascii="方正仿宋_GBK" w:hAnsi="方正仿宋_GBK" w:eastAsia="方正仿宋_GBK" w:cs="方正仿宋_GBK"/>
          <w:b w:val="0"/>
          <w:bCs w:val="0"/>
          <w:sz w:val="32"/>
          <w:szCs w:val="32"/>
          <w:lang w:eastAsia="zh-CN"/>
        </w:rPr>
        <w:t>根据</w:t>
      </w:r>
      <w:r>
        <w:rPr>
          <w:rFonts w:hint="eastAsia" w:ascii="方正仿宋_GBK" w:hAnsi="方正仿宋_GBK" w:eastAsia="方正仿宋_GBK" w:cs="方正仿宋_GBK"/>
          <w:b w:val="0"/>
          <w:bCs w:val="0"/>
          <w:sz w:val="32"/>
          <w:szCs w:val="32"/>
        </w:rPr>
        <w:t>各部门预算绩效管理工作实际提供个性化、精准化、专业化的指导，培训范围覆盖各</w:t>
      </w:r>
      <w:r>
        <w:rPr>
          <w:rFonts w:hint="eastAsia" w:ascii="方正仿宋_GBK" w:hAnsi="方正仿宋_GBK" w:eastAsia="方正仿宋_GBK" w:cs="方正仿宋_GBK"/>
          <w:b w:val="0"/>
          <w:bCs w:val="0"/>
          <w:kern w:val="0"/>
          <w:sz w:val="32"/>
          <w:szCs w:val="32"/>
        </w:rPr>
        <w:t>预算</w:t>
      </w:r>
      <w:r>
        <w:rPr>
          <w:rFonts w:hint="eastAsia" w:ascii="方正仿宋_GBK" w:hAnsi="方正仿宋_GBK" w:eastAsia="方正仿宋_GBK" w:cs="方正仿宋_GBK"/>
          <w:b w:val="0"/>
          <w:bCs w:val="0"/>
          <w:kern w:val="0"/>
          <w:sz w:val="32"/>
          <w:szCs w:val="32"/>
          <w:lang w:val="en-US" w:eastAsia="zh-CN"/>
        </w:rPr>
        <w:t>主管部门</w:t>
      </w:r>
      <w:r>
        <w:rPr>
          <w:rFonts w:hint="eastAsia" w:ascii="方正仿宋_GBK" w:hAnsi="方正仿宋_GBK" w:eastAsia="方正仿宋_GBK" w:cs="方正仿宋_GBK"/>
          <w:b w:val="0"/>
          <w:bCs w:val="0"/>
          <w:kern w:val="0"/>
          <w:sz w:val="32"/>
          <w:szCs w:val="32"/>
        </w:rPr>
        <w:t>的</w:t>
      </w:r>
      <w:r>
        <w:rPr>
          <w:rFonts w:hint="eastAsia" w:ascii="方正仿宋_GBK" w:hAnsi="方正仿宋_GBK" w:eastAsia="方正仿宋_GBK" w:cs="方正仿宋_GBK"/>
          <w:b w:val="0"/>
          <w:bCs w:val="0"/>
          <w:sz w:val="32"/>
          <w:szCs w:val="32"/>
        </w:rPr>
        <w:t>相关负责人以及财务人员、业务人员，推动业务部门与预算管理部门形成合力、协同配合，推进绩效管理理念深入人心、落地生根。二是增强实效性。</w:t>
      </w:r>
      <w:r>
        <w:rPr>
          <w:rFonts w:hint="eastAsia" w:ascii="方正仿宋_GBK" w:hAnsi="方正仿宋_GBK" w:eastAsia="方正仿宋_GBK" w:cs="方正仿宋_GBK"/>
          <w:sz w:val="32"/>
          <w:szCs w:val="32"/>
        </w:rPr>
        <w:t>针对各</w:t>
      </w:r>
      <w:r>
        <w:rPr>
          <w:rFonts w:hint="eastAsia" w:ascii="方正仿宋_GBK" w:hAnsi="方正仿宋_GBK" w:eastAsia="方正仿宋_GBK" w:cs="方正仿宋_GBK"/>
          <w:sz w:val="32"/>
          <w:szCs w:val="32"/>
          <w:lang w:val="en-US" w:eastAsia="zh-CN"/>
        </w:rPr>
        <w:t>预算主管</w:t>
      </w:r>
      <w:r>
        <w:rPr>
          <w:rFonts w:hint="eastAsia" w:ascii="方正仿宋_GBK" w:hAnsi="方正仿宋_GBK" w:eastAsia="方正仿宋_GBK" w:cs="方正仿宋_GBK"/>
          <w:sz w:val="32"/>
          <w:szCs w:val="32"/>
        </w:rPr>
        <w:t>部门编制绩效目标存在的理解不清、把握不准、指标难以细化、量化等问题，通过“手把手”培训、“面对面”会诊、“一对一”辅导等方式，落实落细培训方案，帮助各预算</w:t>
      </w:r>
      <w:r>
        <w:rPr>
          <w:rFonts w:hint="eastAsia" w:ascii="方正仿宋_GBK" w:hAnsi="方正仿宋_GBK" w:eastAsia="方正仿宋_GBK" w:cs="方正仿宋_GBK"/>
          <w:sz w:val="32"/>
          <w:szCs w:val="32"/>
          <w:lang w:val="en-US" w:eastAsia="zh-CN"/>
        </w:rPr>
        <w:t>主管</w:t>
      </w:r>
      <w:r>
        <w:rPr>
          <w:rFonts w:hint="eastAsia" w:ascii="方正仿宋_GBK" w:hAnsi="方正仿宋_GBK" w:eastAsia="方正仿宋_GBK" w:cs="方正仿宋_GBK"/>
          <w:sz w:val="32"/>
          <w:szCs w:val="32"/>
        </w:rPr>
        <w:t>部门聚焦全面实施预算绩效管理的总体要求，坚持问题导向、细化工具方法、补齐操作短板、有效解决问题，切实提高绩效管理实操能力和业务水平。</w:t>
      </w:r>
    </w:p>
    <w:p>
      <w:pPr>
        <w:keepNext w:val="0"/>
        <w:keepLines w:val="0"/>
        <w:pageBreakBefore w:val="0"/>
        <w:widowControl/>
        <w:numPr>
          <w:ilvl w:val="0"/>
          <w:numId w:val="0"/>
        </w:numPr>
        <w:wordWrap/>
        <w:overflowPunct/>
        <w:topLinePunct w:val="0"/>
        <w:bidi w:val="0"/>
        <w:adjustRightInd w:val="0"/>
        <w:snapToGrid w:val="0"/>
        <w:spacing w:line="560" w:lineRule="exact"/>
        <w:ind w:firstLine="642"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强化工作措施，确保</w:t>
      </w:r>
      <w:r>
        <w:rPr>
          <w:rFonts w:hint="eastAsia" w:ascii="方正仿宋_GBK" w:hAnsi="方正仿宋_GBK" w:eastAsia="方正仿宋_GBK" w:cs="方正仿宋_GBK"/>
          <w:b/>
          <w:bCs/>
          <w:sz w:val="32"/>
          <w:szCs w:val="32"/>
          <w:lang w:eastAsia="zh-CN"/>
        </w:rPr>
        <w:t>工作</w:t>
      </w:r>
      <w:r>
        <w:rPr>
          <w:rFonts w:hint="eastAsia" w:ascii="方正仿宋_GBK" w:hAnsi="方正仿宋_GBK" w:eastAsia="方正仿宋_GBK" w:cs="方正仿宋_GBK"/>
          <w:b/>
          <w:bCs/>
          <w:sz w:val="32"/>
          <w:szCs w:val="32"/>
        </w:rPr>
        <w:t>质量</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val="0"/>
          <w:bCs w:val="0"/>
          <w:sz w:val="32"/>
          <w:szCs w:val="32"/>
        </w:rPr>
        <w:t>全面</w:t>
      </w:r>
      <w:r>
        <w:rPr>
          <w:rFonts w:hint="eastAsia" w:ascii="方正仿宋_GBK" w:hAnsi="方正仿宋_GBK" w:eastAsia="方正仿宋_GBK" w:cs="方正仿宋_GBK"/>
          <w:sz w:val="32"/>
          <w:szCs w:val="32"/>
        </w:rPr>
        <w:t>创新预算绩效管理工作推进机制建设，凝聚工作合力，强化责任约束，推动</w:t>
      </w:r>
      <w:r>
        <w:rPr>
          <w:rFonts w:hint="eastAsia" w:ascii="方正仿宋_GBK" w:hAnsi="方正仿宋_GBK" w:eastAsia="方正仿宋_GBK" w:cs="方正仿宋_GBK"/>
          <w:sz w:val="32"/>
          <w:szCs w:val="32"/>
          <w:lang w:eastAsia="zh-CN"/>
        </w:rPr>
        <w:t>绩效</w:t>
      </w:r>
      <w:r>
        <w:rPr>
          <w:rFonts w:hint="eastAsia" w:ascii="方正仿宋_GBK" w:hAnsi="方正仿宋_GBK" w:eastAsia="方正仿宋_GBK" w:cs="方正仿宋_GBK"/>
          <w:sz w:val="32"/>
          <w:szCs w:val="32"/>
        </w:rPr>
        <w:t>任务落实落</w:t>
      </w:r>
      <w:r>
        <w:rPr>
          <w:rFonts w:hint="eastAsia" w:ascii="方正仿宋_GBK" w:hAnsi="方正仿宋_GBK" w:eastAsia="方正仿宋_GBK" w:cs="方正仿宋_GBK"/>
          <w:b w:val="0"/>
          <w:bCs w:val="0"/>
          <w:sz w:val="32"/>
          <w:szCs w:val="32"/>
        </w:rPr>
        <w:t>地。一是多方协同凝聚合力。</w:t>
      </w:r>
      <w:r>
        <w:rPr>
          <w:rFonts w:hint="eastAsia" w:ascii="方正仿宋_GBK" w:hAnsi="方正仿宋_GBK" w:eastAsia="方正仿宋_GBK" w:cs="方正仿宋_GBK"/>
          <w:b w:val="0"/>
          <w:bCs w:val="0"/>
          <w:kern w:val="0"/>
          <w:sz w:val="32"/>
          <w:szCs w:val="32"/>
        </w:rPr>
        <w:t>建立由</w:t>
      </w:r>
      <w:r>
        <w:rPr>
          <w:rFonts w:hint="eastAsia" w:ascii="方正仿宋_GBK" w:hAnsi="方正仿宋_GBK" w:eastAsia="方正仿宋_GBK" w:cs="方正仿宋_GBK"/>
          <w:b w:val="0"/>
          <w:bCs w:val="0"/>
          <w:kern w:val="0"/>
          <w:sz w:val="32"/>
          <w:szCs w:val="32"/>
          <w:lang w:val="en-US" w:eastAsia="zh-CN"/>
        </w:rPr>
        <w:t>区</w:t>
      </w:r>
      <w:r>
        <w:rPr>
          <w:rFonts w:hint="eastAsia" w:ascii="方正仿宋_GBK" w:hAnsi="方正仿宋_GBK" w:eastAsia="方正仿宋_GBK" w:cs="方正仿宋_GBK"/>
          <w:b w:val="0"/>
          <w:bCs w:val="0"/>
          <w:kern w:val="0"/>
          <w:sz w:val="32"/>
          <w:szCs w:val="32"/>
        </w:rPr>
        <w:t>财政</w:t>
      </w:r>
      <w:r>
        <w:rPr>
          <w:rFonts w:hint="eastAsia" w:ascii="方正仿宋_GBK" w:hAnsi="方正仿宋_GBK" w:eastAsia="方正仿宋_GBK" w:cs="方正仿宋_GBK"/>
          <w:b w:val="0"/>
          <w:bCs w:val="0"/>
          <w:kern w:val="0"/>
          <w:sz w:val="32"/>
          <w:szCs w:val="32"/>
          <w:lang w:eastAsia="zh-CN"/>
        </w:rPr>
        <w:t>牵头</w:t>
      </w:r>
      <w:r>
        <w:rPr>
          <w:rFonts w:hint="eastAsia" w:ascii="方正仿宋_GBK" w:hAnsi="方正仿宋_GBK" w:eastAsia="方正仿宋_GBK" w:cs="方正仿宋_GBK"/>
          <w:b w:val="0"/>
          <w:bCs w:val="0"/>
          <w:kern w:val="0"/>
          <w:sz w:val="32"/>
          <w:szCs w:val="32"/>
        </w:rPr>
        <w:t>、第三方</w:t>
      </w:r>
      <w:r>
        <w:rPr>
          <w:rFonts w:hint="eastAsia" w:ascii="方正仿宋_GBK" w:hAnsi="方正仿宋_GBK" w:eastAsia="方正仿宋_GBK" w:cs="方正仿宋_GBK"/>
          <w:b w:val="0"/>
          <w:bCs w:val="0"/>
          <w:kern w:val="0"/>
          <w:sz w:val="32"/>
          <w:szCs w:val="32"/>
          <w:lang w:eastAsia="zh-CN"/>
        </w:rPr>
        <w:t>指导</w:t>
      </w:r>
      <w:r>
        <w:rPr>
          <w:rFonts w:hint="eastAsia" w:ascii="方正仿宋_GBK" w:hAnsi="方正仿宋_GBK" w:eastAsia="方正仿宋_GBK" w:cs="方正仿宋_GBK"/>
          <w:b w:val="0"/>
          <w:bCs w:val="0"/>
          <w:kern w:val="0"/>
          <w:sz w:val="32"/>
          <w:szCs w:val="32"/>
        </w:rPr>
        <w:t>、相关单位参与的绩效评价工作机制，指导预算主管部门开展预算管理全过程绩效评价，</w:t>
      </w:r>
      <w:r>
        <w:rPr>
          <w:rFonts w:hint="eastAsia" w:ascii="方正仿宋_GBK" w:hAnsi="方正仿宋_GBK" w:eastAsia="方正仿宋_GBK" w:cs="方正仿宋_GBK"/>
          <w:b w:val="0"/>
          <w:bCs w:val="0"/>
          <w:sz w:val="32"/>
          <w:szCs w:val="32"/>
        </w:rPr>
        <w:t>创新计划共商、信息共享、成果共用、整改共促等工作措施。二是压实部门主体责任。发挥财政部门牵头抓总作用，强化各部门绩效管理主体责任，督促部门树牢绩效理念、强化管理举措，形成齐抓共管的局面。三是</w:t>
      </w:r>
      <w:r>
        <w:rPr>
          <w:rFonts w:hint="eastAsia" w:ascii="方正仿宋_GBK" w:hAnsi="方正仿宋_GBK" w:eastAsia="方正仿宋_GBK" w:cs="方正仿宋_GBK"/>
          <w:b w:val="0"/>
          <w:bCs w:val="0"/>
          <w:sz w:val="32"/>
          <w:szCs w:val="32"/>
          <w:lang w:eastAsia="zh-CN"/>
        </w:rPr>
        <w:t>完善指标体系建设。我局建立了共性绩效指标框架，指导各预算部门构建分行业、分领域的核心绩效指标和标准体系，</w:t>
      </w:r>
      <w:r>
        <w:rPr>
          <w:rFonts w:hint="eastAsia" w:ascii="方正仿宋_GBK" w:hAnsi="方正仿宋_GBK" w:eastAsia="方正仿宋_GBK" w:cs="方正仿宋_GBK"/>
          <w:b w:val="0"/>
          <w:bCs w:val="0"/>
          <w:sz w:val="32"/>
          <w:szCs w:val="32"/>
          <w:lang w:val="en-US" w:eastAsia="zh-CN"/>
        </w:rPr>
        <w:t>2024年我局牵头建立了</w:t>
      </w:r>
      <w:r>
        <w:rPr>
          <w:rFonts w:hint="eastAsia" w:ascii="方正仿宋_GBK" w:hAnsi="方正仿宋_GBK" w:eastAsia="方正仿宋_GBK" w:cs="方正仿宋_GBK"/>
          <w:b w:val="0"/>
          <w:bCs w:val="0"/>
          <w:sz w:val="32"/>
          <w:szCs w:val="32"/>
          <w:lang w:eastAsia="zh-CN"/>
        </w:rPr>
        <w:t>教育、公共安全、农林水、渌口区群众团体事务、卫生健康等行业领域的核心绩效指标和标准体系，提升全区预算绩效管理工作规范化水平。四是加强</w:t>
      </w:r>
      <w:r>
        <w:rPr>
          <w:rFonts w:hint="eastAsia" w:ascii="方正仿宋_GBK" w:hAnsi="方正仿宋_GBK" w:eastAsia="方正仿宋_GBK" w:cs="方正仿宋_GBK"/>
          <w:b w:val="0"/>
          <w:bCs w:val="0"/>
          <w:sz w:val="32"/>
          <w:szCs w:val="32"/>
        </w:rPr>
        <w:t>结果导向</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强化考核。将预算绩效管理工作作为年度</w:t>
      </w:r>
      <w:r>
        <w:rPr>
          <w:rFonts w:hint="eastAsia" w:ascii="方正仿宋_GBK" w:hAnsi="方正仿宋_GBK" w:eastAsia="方正仿宋_GBK" w:cs="方正仿宋_GBK"/>
          <w:b w:val="0"/>
          <w:bCs w:val="0"/>
          <w:sz w:val="32"/>
          <w:szCs w:val="32"/>
          <w:lang w:eastAsia="zh-CN"/>
        </w:rPr>
        <w:t>考核</w:t>
      </w:r>
      <w:r>
        <w:rPr>
          <w:rFonts w:hint="eastAsia" w:ascii="方正仿宋_GBK" w:hAnsi="方正仿宋_GBK" w:eastAsia="方正仿宋_GBK" w:cs="方正仿宋_GBK"/>
          <w:b w:val="0"/>
          <w:bCs w:val="0"/>
          <w:sz w:val="32"/>
          <w:szCs w:val="32"/>
        </w:rPr>
        <w:t>的重要内容，充分调动各部门单位履职尽责和干事创业的积极性，深化绩效考核结果应用，增强绩效管理质效。</w:t>
      </w:r>
    </w:p>
    <w:p>
      <w:pPr>
        <w:keepNext w:val="0"/>
        <w:keepLines w:val="0"/>
        <w:pageBreakBefore w:val="0"/>
        <w:widowControl/>
        <w:wordWrap/>
        <w:overflowPunct/>
        <w:topLinePunct w:val="0"/>
        <w:bidi w:val="0"/>
        <w:adjustRightInd w:val="0"/>
        <w:snapToGrid w:val="0"/>
        <w:spacing w:line="560" w:lineRule="exact"/>
        <w:ind w:firstLine="64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（三）</w:t>
      </w:r>
      <w:r>
        <w:rPr>
          <w:rFonts w:hint="eastAsia" w:ascii="方正仿宋_GBK" w:hAnsi="方正仿宋_GBK" w:eastAsia="方正仿宋_GBK" w:cs="方正仿宋_GBK"/>
          <w:b/>
          <w:bCs/>
          <w:sz w:val="32"/>
          <w:szCs w:val="32"/>
        </w:rPr>
        <w:t>完善管理链条，做实各环工作</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rPr>
        <w:t>建立包括事前绩效评估和绩效目标申报、事中绩效运行监控、事后绩效自评和部门评价的全过程预算绩效管理模式，形成事前、事中、事后有机衔接的预算绩效管理链条</w:t>
      </w:r>
      <w:r>
        <w:rPr>
          <w:rFonts w:hint="eastAsia" w:ascii="方正仿宋_GBK" w:hAnsi="方正仿宋_GBK" w:eastAsia="方正仿宋_GBK" w:cs="方正仿宋_GBK"/>
          <w:b w:val="0"/>
          <w:bCs w:val="0"/>
          <w:sz w:val="32"/>
          <w:szCs w:val="32"/>
        </w:rPr>
        <w:t>：一是事前绩效评估“无空白”，</w:t>
      </w:r>
      <w:r>
        <w:rPr>
          <w:rFonts w:hint="eastAsia" w:ascii="方正仿宋_GBK" w:hAnsi="方正仿宋_GBK" w:eastAsia="方正仿宋_GBK" w:cs="方正仿宋_GBK"/>
          <w:b w:val="0"/>
          <w:bCs w:val="0"/>
          <w:sz w:val="32"/>
          <w:szCs w:val="32"/>
          <w:lang w:eastAsia="zh-CN"/>
        </w:rPr>
        <w:t>对</w:t>
      </w:r>
      <w:r>
        <w:rPr>
          <w:rFonts w:hint="eastAsia" w:ascii="方正仿宋_GBK" w:hAnsi="方正仿宋_GBK" w:eastAsia="方正仿宋_GBK" w:cs="方正仿宋_GBK"/>
          <w:b w:val="0"/>
          <w:bCs w:val="0"/>
          <w:sz w:val="32"/>
          <w:szCs w:val="32"/>
        </w:rPr>
        <w:t>新增重大政策和项目</w:t>
      </w:r>
      <w:r>
        <w:rPr>
          <w:rFonts w:hint="eastAsia" w:ascii="方正仿宋_GBK" w:hAnsi="方正仿宋_GBK" w:eastAsia="方正仿宋_GBK" w:cs="方正仿宋_GBK"/>
          <w:b w:val="0"/>
          <w:bCs w:val="0"/>
          <w:sz w:val="32"/>
          <w:szCs w:val="32"/>
          <w:lang w:eastAsia="zh-CN"/>
        </w:rPr>
        <w:t>开展</w:t>
      </w:r>
      <w:r>
        <w:rPr>
          <w:rFonts w:hint="eastAsia" w:ascii="方正仿宋_GBK" w:hAnsi="方正仿宋_GBK" w:eastAsia="方正仿宋_GBK" w:cs="方正仿宋_GBK"/>
          <w:b w:val="0"/>
          <w:bCs w:val="0"/>
          <w:sz w:val="32"/>
          <w:szCs w:val="32"/>
        </w:rPr>
        <w:t>事前绩效评估，将评估结果作为填报项目库和申请预算的必备要件；二是绩效目标管理“无死角”，加强绩效目标审核，指导预算主管部门规范设置部门整体、政策和项目绩效目标，使之真正成为编制预算和全过程绩效管理的重要依据；三是绩效运行监控“无缝隙”，</w:t>
      </w:r>
      <w:r>
        <w:rPr>
          <w:rFonts w:hint="eastAsia" w:ascii="方正仿宋_GBK" w:hAnsi="方正仿宋_GBK" w:eastAsia="方正仿宋_GBK" w:cs="方正仿宋_GBK"/>
          <w:b w:val="0"/>
          <w:bCs w:val="0"/>
          <w:sz w:val="32"/>
          <w:szCs w:val="32"/>
          <w:lang w:eastAsia="zh-CN"/>
        </w:rPr>
        <w:t>积极</w:t>
      </w:r>
      <w:r>
        <w:rPr>
          <w:rFonts w:hint="eastAsia" w:ascii="方正仿宋_GBK" w:hAnsi="方正仿宋_GBK" w:eastAsia="方正仿宋_GBK" w:cs="方正仿宋_GBK"/>
          <w:b w:val="0"/>
          <w:bCs w:val="0"/>
          <w:sz w:val="32"/>
          <w:szCs w:val="32"/>
        </w:rPr>
        <w:t>开展实时动态监控，及时</w:t>
      </w:r>
      <w:r>
        <w:rPr>
          <w:rFonts w:hint="eastAsia" w:ascii="方正仿宋_GBK" w:hAnsi="方正仿宋_GBK" w:eastAsia="方正仿宋_GBK" w:cs="方正仿宋_GBK"/>
          <w:sz w:val="32"/>
          <w:szCs w:val="32"/>
        </w:rPr>
        <w:t>发现问题、督导限期整改，推动绩效目标如期实现；</w:t>
      </w:r>
      <w:r>
        <w:rPr>
          <w:rFonts w:hint="eastAsia" w:ascii="方正仿宋_GBK" w:hAnsi="方正仿宋_GBK" w:eastAsia="方正仿宋_GBK" w:cs="方正仿宋_GBK"/>
          <w:b w:val="0"/>
          <w:bCs w:val="0"/>
          <w:sz w:val="32"/>
          <w:szCs w:val="32"/>
        </w:rPr>
        <w:t>四是绩效评价“全覆盖”，指导预算主管部门认真开展绩效自评和部门评价，加大对自评情况的抽查复核力度，切实提高评价质量</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四是</w:t>
      </w:r>
      <w:r>
        <w:rPr>
          <w:rFonts w:hint="eastAsia" w:ascii="方正仿宋_GBK" w:hAnsi="方正仿宋_GBK" w:eastAsia="方正仿宋_GBK" w:cs="方正仿宋_GBK"/>
          <w:b w:val="0"/>
          <w:bCs w:val="0"/>
          <w:sz w:val="32"/>
          <w:szCs w:val="32"/>
          <w:lang w:eastAsia="zh-CN"/>
        </w:rPr>
        <w:t>财政</w:t>
      </w:r>
      <w:r>
        <w:rPr>
          <w:rFonts w:hint="eastAsia" w:ascii="方正仿宋_GBK" w:hAnsi="方正仿宋_GBK" w:eastAsia="方正仿宋_GBK" w:cs="方正仿宋_GBK"/>
          <w:b w:val="0"/>
          <w:bCs w:val="0"/>
          <w:sz w:val="32"/>
          <w:szCs w:val="32"/>
        </w:rPr>
        <w:t>绩效评价“</w:t>
      </w:r>
      <w:r>
        <w:rPr>
          <w:rFonts w:hint="eastAsia" w:ascii="方正仿宋_GBK" w:hAnsi="方正仿宋_GBK" w:eastAsia="方正仿宋_GBK" w:cs="方正仿宋_GBK"/>
          <w:b w:val="0"/>
          <w:bCs w:val="0"/>
          <w:sz w:val="32"/>
          <w:szCs w:val="32"/>
          <w:lang w:eastAsia="zh-CN"/>
        </w:rPr>
        <w:t>大扩面</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val="en-US" w:eastAsia="zh-CN"/>
        </w:rPr>
        <w:t>2024年选取了渌口区林业局县级公益林专项资金、渌口区统计局住户调查电子记账专项资金</w:t>
      </w:r>
      <w:r>
        <w:rPr>
          <w:rFonts w:hint="eastAsia" w:ascii="方正仿宋_GBK" w:hAnsi="方正仿宋_GBK" w:eastAsia="方正仿宋_GBK" w:cs="方正仿宋_GBK"/>
          <w:b w:val="0"/>
          <w:bCs w:val="0"/>
          <w:sz w:val="32"/>
          <w:szCs w:val="32"/>
        </w:rPr>
        <w:t>等</w:t>
      </w:r>
      <w:r>
        <w:rPr>
          <w:rFonts w:hint="eastAsia" w:ascii="方正仿宋_GBK" w:hAnsi="方正仿宋_GBK" w:eastAsia="方正仿宋_GBK" w:cs="方正仿宋_GBK"/>
          <w:b w:val="0"/>
          <w:bCs w:val="0"/>
          <w:sz w:val="32"/>
          <w:szCs w:val="32"/>
          <w:lang w:val="en-US" w:eastAsia="zh-CN"/>
        </w:rPr>
        <w:t>14</w:t>
      </w:r>
      <w:r>
        <w:rPr>
          <w:rFonts w:hint="eastAsia" w:ascii="方正仿宋_GBK" w:hAnsi="方正仿宋_GBK" w:eastAsia="方正仿宋_GBK" w:cs="方正仿宋_GBK"/>
          <w:sz w:val="32"/>
          <w:szCs w:val="32"/>
          <w:lang w:val="en-US" w:eastAsia="zh-CN"/>
        </w:rPr>
        <w:t>个</w:t>
      </w:r>
      <w:r>
        <w:rPr>
          <w:rFonts w:hint="eastAsia" w:ascii="方正仿宋_GBK" w:hAnsi="方正仿宋_GBK" w:eastAsia="方正仿宋_GBK" w:cs="方正仿宋_GBK"/>
          <w:sz w:val="32"/>
          <w:szCs w:val="32"/>
        </w:rPr>
        <w:t>重点专项资金项目</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lang w:val="en-US" w:eastAsia="zh-CN"/>
        </w:rPr>
        <w:t>2个</w:t>
      </w:r>
      <w:r>
        <w:rPr>
          <w:rFonts w:hint="eastAsia" w:ascii="方正仿宋_GBK" w:hAnsi="方正仿宋_GBK" w:eastAsia="方正仿宋_GBK" w:cs="方正仿宋_GBK"/>
          <w:sz w:val="32"/>
          <w:szCs w:val="32"/>
          <w:lang w:eastAsia="zh-CN"/>
        </w:rPr>
        <w:t>整体项目共</w:t>
      </w:r>
      <w:r>
        <w:rPr>
          <w:rFonts w:hint="eastAsia" w:ascii="方正仿宋_GBK" w:hAnsi="方正仿宋_GBK" w:eastAsia="方正仿宋_GBK" w:cs="方正仿宋_GBK"/>
          <w:sz w:val="32"/>
          <w:szCs w:val="32"/>
          <w:lang w:val="en-US" w:eastAsia="zh-CN"/>
        </w:rPr>
        <w:t>26696.67万元</w:t>
      </w:r>
      <w:r>
        <w:rPr>
          <w:rFonts w:hint="eastAsia" w:ascii="方正仿宋_GBK" w:hAnsi="方正仿宋_GBK" w:eastAsia="方正仿宋_GBK" w:cs="方正仿宋_GBK"/>
          <w:sz w:val="32"/>
          <w:szCs w:val="32"/>
          <w:lang w:eastAsia="zh-CN"/>
        </w:rPr>
        <w:t>开展财政</w:t>
      </w:r>
      <w:r>
        <w:rPr>
          <w:rFonts w:hint="eastAsia" w:ascii="方正仿宋_GBK" w:hAnsi="方正仿宋_GBK" w:eastAsia="方正仿宋_GBK" w:cs="方正仿宋_GBK"/>
          <w:sz w:val="32"/>
          <w:szCs w:val="32"/>
        </w:rPr>
        <w:t>评价，</w:t>
      </w:r>
      <w:r>
        <w:rPr>
          <w:rFonts w:hint="eastAsia" w:ascii="方正仿宋_GBK" w:hAnsi="方正仿宋_GBK" w:eastAsia="方正仿宋_GBK" w:cs="方正仿宋_GBK"/>
          <w:sz w:val="32"/>
          <w:szCs w:val="32"/>
          <w:lang w:eastAsia="zh-CN"/>
        </w:rPr>
        <w:t>比</w:t>
      </w:r>
      <w:r>
        <w:rPr>
          <w:rFonts w:hint="eastAsia" w:ascii="方正仿宋_GBK" w:hAnsi="方正仿宋_GBK" w:eastAsia="方正仿宋_GBK" w:cs="方正仿宋_GBK"/>
          <w:sz w:val="32"/>
          <w:szCs w:val="32"/>
          <w:lang w:val="en-US" w:eastAsia="zh-CN"/>
        </w:rPr>
        <w:t>2023年多选取了3个项目，其中两个项目是人大“四评”项目，</w:t>
      </w:r>
      <w:r>
        <w:rPr>
          <w:rFonts w:hint="eastAsia" w:ascii="方正仿宋_GBK" w:hAnsi="方正仿宋_GBK" w:eastAsia="方正仿宋_GBK" w:cs="方正仿宋_GBK"/>
          <w:sz w:val="32"/>
          <w:szCs w:val="32"/>
        </w:rPr>
        <w:t>进一步评估专项资金使用效益</w:t>
      </w:r>
      <w:r>
        <w:rPr>
          <w:rFonts w:hint="eastAsia" w:ascii="方正仿宋_GBK" w:hAnsi="方正仿宋_GBK" w:eastAsia="方正仿宋_GBK" w:cs="方正仿宋_GBK"/>
          <w:sz w:val="32"/>
          <w:szCs w:val="32"/>
          <w:lang w:eastAsia="zh-CN"/>
        </w:rPr>
        <w:t>，强化绩效管理。</w:t>
      </w:r>
    </w:p>
    <w:p>
      <w:pPr>
        <w:keepNext w:val="0"/>
        <w:keepLines w:val="0"/>
        <w:pageBreakBefore w:val="0"/>
        <w:widowControl/>
        <w:wordWrap/>
        <w:overflowPunct/>
        <w:topLinePunct w:val="0"/>
        <w:bidi w:val="0"/>
        <w:adjustRightInd w:val="0"/>
        <w:snapToGrid w:val="0"/>
        <w:spacing w:line="560" w:lineRule="exact"/>
        <w:ind w:firstLine="642"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sz w:val="32"/>
          <w:szCs w:val="32"/>
          <w:lang w:eastAsia="zh-CN"/>
        </w:rPr>
        <w:t>（四）强化信息公开力度，自觉接受监督。</w:t>
      </w:r>
      <w:r>
        <w:rPr>
          <w:rFonts w:hint="eastAsia" w:ascii="方正仿宋_GBK" w:hAnsi="方正仿宋_GBK" w:eastAsia="方正仿宋_GBK" w:cs="方正仿宋_GBK"/>
          <w:kern w:val="0"/>
          <w:sz w:val="32"/>
          <w:szCs w:val="32"/>
        </w:rPr>
        <w:t>加大信息公开力度，按照信息公开规范要求，主动将部门整体支出及专项资金绩效自评报告在</w:t>
      </w:r>
      <w:r>
        <w:rPr>
          <w:rFonts w:hint="eastAsia" w:ascii="方正仿宋_GBK" w:hAnsi="方正仿宋_GBK" w:eastAsia="方正仿宋_GBK" w:cs="方正仿宋_GBK"/>
          <w:kern w:val="0"/>
          <w:sz w:val="32"/>
          <w:szCs w:val="32"/>
          <w:lang w:val="en-US" w:eastAsia="zh-CN"/>
        </w:rPr>
        <w:t>区</w:t>
      </w:r>
      <w:r>
        <w:rPr>
          <w:rFonts w:hint="eastAsia" w:ascii="方正仿宋_GBK" w:hAnsi="方正仿宋_GBK" w:eastAsia="方正仿宋_GBK" w:cs="方正仿宋_GBK"/>
          <w:kern w:val="0"/>
          <w:sz w:val="32"/>
          <w:szCs w:val="32"/>
        </w:rPr>
        <w:t>级预决算公开平台及本部门门户网站进行公开，充分接受社会公众监督，主动提高资金使用效益，让绩效管理善始善终。</w:t>
      </w:r>
    </w:p>
    <w:p>
      <w:pPr>
        <w:pStyle w:val="2"/>
        <w:keepNext w:val="0"/>
        <w:keepLines w:val="0"/>
        <w:pageBreakBefore w:val="0"/>
        <w:widowControl/>
        <w:wordWrap/>
        <w:overflowPunct/>
        <w:topLinePunct w:val="0"/>
        <w:bidi w:val="0"/>
        <w:adjustRightInd w:val="0"/>
        <w:snapToGrid w:val="0"/>
        <w:spacing w:line="560" w:lineRule="exact"/>
        <w:ind w:firstLine="642" w:firstLineChars="200"/>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
          <w:bCs/>
          <w:sz w:val="32"/>
          <w:szCs w:val="32"/>
        </w:rPr>
        <w:t>二、存在的主要问题</w:t>
      </w:r>
    </w:p>
    <w:p>
      <w:pPr>
        <w:keepNext w:val="0"/>
        <w:keepLines w:val="0"/>
        <w:pageBreakBefore w:val="0"/>
        <w:widowControl/>
        <w:wordWrap/>
        <w:overflowPunct/>
        <w:topLinePunct w:val="0"/>
        <w:bidi w:val="0"/>
        <w:adjustRightInd w:val="0"/>
        <w:snapToGrid w:val="0"/>
        <w:spacing w:line="560" w:lineRule="exact"/>
        <w:ind w:firstLine="642"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sz w:val="32"/>
          <w:szCs w:val="32"/>
          <w:lang w:val="en-US" w:eastAsia="zh-CN"/>
        </w:rPr>
        <w:t>（一）事前绩效评估环节薄弱。</w:t>
      </w:r>
      <w:r>
        <w:rPr>
          <w:rFonts w:hint="eastAsia" w:ascii="方正仿宋_GBK" w:hAnsi="方正仿宋_GBK" w:eastAsia="方正仿宋_GBK" w:cs="方正仿宋_GBK"/>
          <w:kern w:val="2"/>
          <w:sz w:val="32"/>
          <w:szCs w:val="32"/>
          <w:lang w:val="en-US" w:eastAsia="zh-CN" w:bidi="ar-SA"/>
        </w:rPr>
        <w:t>目前我区专项债券项目事前绩效评估开展的较好，其他新增重大政策和项目开展的较少，事前绩效评估环节相对薄弱。</w:t>
      </w:r>
    </w:p>
    <w:p>
      <w:pPr>
        <w:keepNext w:val="0"/>
        <w:keepLines w:val="0"/>
        <w:pageBreakBefore w:val="0"/>
        <w:widowControl/>
        <w:wordWrap/>
        <w:overflowPunct/>
        <w:topLinePunct w:val="0"/>
        <w:bidi w:val="0"/>
        <w:adjustRightInd w:val="0"/>
        <w:snapToGrid w:val="0"/>
        <w:spacing w:line="560" w:lineRule="exact"/>
        <w:ind w:firstLine="642"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sz w:val="32"/>
          <w:szCs w:val="32"/>
          <w:lang w:val="en-US" w:eastAsia="zh-CN"/>
        </w:rPr>
        <w:t>（二）绩效评价管理有待加强。</w:t>
      </w:r>
      <w:r>
        <w:rPr>
          <w:rFonts w:hint="eastAsia" w:ascii="方正仿宋_GBK" w:hAnsi="方正仿宋_GBK" w:eastAsia="方正仿宋_GBK" w:cs="方正仿宋_GBK"/>
          <w:b w:val="0"/>
          <w:bCs w:val="0"/>
          <w:sz w:val="32"/>
          <w:szCs w:val="32"/>
          <w:lang w:val="en-US" w:eastAsia="zh-CN"/>
        </w:rPr>
        <w:t>目前，</w:t>
      </w:r>
      <w:r>
        <w:rPr>
          <w:rFonts w:hint="eastAsia" w:ascii="方正仿宋_GBK" w:hAnsi="方正仿宋_GBK" w:eastAsia="方正仿宋_GBK" w:cs="方正仿宋_GBK"/>
          <w:kern w:val="2"/>
          <w:sz w:val="32"/>
          <w:szCs w:val="32"/>
          <w:lang w:val="en-US" w:eastAsia="zh-CN" w:bidi="ar-SA"/>
        </w:rPr>
        <w:t>绩效指标存在诸多共性问题，比如指标不明确，定量指标过少，定性指标笼统不具体的问题；指标不可行不合理，指标值设置过高或者过低，有些指标的设置与项目的关联性不高，指标与项目资金不匹配的问题等。这些共性问题导致部分单位无法对项目实施情况进行全面精确、客观公正的评价，最终导致评价结果无法反应实际情况，绩效评价质量不高。</w:t>
      </w:r>
    </w:p>
    <w:p>
      <w:pPr>
        <w:keepNext w:val="0"/>
        <w:keepLines w:val="0"/>
        <w:pageBreakBefore w:val="0"/>
        <w:widowControl/>
        <w:wordWrap/>
        <w:overflowPunct/>
        <w:topLinePunct w:val="0"/>
        <w:bidi w:val="0"/>
        <w:adjustRightInd w:val="0"/>
        <w:snapToGrid w:val="0"/>
        <w:spacing w:line="560" w:lineRule="exact"/>
        <w:ind w:firstLine="642"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sz w:val="32"/>
          <w:szCs w:val="32"/>
          <w:lang w:val="en-US" w:eastAsia="zh-CN"/>
        </w:rPr>
        <w:t>（三）绩效信息公开仍需完善。</w:t>
      </w:r>
      <w:r>
        <w:rPr>
          <w:rFonts w:hint="eastAsia" w:ascii="方正仿宋_GBK" w:hAnsi="方正仿宋_GBK" w:eastAsia="方正仿宋_GBK" w:cs="方正仿宋_GBK"/>
          <w:kern w:val="2"/>
          <w:sz w:val="32"/>
          <w:szCs w:val="32"/>
          <w:lang w:val="en-US" w:eastAsia="zh-CN" w:bidi="ar-SA"/>
        </w:rPr>
        <w:t>绩效目标和绩效评价（除涉密信息外）都应按规定及时全面的在政府门户网站进行公开。我区绩效目标与部门预算同步公开，绩效自评与部门决算同步公开。我们在公开过程存在不少问题，如有预算单位在公开的附件表格中存在有空表的现象；有预算单位公开的表格中存在部门整体支出目标表中的项目支出金额和项目目标表中的支出金额不一致的逻辑问题；有预算单位存在公开的项目绩效目标表的项目数少于年初预算数，公开不全面的问题；有的预算单位绩效信息公开的时间不符合规定要求。我们应进一步提高认识，重视绩效信息公开工作，对公开的信息加强把关，提高信息公开的准确性、全面性和及时性。</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lang w:val="en-US" w:eastAsia="zh-CN"/>
        </w:rPr>
      </w:pPr>
      <w:r>
        <w:rPr>
          <w:rFonts w:hint="eastAsia" w:ascii="方正仿宋_GBK" w:hAnsi="方正仿宋_GBK" w:eastAsia="方正仿宋_GBK" w:cs="方正仿宋_GBK"/>
          <w:b/>
          <w:bCs/>
          <w:kern w:val="2"/>
          <w:sz w:val="32"/>
          <w:szCs w:val="32"/>
          <w:lang w:val="en-US" w:eastAsia="zh-CN" w:bidi="ar-SA"/>
        </w:rPr>
        <w:t>（四）绩效评价结果运用不充分。</w:t>
      </w:r>
      <w:r>
        <w:rPr>
          <w:rFonts w:hint="eastAsia" w:ascii="方正仿宋_GBK" w:hAnsi="方正仿宋_GBK" w:eastAsia="方正仿宋_GBK" w:cs="方正仿宋_GBK"/>
          <w:kern w:val="2"/>
          <w:sz w:val="32"/>
          <w:szCs w:val="32"/>
          <w:lang w:val="en-US" w:eastAsia="zh-CN" w:bidi="ar-SA"/>
        </w:rPr>
        <w:t>目前，我局的绩效评价结果运用停留在反映情况、发现问题、督促整改等方面。评价结果与年度预算编制结合的不够紧密，部分单位落实问题整改意见不是很到位，绩效评价结果的追责问效机制不完善，绩效评价结果不能</w:t>
      </w:r>
      <w:r>
        <w:rPr>
          <w:rFonts w:hint="eastAsia" w:ascii="方正仿宋_GBK" w:hAnsi="方正仿宋_GBK" w:eastAsia="方正仿宋_GBK" w:cs="方正仿宋_GBK"/>
          <w:snapToGrid w:val="0"/>
          <w:color w:val="000000"/>
          <w:kern w:val="0"/>
          <w:sz w:val="32"/>
          <w:szCs w:val="32"/>
          <w:lang w:val="en-US" w:eastAsia="zh-CN" w:bidi="ar-SA"/>
        </w:rPr>
        <w:t>及时报送，为政府决策提供参考。</w:t>
      </w:r>
    </w:p>
    <w:p>
      <w:pPr>
        <w:keepNext w:val="0"/>
        <w:keepLines w:val="0"/>
        <w:pageBreakBefore w:val="0"/>
        <w:widowControl/>
        <w:wordWrap/>
        <w:overflowPunct/>
        <w:topLinePunct w:val="0"/>
        <w:bidi w:val="0"/>
        <w:adjustRightInd w:val="0"/>
        <w:snapToGrid w:val="0"/>
        <w:spacing w:line="560" w:lineRule="exact"/>
        <w:ind w:firstLine="642" w:firstLineChars="200"/>
        <w:rPr>
          <w:rFonts w:hint="eastAsia" w:ascii="方正仿宋_GBK" w:hAnsi="方正仿宋_GBK" w:eastAsia="方正仿宋_GBK" w:cs="方正仿宋_GBK"/>
          <w:b/>
          <w:bCs/>
          <w:kern w:val="0"/>
          <w:sz w:val="32"/>
          <w:szCs w:val="32"/>
          <w:lang w:val="en-US" w:eastAsia="zh-CN"/>
        </w:rPr>
      </w:pPr>
      <w:r>
        <w:rPr>
          <w:rFonts w:hint="eastAsia" w:ascii="方正仿宋_GBK" w:hAnsi="方正仿宋_GBK" w:eastAsia="方正仿宋_GBK" w:cs="方正仿宋_GBK"/>
          <w:b/>
          <w:bCs/>
          <w:sz w:val="32"/>
          <w:szCs w:val="32"/>
        </w:rPr>
        <w:t>三、</w:t>
      </w:r>
      <w:r>
        <w:rPr>
          <w:rFonts w:hint="eastAsia" w:ascii="方正仿宋_GBK" w:hAnsi="方正仿宋_GBK" w:eastAsia="方正仿宋_GBK" w:cs="方正仿宋_GBK"/>
          <w:b/>
          <w:bCs/>
          <w:sz w:val="32"/>
          <w:szCs w:val="32"/>
          <w:lang w:val="en-US" w:eastAsia="zh-CN"/>
        </w:rPr>
        <w:t>2025年</w:t>
      </w:r>
      <w:r>
        <w:rPr>
          <w:rFonts w:hint="eastAsia" w:ascii="方正仿宋_GBK" w:hAnsi="方正仿宋_GBK" w:eastAsia="方正仿宋_GBK" w:cs="方正仿宋_GBK"/>
          <w:b/>
          <w:bCs/>
          <w:sz w:val="32"/>
          <w:szCs w:val="32"/>
        </w:rPr>
        <w:t>工作</w:t>
      </w:r>
      <w:r>
        <w:rPr>
          <w:rFonts w:hint="eastAsia" w:ascii="方正仿宋_GBK" w:hAnsi="方正仿宋_GBK" w:eastAsia="方正仿宋_GBK" w:cs="方正仿宋_GBK"/>
          <w:b/>
          <w:bCs/>
          <w:sz w:val="32"/>
          <w:szCs w:val="32"/>
          <w:lang w:eastAsia="zh-CN"/>
        </w:rPr>
        <w:t>计划</w:t>
      </w:r>
    </w:p>
    <w:p>
      <w:pPr>
        <w:keepNext w:val="0"/>
        <w:keepLines w:val="0"/>
        <w:pageBreakBefore w:val="0"/>
        <w:widowControl/>
        <w:numPr>
          <w:ilvl w:val="0"/>
          <w:numId w:val="0"/>
        </w:numPr>
        <w:wordWrap/>
        <w:overflowPunct/>
        <w:topLinePunct w:val="0"/>
        <w:bidi w:val="0"/>
        <w:adjustRightInd w:val="0"/>
        <w:snapToGrid w:val="0"/>
        <w:spacing w:line="560" w:lineRule="exact"/>
        <w:ind w:firstLine="642" w:firstLineChars="2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b/>
          <w:bCs/>
          <w:kern w:val="0"/>
          <w:sz w:val="32"/>
          <w:szCs w:val="32"/>
          <w:lang w:val="en-US" w:eastAsia="zh-CN"/>
        </w:rPr>
        <w:t>（一）强化事前绩效评估环节。</w:t>
      </w:r>
      <w:r>
        <w:rPr>
          <w:rFonts w:hint="eastAsia" w:ascii="方正仿宋_GBK" w:hAnsi="方正仿宋_GBK" w:eastAsia="方正仿宋_GBK" w:cs="方正仿宋_GBK"/>
          <w:kern w:val="2"/>
          <w:sz w:val="32"/>
          <w:szCs w:val="32"/>
          <w:lang w:val="en-US" w:eastAsia="zh-CN" w:bidi="ar-SA"/>
        </w:rPr>
        <w:t>要把事前绩效评估做为科学决策的有力抓手，建立新增重大政策和项目事前绩效评估常态化机制。</w:t>
      </w:r>
      <w:r>
        <w:rPr>
          <w:rFonts w:hint="eastAsia" w:ascii="方正仿宋_GBK" w:hAnsi="方正仿宋_GBK" w:eastAsia="方正仿宋_GBK" w:cs="方正仿宋_GBK"/>
          <w:b w:val="0"/>
          <w:bCs w:val="0"/>
          <w:kern w:val="0"/>
          <w:sz w:val="32"/>
          <w:szCs w:val="32"/>
          <w:lang w:val="en-US" w:eastAsia="zh-CN"/>
        </w:rPr>
        <w:t>2025年</w:t>
      </w:r>
      <w:r>
        <w:rPr>
          <w:rFonts w:hint="eastAsia" w:ascii="方正仿宋_GBK" w:hAnsi="方正仿宋_GBK" w:eastAsia="方正仿宋_GBK" w:cs="方正仿宋_GBK"/>
          <w:kern w:val="0"/>
          <w:sz w:val="32"/>
          <w:szCs w:val="32"/>
          <w:lang w:val="en-US" w:eastAsia="zh-CN"/>
        </w:rPr>
        <w:t>我局将积极开展事前绩效评估工作，目前暂定选取环卫服务中心生活垃圾压缩、收集、转运专项、区教育局智慧校车专项、农业农村局水稻保险区及配套专项和残联残疾儿童康复专项四个项目开展事前绩效评估。及时将事前绩效评价结果作为2025年度部门预算安排的重要参考依据。</w:t>
      </w:r>
    </w:p>
    <w:p>
      <w:pPr>
        <w:keepNext w:val="0"/>
        <w:keepLines w:val="0"/>
        <w:pageBreakBefore w:val="0"/>
        <w:widowControl/>
        <w:numPr>
          <w:ilvl w:val="0"/>
          <w:numId w:val="0"/>
        </w:numPr>
        <w:wordWrap/>
        <w:overflowPunct/>
        <w:topLinePunct w:val="0"/>
        <w:bidi w:val="0"/>
        <w:adjustRightInd w:val="0"/>
        <w:snapToGrid w:val="0"/>
        <w:spacing w:line="560" w:lineRule="exact"/>
        <w:ind w:firstLine="642"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紧跟预算</w:t>
      </w:r>
      <w:r>
        <w:rPr>
          <w:rFonts w:hint="eastAsia" w:ascii="方正仿宋_GBK" w:hAnsi="方正仿宋_GBK" w:eastAsia="方正仿宋_GBK" w:cs="方正仿宋_GBK"/>
          <w:b/>
          <w:bCs/>
          <w:sz w:val="32"/>
          <w:szCs w:val="32"/>
          <w:lang w:eastAsia="zh-CN"/>
        </w:rPr>
        <w:t>收支</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kern w:val="2"/>
          <w:sz w:val="32"/>
          <w:szCs w:val="32"/>
          <w:lang w:val="en-US" w:eastAsia="zh-CN" w:bidi="ar-SA"/>
        </w:rPr>
        <w:t>建立绩效运行动态监控机制，紧跟预算绩效资金执行情况，把绩效管理工作融入到各业务股室日常工作中，及时掌握项目实施进程、预算执行进度和绩效目标完成情况，及时纠正项目绩效运行与期望绩效目标的偏差，促进绩效目标的实现。对预期无绩效、低绩效的项目，要停止执行或调整执行。</w:t>
      </w:r>
    </w:p>
    <w:p>
      <w:pPr>
        <w:keepNext w:val="0"/>
        <w:keepLines w:val="0"/>
        <w:pageBreakBefore w:val="0"/>
        <w:widowControl/>
        <w:numPr>
          <w:ilvl w:val="0"/>
          <w:numId w:val="0"/>
        </w:numPr>
        <w:wordWrap/>
        <w:overflowPunct/>
        <w:topLinePunct w:val="0"/>
        <w:bidi w:val="0"/>
        <w:adjustRightInd w:val="0"/>
        <w:snapToGrid w:val="0"/>
        <w:spacing w:line="560" w:lineRule="exact"/>
        <w:ind w:firstLine="642" w:firstLineChars="2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b/>
          <w:bCs/>
          <w:sz w:val="32"/>
          <w:szCs w:val="32"/>
          <w:lang w:val="en-US" w:eastAsia="zh-CN"/>
        </w:rPr>
        <w:t>（三）提升评价质量。</w:t>
      </w:r>
      <w:r>
        <w:rPr>
          <w:rFonts w:hint="eastAsia" w:ascii="方正仿宋_GBK" w:hAnsi="方正仿宋_GBK" w:eastAsia="方正仿宋_GBK" w:cs="方正仿宋_GBK"/>
          <w:kern w:val="2"/>
          <w:sz w:val="32"/>
          <w:szCs w:val="32"/>
          <w:lang w:val="en-US" w:eastAsia="zh-CN" w:bidi="ar-SA"/>
        </w:rPr>
        <w:t>不断完善绩效评价体系，逐步建立起“单位自评+财政抽评+财政重点评价”的多层次绩效评价体系。</w:t>
      </w:r>
      <w:r>
        <w:rPr>
          <w:rFonts w:hint="eastAsia" w:ascii="方正仿宋_GBK" w:hAnsi="方正仿宋_GBK" w:eastAsia="方正仿宋_GBK" w:cs="方正仿宋_GBK"/>
          <w:kern w:val="0"/>
          <w:sz w:val="32"/>
          <w:szCs w:val="32"/>
          <w:lang w:val="en-US" w:eastAsia="zh-CN"/>
        </w:rPr>
        <w:t>严格把关绩效评价工作，对绩效自评报告编制不符合要求的，坚决予以退回，积极指导和督促修改。我区建立了本级预算部门绩效自评抽查机制，不断加强财政抽评力度和维度。通过财政重点绩效评价，引导各单位资金规范使用，优化财政资金的使用效率，为领导科学决策和外部有效监督提供重要参考依据。</w:t>
      </w:r>
    </w:p>
    <w:p>
      <w:pPr>
        <w:pStyle w:val="2"/>
        <w:keepNext w:val="0"/>
        <w:keepLines w:val="0"/>
        <w:pageBreakBefore w:val="0"/>
        <w:widowControl/>
        <w:numPr>
          <w:ilvl w:val="0"/>
          <w:numId w:val="0"/>
        </w:numPr>
        <w:wordWrap/>
        <w:overflowPunct/>
        <w:topLinePunct w:val="0"/>
        <w:bidi w:val="0"/>
        <w:adjustRightInd w:val="0"/>
        <w:snapToGrid w:val="0"/>
        <w:spacing w:line="560" w:lineRule="exact"/>
        <w:ind w:firstLine="642" w:firstLineChars="2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b/>
          <w:bCs/>
          <w:kern w:val="0"/>
          <w:sz w:val="32"/>
          <w:szCs w:val="32"/>
          <w:lang w:val="en-US" w:eastAsia="zh-CN"/>
        </w:rPr>
        <w:t>（四）推动结果运用。</w:t>
      </w:r>
      <w:r>
        <w:rPr>
          <w:rFonts w:hint="eastAsia" w:ascii="方正仿宋_GBK" w:hAnsi="方正仿宋_GBK" w:eastAsia="方正仿宋_GBK" w:cs="方正仿宋_GBK"/>
          <w:kern w:val="0"/>
          <w:sz w:val="32"/>
          <w:szCs w:val="32"/>
          <w:lang w:val="en-US" w:eastAsia="zh-CN"/>
        </w:rPr>
        <w:t>建立绩效评价结果与预算安排和政策调整挂钩机制，运用绩效评价结果及时纠正绩效运行偏差。同时积极探索绩效管理与财政监督工作协作机制，对绩效评价结果中发现的突出和典型问题，与监督检查工作结合，督促及时整改，实现绩效和监督工作资源共享、结果互用。及时报送绩效信息，为政府决策提供参考，对绩效好的政策和项目原则上优先保障，对绩效一般的项目督促预算单位改进改进，对低效无效资金一律削减或取消，积极构建“花钱必问效，无效必问责，违规必严惩”的长效机制。</w:t>
      </w:r>
    </w:p>
    <w:p>
      <w:pPr>
        <w:keepNext w:val="0"/>
        <w:keepLines w:val="0"/>
        <w:pageBreakBefore w:val="0"/>
        <w:widowControl/>
        <w:numPr>
          <w:ilvl w:val="0"/>
          <w:numId w:val="0"/>
        </w:numPr>
        <w:wordWrap/>
        <w:overflowPunct/>
        <w:topLinePunct w:val="0"/>
        <w:bidi w:val="0"/>
        <w:adjustRightInd w:val="0"/>
        <w:snapToGrid w:val="0"/>
        <w:spacing w:line="560" w:lineRule="exact"/>
        <w:ind w:firstLine="642" w:firstLineChars="2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b/>
          <w:bCs/>
          <w:kern w:val="0"/>
          <w:sz w:val="32"/>
          <w:szCs w:val="32"/>
          <w:lang w:val="en-US" w:eastAsia="zh-CN"/>
        </w:rPr>
        <w:t>（五）加大宣培力度。</w:t>
      </w:r>
      <w:r>
        <w:rPr>
          <w:rFonts w:hint="eastAsia" w:ascii="方正仿宋_GBK" w:hAnsi="方正仿宋_GBK" w:eastAsia="方正仿宋_GBK" w:cs="方正仿宋_GBK"/>
          <w:kern w:val="0"/>
          <w:sz w:val="32"/>
          <w:szCs w:val="32"/>
          <w:lang w:val="en-US" w:eastAsia="zh-CN"/>
        </w:rPr>
        <w:t>牢固树立“大绩效”理念，有效发挥绩效管理“指挥棒”和“风向标”作用。落实落细绩效管理各项要求和各个环节，真正把绩效管理理念化为绩效行动，推动绩效管理由“软约束”变为“硬杠杆”。在不断加强自身相关知识学习的同时，保持和上级与同级单位的业务交流，开展预算绩效管理理论和操作实务培训，加大专项资金项目绩效目标和绩效指标确立工作的推行力度。通过亲身实地宣导，利用网络平台、宣传栏等多种载体，加大绩效管理理念宣传力度，强化预算绩效意识，为预算绩效管理创造良好的思想基础和舆论环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snapToGrid/>
          <w:color w:val="000000"/>
          <w:kern w:val="0"/>
          <w:sz w:val="32"/>
          <w:szCs w:val="32"/>
          <w:lang w:val="en-US" w:eastAsia="zh-CN"/>
        </w:rPr>
      </w:pPr>
      <w:r>
        <w:rPr>
          <w:rFonts w:hint="eastAsia" w:ascii="方正仿宋_GBK" w:hAnsi="方正仿宋_GBK" w:eastAsia="方正仿宋_GBK" w:cs="方正仿宋_GBK"/>
          <w:snapToGrid/>
          <w:color w:val="000000"/>
          <w:kern w:val="0"/>
          <w:sz w:val="32"/>
          <w:szCs w:val="32"/>
          <w:lang w:val="en-US" w:eastAsia="zh-CN"/>
        </w:rPr>
        <w:t>2024年，株洲市渌口区绩效管理工作取得了一定的成绩，但仍需不断努力，从而提升我区预算绩效管理工作的水平。接下来，我们将继续秉持服务大局、保障民生的原则，深入开展预算绩效管理工作，</w:t>
      </w:r>
      <w:r>
        <w:rPr>
          <w:rFonts w:hint="eastAsia" w:ascii="方正仿宋_GBK" w:hAnsi="方正仿宋_GBK" w:eastAsia="方正仿宋_GBK" w:cs="方正仿宋_GBK"/>
          <w:sz w:val="32"/>
          <w:szCs w:val="32"/>
        </w:rPr>
        <w:t>推动财政资金全面提质增效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napToGrid/>
          <w:color w:val="000000"/>
          <w:kern w:val="0"/>
          <w:sz w:val="32"/>
          <w:szCs w:val="32"/>
          <w:lang w:val="en-US" w:eastAsia="zh-CN"/>
        </w:rPr>
        <w:t xml:space="preserve">为渌口区的经济社会发展贡献更大的力量。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right"/>
        <w:textAlignment w:val="auto"/>
        <w:rPr>
          <w:rFonts w:hint="eastAsia" w:ascii="方正仿宋_GBK" w:hAnsi="方正仿宋_GBK" w:eastAsia="方正仿宋_GBK" w:cs="方正仿宋_GBK"/>
          <w:snapToGrid/>
          <w:color w:val="000000"/>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right"/>
        <w:textAlignment w:val="auto"/>
        <w:rPr>
          <w:rFonts w:hint="eastAsia" w:ascii="方正仿宋_GBK" w:hAnsi="方正仿宋_GBK" w:eastAsia="方正仿宋_GBK" w:cs="方正仿宋_GBK"/>
          <w:snapToGrid/>
          <w:color w:val="000000"/>
          <w:kern w:val="0"/>
          <w:sz w:val="32"/>
          <w:szCs w:val="32"/>
          <w:lang w:val="en-US" w:eastAsia="zh-CN"/>
        </w:rPr>
      </w:pPr>
      <w:r>
        <w:rPr>
          <w:rFonts w:hint="eastAsia" w:ascii="方正仿宋_GBK" w:hAnsi="方正仿宋_GBK" w:eastAsia="方正仿宋_GBK" w:cs="方正仿宋_GBK"/>
          <w:snapToGrid/>
          <w:color w:val="000000"/>
          <w:kern w:val="0"/>
          <w:sz w:val="32"/>
          <w:szCs w:val="32"/>
          <w:lang w:val="en-US" w:eastAsia="zh-CN"/>
        </w:rPr>
        <w:t>株洲市渌口区财政局</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right"/>
        <w:textAlignment w:val="auto"/>
        <w:rPr>
          <w:rFonts w:hint="eastAsia" w:ascii="方正仿宋_GBK" w:hAnsi="方正仿宋_GBK" w:eastAsia="方正仿宋_GBK" w:cs="方正仿宋_GBK"/>
          <w:snapToGrid/>
          <w:color w:val="000000"/>
          <w:kern w:val="0"/>
          <w:sz w:val="32"/>
          <w:szCs w:val="32"/>
          <w:lang w:val="en-US" w:eastAsia="zh-CN"/>
        </w:rPr>
      </w:pPr>
      <w:r>
        <w:rPr>
          <w:rFonts w:hint="eastAsia" w:ascii="方正仿宋_GBK" w:hAnsi="方正仿宋_GBK" w:eastAsia="方正仿宋_GBK" w:cs="方正仿宋_GBK"/>
          <w:snapToGrid/>
          <w:color w:val="000000"/>
          <w:kern w:val="0"/>
          <w:sz w:val="32"/>
          <w:szCs w:val="32"/>
          <w:lang w:val="en-US" w:eastAsia="zh-CN"/>
        </w:rPr>
        <w:t xml:space="preserve">                        2024年12月17日</w:t>
      </w:r>
    </w:p>
    <w:p>
      <w:pPr>
        <w:jc w:val="center"/>
        <w:rPr>
          <w:rFonts w:ascii="方正小标宋简体" w:hAnsi="仿宋" w:eastAsia="方正小标宋简体" w:cs="宋体"/>
          <w:bCs/>
          <w:sz w:val="44"/>
          <w:szCs w:val="44"/>
        </w:rPr>
      </w:pPr>
    </w:p>
    <w:p>
      <w:pPr>
        <w:spacing w:line="660" w:lineRule="exact"/>
        <w:jc w:val="center"/>
        <w:rPr>
          <w:rFonts w:ascii="方正小标宋简体" w:hAnsi="仿宋" w:eastAsia="方正小标宋简体" w:cs="宋体"/>
          <w:bCs/>
          <w:sz w:val="44"/>
          <w:szCs w:val="44"/>
        </w:rPr>
      </w:pPr>
      <w:r>
        <w:rPr>
          <w:rFonts w:hint="eastAsia" w:ascii="方正小标宋简体" w:hAnsi="仿宋" w:eastAsia="方正小标宋简体" w:cs="宋体"/>
          <w:bCs/>
          <w:sz w:val="44"/>
          <w:szCs w:val="44"/>
        </w:rPr>
        <w:t>株洲市渌口区财政局</w:t>
      </w:r>
    </w:p>
    <w:p>
      <w:pPr>
        <w:spacing w:line="660" w:lineRule="exact"/>
        <w:jc w:val="center"/>
        <w:rPr>
          <w:rFonts w:ascii="方正小标宋简体" w:hAnsi="仿宋" w:eastAsia="方正小标宋简体" w:cs="宋体"/>
          <w:bCs/>
          <w:sz w:val="44"/>
          <w:szCs w:val="44"/>
        </w:rPr>
      </w:pPr>
      <w:r>
        <w:rPr>
          <w:rFonts w:hint="eastAsia" w:ascii="方正小标宋简体" w:hAnsi="仿宋" w:eastAsia="方正小标宋简体" w:cs="宋体"/>
          <w:bCs/>
          <w:sz w:val="44"/>
          <w:szCs w:val="44"/>
        </w:rPr>
        <w:t>202</w:t>
      </w:r>
      <w:r>
        <w:rPr>
          <w:rFonts w:hint="eastAsia" w:ascii="方正小标宋简体" w:hAnsi="仿宋" w:eastAsia="方正小标宋简体" w:cs="宋体"/>
          <w:bCs/>
          <w:sz w:val="44"/>
          <w:szCs w:val="44"/>
          <w:lang w:val="en-US" w:eastAsia="zh-CN"/>
        </w:rPr>
        <w:t>3</w:t>
      </w:r>
      <w:r>
        <w:rPr>
          <w:rFonts w:hint="eastAsia" w:ascii="方正小标宋简体" w:hAnsi="仿宋" w:eastAsia="方正小标宋简体" w:cs="宋体"/>
          <w:bCs/>
          <w:sz w:val="44"/>
          <w:szCs w:val="44"/>
        </w:rPr>
        <w:t>年度预算绩效管理工作开展情况</w:t>
      </w:r>
    </w:p>
    <w:p>
      <w:pPr>
        <w:jc w:val="center"/>
        <w:rPr>
          <w:rFonts w:ascii="仿宋" w:hAnsi="仿宋" w:eastAsia="仿宋" w:cs="宋体"/>
          <w:b/>
          <w:bCs/>
          <w:sz w:val="32"/>
          <w:szCs w:val="32"/>
        </w:rPr>
      </w:pPr>
    </w:p>
    <w:p>
      <w:pPr>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w:t>
      </w:r>
      <w:r>
        <w:rPr>
          <w:rFonts w:hint="eastAsia" w:eastAsia="仿宋_GB2312" w:cs="Times New Roman"/>
          <w:strike w:val="0"/>
          <w:dstrike w:val="0"/>
          <w:color w:val="auto"/>
          <w:sz w:val="32"/>
          <w:szCs w:val="32"/>
          <w:lang w:val="en-US" w:eastAsia="zh-CN"/>
        </w:rPr>
        <w:t>渌口区财政局</w:t>
      </w:r>
      <w:r>
        <w:rPr>
          <w:rFonts w:hint="eastAsia" w:ascii="Times New Roman" w:hAnsi="Times New Roman" w:eastAsia="仿宋_GB2312" w:cs="Times New Roman"/>
          <w:color w:val="auto"/>
          <w:spacing w:val="0"/>
          <w:sz w:val="32"/>
          <w:szCs w:val="32"/>
        </w:rPr>
        <w:t>深入贯彻党的二十大精神，认真落实</w:t>
      </w:r>
      <w:r>
        <w:rPr>
          <w:rFonts w:hint="eastAsia" w:ascii="Times New Roman" w:hAnsi="Times New Roman" w:eastAsia="仿宋_GB2312" w:cs="Times New Roman"/>
          <w:color w:val="auto"/>
          <w:spacing w:val="0"/>
          <w:sz w:val="32"/>
          <w:szCs w:val="32"/>
          <w:lang w:eastAsia="zh-CN"/>
        </w:rPr>
        <w:t>上级</w:t>
      </w:r>
      <w:r>
        <w:rPr>
          <w:rFonts w:hint="eastAsia" w:ascii="Times New Roman" w:hAnsi="Times New Roman" w:eastAsia="仿宋_GB2312" w:cs="Times New Roman"/>
          <w:color w:val="auto"/>
          <w:spacing w:val="0"/>
          <w:sz w:val="32"/>
          <w:szCs w:val="32"/>
        </w:rPr>
        <w:t>决策部署，强化财政“大绩效”管理理念，</w:t>
      </w:r>
      <w:r>
        <w:rPr>
          <w:rFonts w:hint="eastAsia" w:ascii="Times New Roman" w:hAnsi="Times New Roman" w:eastAsia="仿宋_GB2312" w:cs="Times New Roman"/>
          <w:color w:val="auto"/>
          <w:spacing w:val="0"/>
          <w:sz w:val="32"/>
          <w:szCs w:val="32"/>
          <w:lang w:eastAsia="zh-CN"/>
        </w:rPr>
        <w:t>扎实开展</w:t>
      </w:r>
      <w:r>
        <w:rPr>
          <w:rFonts w:hint="eastAsia" w:ascii="Times New Roman" w:hAnsi="Times New Roman" w:eastAsia="仿宋_GB2312" w:cs="Times New Roman"/>
          <w:color w:val="auto"/>
          <w:spacing w:val="0"/>
          <w:sz w:val="32"/>
          <w:szCs w:val="32"/>
        </w:rPr>
        <w:t>财政“绩效管理提升年”行动</w:t>
      </w:r>
      <w:r>
        <w:rPr>
          <w:rFonts w:hint="eastAsia" w:ascii="Times New Roman" w:hAnsi="Times New Roman" w:eastAsia="仿宋_GB2312" w:cs="Times New Roman"/>
          <w:color w:val="auto"/>
          <w:spacing w:val="0"/>
          <w:sz w:val="32"/>
          <w:szCs w:val="32"/>
          <w:lang w:eastAsia="zh-CN"/>
        </w:rPr>
        <w:t>工作</w:t>
      </w:r>
      <w:r>
        <w:rPr>
          <w:rFonts w:hint="eastAsia" w:ascii="Times New Roman" w:hAnsi="Times New Roman" w:eastAsia="仿宋_GB2312" w:cs="Times New Roman"/>
          <w:color w:val="auto"/>
          <w:spacing w:val="0"/>
          <w:sz w:val="32"/>
          <w:szCs w:val="32"/>
        </w:rPr>
        <w:t>，推进全</w:t>
      </w:r>
      <w:r>
        <w:rPr>
          <w:rFonts w:hint="eastAsia" w:ascii="Times New Roman" w:hAnsi="Times New Roman" w:eastAsia="仿宋_GB2312" w:cs="Times New Roman"/>
          <w:color w:val="auto"/>
          <w:spacing w:val="0"/>
          <w:sz w:val="32"/>
          <w:szCs w:val="32"/>
          <w:lang w:eastAsia="zh-CN"/>
        </w:rPr>
        <w:t>区</w:t>
      </w:r>
      <w:r>
        <w:rPr>
          <w:rFonts w:hint="eastAsia" w:ascii="Times New Roman" w:hAnsi="Times New Roman" w:eastAsia="仿宋_GB2312" w:cs="Times New Roman"/>
          <w:color w:val="auto"/>
          <w:spacing w:val="0"/>
          <w:sz w:val="32"/>
          <w:szCs w:val="32"/>
        </w:rPr>
        <w:t>财政高质量发展</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现</w:t>
      </w:r>
      <w:r>
        <w:rPr>
          <w:rFonts w:hint="eastAsia" w:ascii="Times New Roman" w:hAnsi="Times New Roman" w:eastAsia="仿宋_GB2312" w:cs="Times New Roman"/>
          <w:color w:val="auto"/>
          <w:spacing w:val="0"/>
          <w:sz w:val="32"/>
          <w:szCs w:val="32"/>
          <w:lang w:eastAsia="zh-CN"/>
        </w:rPr>
        <w:t>将</w:t>
      </w:r>
      <w:r>
        <w:rPr>
          <w:rFonts w:hint="eastAsia" w:ascii="Times New Roman" w:hAnsi="Times New Roman" w:eastAsia="仿宋_GB2312" w:cs="Times New Roman"/>
          <w:color w:val="auto"/>
          <w:spacing w:val="0"/>
          <w:sz w:val="32"/>
          <w:szCs w:val="32"/>
          <w:lang w:val="en-US" w:eastAsia="zh-CN"/>
        </w:rPr>
        <w:t>2023年</w:t>
      </w:r>
      <w:r>
        <w:rPr>
          <w:rFonts w:hint="eastAsia" w:eastAsia="仿宋_GB2312" w:cs="Times New Roman"/>
          <w:color w:val="auto"/>
          <w:spacing w:val="0"/>
          <w:sz w:val="32"/>
          <w:szCs w:val="32"/>
          <w:lang w:val="en-US" w:eastAsia="zh-CN"/>
        </w:rPr>
        <w:t>渌口区财政局</w:t>
      </w:r>
      <w:r>
        <w:rPr>
          <w:rFonts w:hint="eastAsia" w:ascii="Times New Roman" w:hAnsi="Times New Roman" w:eastAsia="仿宋_GB2312" w:cs="Times New Roman"/>
          <w:color w:val="auto"/>
          <w:spacing w:val="0"/>
          <w:sz w:val="32"/>
          <w:szCs w:val="32"/>
          <w:lang w:val="en-US" w:eastAsia="zh-CN"/>
        </w:rPr>
        <w:t>绩效管理工作总结如下</w:t>
      </w:r>
      <w:r>
        <w:rPr>
          <w:rFonts w:hint="eastAsia" w:ascii="Times New Roman" w:hAnsi="Times New Roman" w:eastAsia="仿宋_GB2312" w:cs="Times New Roman"/>
          <w:color w:val="auto"/>
          <w:spacing w:val="0"/>
          <w:sz w:val="32"/>
          <w:szCs w:val="32"/>
          <w:lang w:eastAsia="zh-CN"/>
        </w:rPr>
        <w:t>：</w:t>
      </w:r>
    </w:p>
    <w:p>
      <w:pPr>
        <w:spacing w:line="560" w:lineRule="exact"/>
        <w:ind w:firstLine="640" w:firstLineChars="200"/>
        <w:rPr>
          <w:rFonts w:eastAsia="黑体"/>
          <w:sz w:val="32"/>
          <w:szCs w:val="32"/>
        </w:rPr>
      </w:pPr>
      <w:r>
        <w:rPr>
          <w:rFonts w:eastAsia="黑体"/>
          <w:sz w:val="32"/>
          <w:szCs w:val="32"/>
        </w:rPr>
        <w:t>一、工作开展情况</w:t>
      </w:r>
    </w:p>
    <w:p>
      <w:pPr>
        <w:keepNext w:val="0"/>
        <w:keepLines w:val="0"/>
        <w:widowControl/>
        <w:suppressLineNumbers w:val="0"/>
        <w:ind w:firstLine="642" w:firstLineChars="200"/>
        <w:jc w:val="left"/>
        <w:rPr>
          <w:rFonts w:hint="eastAsia" w:eastAsia="宋体"/>
          <w:lang w:val="en-US" w:eastAsia="zh-CN"/>
        </w:rPr>
      </w:pPr>
      <w:r>
        <w:rPr>
          <w:rFonts w:eastAsia="楷体"/>
          <w:b/>
          <w:bCs/>
          <w:sz w:val="32"/>
          <w:szCs w:val="32"/>
        </w:rPr>
        <w:t>（</w:t>
      </w:r>
      <w:r>
        <w:rPr>
          <w:rFonts w:hint="eastAsia" w:eastAsia="楷体"/>
          <w:b/>
          <w:bCs/>
          <w:sz w:val="32"/>
          <w:szCs w:val="32"/>
          <w:lang w:eastAsia="zh-CN"/>
        </w:rPr>
        <w:t>一</w:t>
      </w:r>
      <w:r>
        <w:rPr>
          <w:rFonts w:eastAsia="楷体"/>
          <w:b/>
          <w:bCs/>
          <w:sz w:val="32"/>
          <w:szCs w:val="32"/>
        </w:rPr>
        <w:t>）</w:t>
      </w:r>
      <w:r>
        <w:rPr>
          <w:rFonts w:hint="eastAsia" w:eastAsia="楷体"/>
          <w:b/>
          <w:bCs/>
          <w:sz w:val="32"/>
          <w:szCs w:val="32"/>
        </w:rPr>
        <w:t>狠抓</w:t>
      </w:r>
      <w:r>
        <w:rPr>
          <w:rFonts w:eastAsia="楷体"/>
          <w:b/>
          <w:bCs/>
          <w:sz w:val="32"/>
          <w:szCs w:val="32"/>
        </w:rPr>
        <w:t>绩效目标</w:t>
      </w:r>
      <w:r>
        <w:rPr>
          <w:rFonts w:hint="eastAsia" w:eastAsia="楷体"/>
          <w:b/>
          <w:bCs/>
          <w:sz w:val="32"/>
          <w:szCs w:val="32"/>
        </w:rPr>
        <w:t>审核</w:t>
      </w:r>
      <w:r>
        <w:rPr>
          <w:rFonts w:eastAsia="楷体"/>
          <w:b/>
          <w:bCs/>
          <w:sz w:val="32"/>
          <w:szCs w:val="32"/>
        </w:rPr>
        <w:t>。</w:t>
      </w:r>
      <w:r>
        <w:rPr>
          <w:rFonts w:hint="eastAsia" w:ascii="仿宋_GB2312" w:hAnsi="宋体" w:eastAsia="仿宋_GB2312"/>
          <w:sz w:val="32"/>
          <w:szCs w:val="32"/>
          <w:lang w:eastAsia="zh-CN"/>
        </w:rPr>
        <w:t>根据</w:t>
      </w:r>
      <w:r>
        <w:rPr>
          <w:rFonts w:hint="eastAsia" w:ascii="仿宋_GB2312" w:hAnsi="宋体" w:eastAsia="仿宋_GB2312"/>
          <w:sz w:val="32"/>
          <w:szCs w:val="32"/>
        </w:rPr>
        <w:t>《株洲市</w:t>
      </w:r>
      <w:r>
        <w:rPr>
          <w:rFonts w:hint="eastAsia" w:ascii="仿宋_GB2312" w:hAnsi="宋体" w:eastAsia="仿宋_GB2312"/>
          <w:sz w:val="32"/>
          <w:szCs w:val="32"/>
          <w:lang w:eastAsia="zh-CN"/>
        </w:rPr>
        <w:t>渌口</w:t>
      </w:r>
      <w:r>
        <w:rPr>
          <w:rFonts w:hint="eastAsia" w:ascii="仿宋_GB2312" w:hAnsi="宋体" w:eastAsia="仿宋_GB2312"/>
          <w:sz w:val="32"/>
          <w:szCs w:val="32"/>
        </w:rPr>
        <w:t>区财政局关于编制202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w:t>
      </w:r>
      <w:r>
        <w:rPr>
          <w:rFonts w:hint="eastAsia" w:ascii="仿宋_GB2312" w:hAnsi="宋体" w:eastAsia="仿宋_GB2312"/>
          <w:sz w:val="32"/>
          <w:szCs w:val="32"/>
          <w:lang w:eastAsia="zh-CN"/>
        </w:rPr>
        <w:t>区</w:t>
      </w:r>
      <w:r>
        <w:rPr>
          <w:rFonts w:hint="eastAsia" w:ascii="仿宋_GB2312" w:hAnsi="宋体" w:eastAsia="仿宋_GB2312"/>
          <w:sz w:val="32"/>
          <w:szCs w:val="32"/>
        </w:rPr>
        <w:t>本级部门预算的通知》</w:t>
      </w:r>
      <w:r>
        <w:rPr>
          <w:rFonts w:hint="eastAsia" w:ascii="仿宋_GB2312" w:hAnsi="宋体" w:eastAsia="仿宋_GB2312"/>
          <w:sz w:val="32"/>
          <w:szCs w:val="32"/>
          <w:lang w:eastAsia="zh-CN"/>
        </w:rPr>
        <w:t>（</w:t>
      </w:r>
      <w:r>
        <w:rPr>
          <w:rFonts w:hint="eastAsia" w:ascii="仿宋_GB2312" w:hAnsi="宋体" w:eastAsia="仿宋_GB2312" w:cs="Times New Roman"/>
          <w:sz w:val="32"/>
          <w:szCs w:val="32"/>
          <w:lang w:eastAsia="zh-CN"/>
        </w:rPr>
        <w:t>渌财通</w:t>
      </w:r>
      <w:r>
        <w:rPr>
          <w:rFonts w:hint="eastAsia" w:ascii="仿宋_GB2312" w:hAnsi="宋体" w:eastAsia="仿宋_GB2312" w:cs="Times New Roman"/>
          <w:sz w:val="32"/>
          <w:szCs w:val="32"/>
          <w:lang w:val="en-US" w:eastAsia="zh-CN"/>
        </w:rPr>
        <w:t>【2022】22号</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w:t>
      </w:r>
      <w:r>
        <w:rPr>
          <w:rFonts w:hint="eastAsia" w:ascii="仿宋_GB2312" w:hAnsi="宋体" w:eastAsia="仿宋_GB2312"/>
          <w:sz w:val="32"/>
          <w:szCs w:val="32"/>
        </w:rPr>
        <w:t>进一步规范资金绩效管理，科学设置各类资金项目定量和定性相结合、可比较可考核的绩效目标，确保资金投入与绩效产出结果相匹配、相适应。绩效目标审核未通过的，一律不予安排支出。202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年已批复我区</w:t>
      </w:r>
      <w:r>
        <w:rPr>
          <w:rFonts w:hint="eastAsia" w:ascii="仿宋_GB2312" w:hAnsi="宋体" w:eastAsia="仿宋_GB2312"/>
          <w:sz w:val="32"/>
          <w:szCs w:val="32"/>
          <w:lang w:val="en-US" w:eastAsia="zh-CN"/>
        </w:rPr>
        <w:t>91</w:t>
      </w:r>
      <w:r>
        <w:rPr>
          <w:rFonts w:hint="eastAsia" w:ascii="仿宋_GB2312" w:hAnsi="宋体" w:eastAsia="仿宋_GB2312"/>
          <w:sz w:val="32"/>
          <w:szCs w:val="32"/>
        </w:rPr>
        <w:t>家预算单位的绩效目标，已按要求全部公开。</w:t>
      </w:r>
    </w:p>
    <w:p>
      <w:pPr>
        <w:spacing w:line="560" w:lineRule="exact"/>
        <w:ind w:firstLine="642" w:firstLineChars="200"/>
        <w:rPr>
          <w:rFonts w:hint="eastAsia" w:ascii="仿宋_GB2312" w:hAnsi="宋体" w:eastAsia="仿宋_GB2312"/>
          <w:sz w:val="32"/>
          <w:szCs w:val="32"/>
        </w:rPr>
      </w:pPr>
      <w:r>
        <w:rPr>
          <w:rFonts w:eastAsia="楷体"/>
          <w:b/>
          <w:bCs/>
          <w:sz w:val="32"/>
          <w:szCs w:val="32"/>
        </w:rPr>
        <w:t>（</w:t>
      </w:r>
      <w:r>
        <w:rPr>
          <w:rFonts w:hint="eastAsia" w:eastAsia="楷体"/>
          <w:b/>
          <w:bCs/>
          <w:sz w:val="32"/>
          <w:szCs w:val="32"/>
          <w:lang w:eastAsia="zh-CN"/>
        </w:rPr>
        <w:t>二</w:t>
      </w:r>
      <w:r>
        <w:rPr>
          <w:rFonts w:eastAsia="楷体"/>
          <w:b/>
          <w:bCs/>
          <w:sz w:val="32"/>
          <w:szCs w:val="32"/>
        </w:rPr>
        <w:t>）</w:t>
      </w:r>
      <w:r>
        <w:rPr>
          <w:rFonts w:hint="eastAsia" w:eastAsia="楷体"/>
          <w:b/>
          <w:bCs/>
          <w:sz w:val="32"/>
          <w:szCs w:val="32"/>
        </w:rPr>
        <w:t>强化</w:t>
      </w:r>
      <w:r>
        <w:rPr>
          <w:rFonts w:eastAsia="楷体"/>
          <w:b/>
          <w:bCs/>
          <w:sz w:val="32"/>
          <w:szCs w:val="32"/>
        </w:rPr>
        <w:t>绩效评价</w:t>
      </w:r>
      <w:r>
        <w:rPr>
          <w:rFonts w:hint="eastAsia" w:eastAsia="楷体"/>
          <w:b/>
          <w:bCs/>
          <w:sz w:val="32"/>
          <w:szCs w:val="32"/>
        </w:rPr>
        <w:t>责任</w:t>
      </w:r>
      <w:r>
        <w:rPr>
          <w:rFonts w:eastAsia="楷体"/>
          <w:b/>
          <w:bCs/>
          <w:sz w:val="32"/>
          <w:szCs w:val="32"/>
        </w:rPr>
        <w:t>。</w:t>
      </w:r>
      <w:r>
        <w:rPr>
          <w:rFonts w:hint="eastAsia" w:ascii="仿宋_GB2312" w:hAnsi="宋体" w:eastAsia="仿宋_GB2312"/>
          <w:sz w:val="32"/>
          <w:szCs w:val="32"/>
        </w:rPr>
        <w:t>根据《株洲市</w:t>
      </w:r>
      <w:r>
        <w:rPr>
          <w:rFonts w:hint="eastAsia" w:ascii="仿宋_GB2312" w:hAnsi="宋体" w:eastAsia="仿宋_GB2312"/>
          <w:sz w:val="32"/>
          <w:szCs w:val="32"/>
          <w:lang w:eastAsia="zh-CN"/>
        </w:rPr>
        <w:t>渌口</w:t>
      </w:r>
      <w:r>
        <w:rPr>
          <w:rFonts w:hint="eastAsia" w:ascii="仿宋_GB2312" w:hAnsi="宋体" w:eastAsia="仿宋_GB2312"/>
          <w:sz w:val="32"/>
          <w:szCs w:val="32"/>
        </w:rPr>
        <w:t>区财政局关于</w:t>
      </w:r>
      <w:r>
        <w:rPr>
          <w:rFonts w:hint="eastAsia" w:ascii="仿宋_GB2312" w:hAnsi="宋体" w:eastAsia="仿宋_GB2312"/>
          <w:sz w:val="32"/>
          <w:szCs w:val="32"/>
          <w:lang w:eastAsia="zh-CN"/>
        </w:rPr>
        <w:t>做好</w:t>
      </w:r>
      <w:r>
        <w:rPr>
          <w:rFonts w:hint="eastAsia" w:ascii="仿宋_GB2312" w:hAnsi="宋体" w:eastAsia="仿宋_GB2312"/>
          <w:sz w:val="32"/>
          <w:szCs w:val="32"/>
          <w:lang w:val="en-US" w:eastAsia="zh-CN"/>
        </w:rPr>
        <w:t>2022年度区本级财政资金及政府专项债券资金绩效自评工作的通知</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cs="Times New Roman"/>
          <w:sz w:val="32"/>
          <w:szCs w:val="32"/>
          <w:lang w:eastAsia="zh-CN"/>
        </w:rPr>
        <w:t>渌财通</w:t>
      </w:r>
      <w:r>
        <w:rPr>
          <w:rFonts w:hint="eastAsia" w:ascii="仿宋_GB2312" w:hAnsi="宋体" w:eastAsia="仿宋_GB2312" w:cs="Times New Roman"/>
          <w:sz w:val="32"/>
          <w:szCs w:val="32"/>
          <w:lang w:val="en-US" w:eastAsia="zh-CN"/>
        </w:rPr>
        <w:t>【2023】6号</w:t>
      </w:r>
      <w:r>
        <w:rPr>
          <w:rFonts w:hint="eastAsia" w:ascii="仿宋_GB2312" w:hAnsi="宋体" w:eastAsia="仿宋_GB2312" w:cs="Times New Roman"/>
          <w:sz w:val="32"/>
          <w:szCs w:val="32"/>
          <w:lang w:eastAsia="zh-CN"/>
        </w:rPr>
        <w:t>）</w:t>
      </w:r>
      <w:r>
        <w:rPr>
          <w:rFonts w:hint="eastAsia" w:ascii="仿宋_GB2312" w:hAnsi="宋体" w:eastAsia="仿宋_GB2312"/>
          <w:sz w:val="32"/>
          <w:szCs w:val="32"/>
        </w:rPr>
        <w:t>，</w:t>
      </w:r>
      <w:r>
        <w:rPr>
          <w:rFonts w:hint="eastAsia" w:ascii="仿宋_GB2312" w:hAnsi="宋体" w:eastAsia="仿宋_GB2312"/>
          <w:sz w:val="32"/>
          <w:szCs w:val="32"/>
          <w:lang w:eastAsia="zh-CN"/>
        </w:rPr>
        <w:t>积极</w:t>
      </w:r>
      <w:r>
        <w:rPr>
          <w:rFonts w:hint="eastAsia" w:ascii="仿宋_GB2312" w:hAnsi="宋体" w:eastAsia="仿宋_GB2312"/>
          <w:sz w:val="32"/>
          <w:szCs w:val="32"/>
        </w:rPr>
        <w:t>开展</w:t>
      </w:r>
      <w:r>
        <w:rPr>
          <w:rFonts w:hint="eastAsia" w:ascii="仿宋_GB2312" w:hAnsi="宋体" w:eastAsia="仿宋_GB2312"/>
          <w:sz w:val="32"/>
          <w:szCs w:val="32"/>
          <w:lang w:eastAsia="zh-CN"/>
        </w:rPr>
        <w:t>并</w:t>
      </w:r>
      <w:r>
        <w:rPr>
          <w:rFonts w:hint="eastAsia" w:ascii="仿宋_GB2312" w:hAnsi="宋体" w:eastAsia="仿宋_GB2312"/>
          <w:sz w:val="32"/>
          <w:szCs w:val="32"/>
        </w:rPr>
        <w:t>完成202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年度部门绩效自评</w:t>
      </w:r>
      <w:r>
        <w:rPr>
          <w:rFonts w:hint="eastAsia" w:ascii="仿宋_GB2312" w:hAnsi="宋体" w:eastAsia="仿宋_GB2312"/>
          <w:sz w:val="32"/>
          <w:szCs w:val="32"/>
          <w:lang w:eastAsia="zh-CN"/>
        </w:rPr>
        <w:t>及政府专项债券资金绩效自评</w:t>
      </w:r>
      <w:r>
        <w:rPr>
          <w:rFonts w:hint="eastAsia" w:ascii="仿宋_GB2312" w:hAnsi="宋体" w:eastAsia="仿宋_GB2312"/>
          <w:sz w:val="32"/>
          <w:szCs w:val="32"/>
        </w:rPr>
        <w:t>工作，对于不符合要求的自评情况，财政及时退回单位，指导修改、反复沟通，</w:t>
      </w:r>
      <w:r>
        <w:rPr>
          <w:rFonts w:hint="eastAsia" w:ascii="仿宋_GB2312" w:hAnsi="宋体" w:eastAsia="仿宋_GB2312"/>
          <w:sz w:val="32"/>
          <w:szCs w:val="32"/>
          <w:lang w:eastAsia="zh-CN"/>
        </w:rPr>
        <w:t>所有预算单位均已完成绩效自评及公开工作</w:t>
      </w:r>
      <w:r>
        <w:rPr>
          <w:rFonts w:hint="eastAsia" w:ascii="仿宋_GB2312" w:hAnsi="宋体" w:eastAsia="仿宋_GB2312"/>
          <w:sz w:val="32"/>
          <w:szCs w:val="32"/>
        </w:rPr>
        <w:t>。</w:t>
      </w:r>
    </w:p>
    <w:p>
      <w:pPr>
        <w:spacing w:line="560" w:lineRule="exact"/>
        <w:ind w:firstLine="642" w:firstLineChars="200"/>
        <w:rPr>
          <w:rFonts w:hint="eastAsia" w:eastAsia="仿宋_GB2312"/>
          <w:sz w:val="32"/>
          <w:szCs w:val="32"/>
          <w:lang w:eastAsia="zh-CN"/>
        </w:rPr>
      </w:pPr>
      <w:r>
        <w:rPr>
          <w:rFonts w:hint="eastAsia" w:ascii="Times New Roman" w:hAnsi="Times New Roman" w:eastAsia="楷体" w:cs="Times New Roman"/>
          <w:b/>
          <w:bCs/>
          <w:sz w:val="32"/>
          <w:szCs w:val="32"/>
          <w:lang w:eastAsia="zh-CN"/>
        </w:rPr>
        <w:t>（三）</w:t>
      </w:r>
      <w:r>
        <w:rPr>
          <w:rFonts w:ascii="Times New Roman" w:hAnsi="Times New Roman" w:eastAsia="楷体" w:cs="Times New Roman"/>
          <w:b/>
          <w:bCs/>
          <w:sz w:val="32"/>
          <w:szCs w:val="32"/>
        </w:rPr>
        <w:t>加强预算支出绩效运行监控管理</w:t>
      </w:r>
      <w:r>
        <w:rPr>
          <w:rFonts w:hint="eastAsia" w:ascii="Times New Roman" w:hAnsi="Times New Roman" w:eastAsia="楷体" w:cs="Times New Roman"/>
          <w:b/>
          <w:bCs/>
          <w:sz w:val="32"/>
          <w:szCs w:val="32"/>
          <w:lang w:eastAsia="zh-CN"/>
        </w:rPr>
        <w:t>。</w:t>
      </w:r>
      <w:r>
        <w:rPr>
          <w:rFonts w:hint="eastAsia" w:ascii="仿宋_GB2312" w:hAnsi="宋体" w:eastAsia="仿宋_GB2312" w:cs="Times New Roman"/>
          <w:sz w:val="32"/>
          <w:szCs w:val="32"/>
          <w:lang w:eastAsia="zh-CN"/>
        </w:rPr>
        <w:t>根据《渌口区财政局关于开展2023年1-8月预算支出部门绩效运行监控工作的通知》</w:t>
      </w:r>
      <w:r>
        <w:rPr>
          <w:rFonts w:hint="eastAsia" w:ascii="仿宋_GB2312" w:hAnsi="宋体" w:eastAsia="仿宋_GB2312"/>
          <w:sz w:val="32"/>
          <w:szCs w:val="32"/>
          <w:lang w:eastAsia="zh-CN"/>
        </w:rPr>
        <w:t>（</w:t>
      </w:r>
      <w:r>
        <w:rPr>
          <w:rFonts w:hint="eastAsia" w:ascii="仿宋_GB2312" w:hAnsi="宋体" w:eastAsia="仿宋_GB2312" w:cs="Times New Roman"/>
          <w:sz w:val="32"/>
          <w:szCs w:val="32"/>
          <w:lang w:eastAsia="zh-CN"/>
        </w:rPr>
        <w:t>渌财通</w:t>
      </w:r>
      <w:r>
        <w:rPr>
          <w:rFonts w:hint="eastAsia" w:ascii="仿宋_GB2312" w:hAnsi="宋体" w:eastAsia="仿宋_GB2312" w:cs="Times New Roman"/>
          <w:sz w:val="32"/>
          <w:szCs w:val="32"/>
          <w:lang w:val="en-US" w:eastAsia="zh-CN"/>
        </w:rPr>
        <w:t>【2023】20号</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eastAsia="zh-CN"/>
        </w:rPr>
        <w:t>组织部门对</w:t>
      </w:r>
      <w:r>
        <w:rPr>
          <w:rFonts w:hint="eastAsia" w:ascii="仿宋_GB2312" w:hAnsi="宋体" w:eastAsia="仿宋_GB2312" w:cs="Times New Roman"/>
          <w:sz w:val="32"/>
          <w:szCs w:val="32"/>
        </w:rPr>
        <w:t>2023年1至8月一般公共预算、政府性基金预算和国有资本经营预算安排的所有项目支出</w:t>
      </w:r>
      <w:r>
        <w:rPr>
          <w:rFonts w:hint="eastAsia" w:ascii="仿宋_GB2312" w:hAnsi="宋体" w:eastAsia="仿宋_GB2312" w:cs="Times New Roman"/>
          <w:sz w:val="32"/>
          <w:szCs w:val="32"/>
          <w:lang w:eastAsia="zh-CN"/>
        </w:rPr>
        <w:t>进行绩效监控</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eastAsia="zh-CN"/>
        </w:rPr>
        <w:t>绩效监控</w:t>
      </w:r>
      <w:r>
        <w:rPr>
          <w:rFonts w:eastAsia="仿宋_GB2312"/>
          <w:sz w:val="32"/>
          <w:szCs w:val="32"/>
        </w:rPr>
        <w:t>主要从有效性、及时性和合规性等方面开展</w:t>
      </w:r>
      <w:r>
        <w:rPr>
          <w:rFonts w:hint="eastAsia" w:eastAsia="仿宋_GB2312"/>
          <w:sz w:val="32"/>
          <w:szCs w:val="32"/>
          <w:lang w:eastAsia="zh-CN"/>
        </w:rPr>
        <w:t>，具体包括绩效目标实现程度；预算资金执行进度；重点政策和重大项目绩效延伸监控和其他需要实施绩效监控的情况等。同时组织开展财政重点监控，选取公安局“平安城市”视频监控运行维护项目、环境卫生服务中心华新水泥垃圾处置费项目、卫生健康局 基本公卫项目和信访局特护期维稳项目四个项目开展财政重点监控。</w:t>
      </w:r>
    </w:p>
    <w:p>
      <w:pPr>
        <w:spacing w:line="560" w:lineRule="exact"/>
        <w:ind w:firstLine="642" w:firstLineChars="200"/>
        <w:rPr>
          <w:rFonts w:hint="eastAsia" w:ascii="仿宋_GB2312" w:hAnsi="宋体" w:eastAsia="仿宋_GB2312"/>
          <w:sz w:val="32"/>
          <w:szCs w:val="32"/>
        </w:rPr>
      </w:pPr>
      <w:r>
        <w:rPr>
          <w:rFonts w:hint="eastAsia" w:ascii="Times New Roman" w:hAnsi="Times New Roman" w:eastAsia="楷体" w:cs="Times New Roman"/>
          <w:b/>
          <w:bCs/>
          <w:sz w:val="32"/>
          <w:szCs w:val="32"/>
          <w:lang w:eastAsia="zh-CN"/>
        </w:rPr>
        <w:t>（四）</w:t>
      </w:r>
      <w:r>
        <w:rPr>
          <w:rFonts w:hint="eastAsia" w:eastAsia="楷体" w:cs="Times New Roman"/>
          <w:b/>
          <w:bCs/>
          <w:sz w:val="32"/>
          <w:szCs w:val="32"/>
          <w:lang w:eastAsia="zh-CN"/>
        </w:rPr>
        <w:t>认真做好</w:t>
      </w:r>
      <w:r>
        <w:rPr>
          <w:rFonts w:hint="eastAsia" w:ascii="Times New Roman" w:hAnsi="Times New Roman" w:eastAsia="楷体" w:cs="Times New Roman"/>
          <w:b/>
          <w:bCs/>
          <w:sz w:val="32"/>
          <w:szCs w:val="32"/>
          <w:lang w:eastAsia="zh-CN"/>
        </w:rPr>
        <w:t>财政绩效评价</w:t>
      </w:r>
      <w:r>
        <w:rPr>
          <w:rFonts w:hint="eastAsia" w:eastAsia="楷体" w:cs="Times New Roman"/>
          <w:b/>
          <w:bCs/>
          <w:sz w:val="32"/>
          <w:szCs w:val="32"/>
          <w:lang w:eastAsia="zh-CN"/>
        </w:rPr>
        <w:t>。</w:t>
      </w:r>
      <w:r>
        <w:rPr>
          <w:rFonts w:hint="eastAsia" w:ascii="仿宋_GB2312" w:hAnsi="宋体" w:eastAsia="仿宋_GB2312"/>
          <w:sz w:val="32"/>
          <w:szCs w:val="32"/>
        </w:rPr>
        <w:t>根据《株洲市</w:t>
      </w:r>
      <w:r>
        <w:rPr>
          <w:rFonts w:hint="eastAsia" w:ascii="仿宋_GB2312" w:hAnsi="宋体" w:eastAsia="仿宋_GB2312"/>
          <w:sz w:val="32"/>
          <w:szCs w:val="32"/>
          <w:lang w:eastAsia="zh-CN"/>
        </w:rPr>
        <w:t>渌口</w:t>
      </w:r>
      <w:r>
        <w:rPr>
          <w:rFonts w:hint="eastAsia" w:ascii="仿宋_GB2312" w:hAnsi="宋体" w:eastAsia="仿宋_GB2312"/>
          <w:sz w:val="32"/>
          <w:szCs w:val="32"/>
        </w:rPr>
        <w:t>区财政局关于</w:t>
      </w:r>
      <w:r>
        <w:rPr>
          <w:rFonts w:hint="eastAsia" w:ascii="仿宋_GB2312" w:hAnsi="宋体" w:eastAsia="仿宋_GB2312"/>
          <w:sz w:val="32"/>
          <w:szCs w:val="32"/>
          <w:lang w:eastAsia="zh-CN"/>
        </w:rPr>
        <w:t>开展</w:t>
      </w:r>
      <w:r>
        <w:rPr>
          <w:rFonts w:hint="eastAsia" w:ascii="仿宋_GB2312" w:hAnsi="宋体" w:eastAsia="仿宋_GB2312"/>
          <w:sz w:val="32"/>
          <w:szCs w:val="32"/>
          <w:lang w:val="en-US" w:eastAsia="zh-CN"/>
        </w:rPr>
        <w:t>2023年度财政绩效评价工作的通知</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cs="Times New Roman"/>
          <w:sz w:val="32"/>
          <w:szCs w:val="32"/>
          <w:lang w:eastAsia="zh-CN"/>
        </w:rPr>
        <w:t>渌财通</w:t>
      </w:r>
      <w:r>
        <w:rPr>
          <w:rFonts w:hint="eastAsia" w:ascii="仿宋_GB2312" w:hAnsi="宋体" w:eastAsia="仿宋_GB2312" w:cs="Times New Roman"/>
          <w:sz w:val="32"/>
          <w:szCs w:val="32"/>
          <w:lang w:val="en-US" w:eastAsia="zh-CN"/>
        </w:rPr>
        <w:t>【2023】23号</w:t>
      </w:r>
      <w:r>
        <w:rPr>
          <w:rFonts w:hint="eastAsia" w:ascii="仿宋_GB2312" w:hAnsi="宋体" w:eastAsia="仿宋_GB2312" w:cs="Times New Roman"/>
          <w:sz w:val="32"/>
          <w:szCs w:val="32"/>
          <w:lang w:eastAsia="zh-CN"/>
        </w:rPr>
        <w:t>），</w:t>
      </w:r>
      <w:r>
        <w:rPr>
          <w:rFonts w:hint="eastAsia" w:ascii="仿宋_GB2312" w:hAnsi="宋体" w:eastAsia="仿宋_GB2312"/>
          <w:sz w:val="32"/>
          <w:szCs w:val="32"/>
        </w:rPr>
        <w:t>委托第三方中介机构对我区202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w:t>
      </w:r>
      <w:r>
        <w:rPr>
          <w:rFonts w:hint="eastAsia" w:ascii="仿宋_GB2312" w:hAnsi="宋体" w:eastAsia="仿宋_GB2312"/>
          <w:sz w:val="32"/>
          <w:szCs w:val="32"/>
          <w:lang w:eastAsia="zh-CN"/>
        </w:rPr>
        <w:t>农村公路安防项目、路灯维护项目、生活垃圾收集和压缩、养老机构运营补贴和公办养老院运转经费项目、农产品抽检专项</w:t>
      </w:r>
      <w:r>
        <w:rPr>
          <w:rFonts w:hint="eastAsia" w:ascii="仿宋_GB2312" w:hAnsi="宋体" w:eastAsia="仿宋_GB2312"/>
          <w:sz w:val="32"/>
          <w:szCs w:val="32"/>
        </w:rPr>
        <w:t>等</w:t>
      </w:r>
      <w:r>
        <w:rPr>
          <w:rFonts w:hint="eastAsia" w:ascii="仿宋_GB2312" w:hAnsi="宋体" w:eastAsia="仿宋_GB2312"/>
          <w:sz w:val="32"/>
          <w:szCs w:val="32"/>
          <w:lang w:val="en-US" w:eastAsia="zh-CN"/>
        </w:rPr>
        <w:t>13个</w:t>
      </w:r>
      <w:r>
        <w:rPr>
          <w:rFonts w:hint="eastAsia" w:ascii="仿宋_GB2312" w:hAnsi="宋体" w:eastAsia="仿宋_GB2312"/>
          <w:sz w:val="32"/>
          <w:szCs w:val="32"/>
        </w:rPr>
        <w:t>重点专项资金项目</w:t>
      </w:r>
      <w:r>
        <w:rPr>
          <w:rFonts w:hint="eastAsia" w:ascii="仿宋_GB2312" w:hAnsi="宋体" w:eastAsia="仿宋_GB2312"/>
          <w:sz w:val="32"/>
          <w:szCs w:val="32"/>
          <w:lang w:eastAsia="zh-CN"/>
        </w:rPr>
        <w:t>和整体项目</w:t>
      </w:r>
      <w:r>
        <w:rPr>
          <w:rFonts w:hint="eastAsia" w:ascii="仿宋_GB2312" w:hAnsi="宋体" w:eastAsia="仿宋_GB2312"/>
          <w:sz w:val="32"/>
          <w:szCs w:val="32"/>
        </w:rPr>
        <w:t>进行现场绩效评价，进一步评估专项资金使用效益</w:t>
      </w:r>
      <w:r>
        <w:rPr>
          <w:rFonts w:hint="eastAsia" w:ascii="仿宋_GB2312" w:hAnsi="宋体" w:eastAsia="仿宋_GB2312"/>
          <w:sz w:val="32"/>
          <w:szCs w:val="32"/>
          <w:lang w:eastAsia="zh-CN"/>
        </w:rPr>
        <w:t>，强化绩效管理</w:t>
      </w:r>
      <w:r>
        <w:rPr>
          <w:rFonts w:hint="eastAsia" w:ascii="仿宋_GB2312" w:hAnsi="宋体" w:eastAsia="仿宋_GB2312"/>
          <w:sz w:val="32"/>
          <w:szCs w:val="32"/>
        </w:rPr>
        <w:t>。</w:t>
      </w:r>
    </w:p>
    <w:p>
      <w:pPr>
        <w:pStyle w:val="11"/>
        <w:spacing w:line="560" w:lineRule="exact"/>
        <w:ind w:firstLine="642" w:firstLineChars="200"/>
        <w:rPr>
          <w:rFonts w:hint="default" w:ascii="仿宋_GB2312" w:hAnsi="宋体" w:eastAsia="仿宋_GB2312" w:cs="Times New Roman"/>
          <w:kern w:val="2"/>
          <w:sz w:val="32"/>
          <w:szCs w:val="32"/>
          <w:lang w:val="en-US" w:eastAsia="zh-CN" w:bidi="ar-SA"/>
        </w:rPr>
      </w:pPr>
      <w:r>
        <w:rPr>
          <w:rFonts w:eastAsia="楷体"/>
          <w:b/>
          <w:bCs/>
          <w:sz w:val="32"/>
          <w:szCs w:val="32"/>
        </w:rPr>
        <w:t>（</w:t>
      </w:r>
      <w:r>
        <w:rPr>
          <w:rFonts w:hint="eastAsia" w:eastAsia="楷体"/>
          <w:b/>
          <w:bCs/>
          <w:sz w:val="32"/>
          <w:szCs w:val="32"/>
          <w:lang w:eastAsia="zh-CN"/>
        </w:rPr>
        <w:t>五</w:t>
      </w:r>
      <w:r>
        <w:rPr>
          <w:rFonts w:eastAsia="楷体"/>
          <w:b/>
          <w:bCs/>
          <w:sz w:val="32"/>
          <w:szCs w:val="32"/>
        </w:rPr>
        <w:t>）</w:t>
      </w:r>
      <w:r>
        <w:rPr>
          <w:rFonts w:hint="eastAsia" w:eastAsia="楷体"/>
          <w:b/>
          <w:bCs/>
          <w:sz w:val="32"/>
          <w:szCs w:val="32"/>
        </w:rPr>
        <w:t>积极开展绩效培训</w:t>
      </w:r>
      <w:r>
        <w:rPr>
          <w:rFonts w:eastAsia="楷体"/>
          <w:b/>
          <w:bCs/>
          <w:sz w:val="32"/>
          <w:szCs w:val="32"/>
        </w:rPr>
        <w:t>。</w:t>
      </w:r>
      <w:r>
        <w:rPr>
          <w:rFonts w:hint="eastAsia" w:ascii="仿宋_GB2312" w:hAnsi="宋体" w:eastAsia="仿宋_GB2312" w:cs="Times New Roman"/>
          <w:kern w:val="2"/>
          <w:sz w:val="32"/>
          <w:szCs w:val="32"/>
          <w:lang w:val="en-US" w:eastAsia="zh-CN" w:bidi="ar-SA"/>
        </w:rPr>
        <w:t>组织开展预算绩效管理业务培训，重点对预算绩效目标编制进行培训。全区各预算单位财务人员主动参与并积极互动，培训取得良好效果，进一步提高了我区预算绩效管理队伍素质，健全预算绩效管理机制。同时，我局选派绩效管理业务人员分别于5月参加省财政厅组织开展的2023年全省预算绩效管理业务培训班和10月参加市财政局组织的2023年全市预算绩效管理暨预算管理一体化系统绩效管理板块上线业务培训班，进一步提升我局绩效管理的专业水平。我区于2023年11月组织召开2023年预算绩效管理暨预算管理一体化系统绩效管理板块上线业务培训会，全区各预算单位财务、局属各业务股室100多人参加培训。</w:t>
      </w:r>
    </w:p>
    <w:p>
      <w:pPr>
        <w:spacing w:line="560" w:lineRule="exact"/>
        <w:ind w:firstLine="640" w:firstLineChars="200"/>
        <w:rPr>
          <w:rFonts w:eastAsia="黑体"/>
          <w:sz w:val="32"/>
          <w:szCs w:val="32"/>
        </w:rPr>
      </w:pPr>
      <w:r>
        <w:rPr>
          <w:rFonts w:eastAsia="黑体"/>
          <w:sz w:val="32"/>
          <w:szCs w:val="32"/>
        </w:rPr>
        <w:t>二、存在的主要问题</w:t>
      </w:r>
    </w:p>
    <w:p>
      <w:pPr>
        <w:spacing w:line="560" w:lineRule="exact"/>
        <w:ind w:firstLine="642" w:firstLineChars="200"/>
        <w:rPr>
          <w:rFonts w:hint="eastAsia" w:ascii="仿宋_GB2312" w:hAnsi="宋体" w:eastAsia="仿宋_GB2312" w:cs="Times New Roman"/>
          <w:kern w:val="2"/>
          <w:sz w:val="32"/>
          <w:szCs w:val="32"/>
          <w:lang w:val="en-US" w:eastAsia="zh-CN" w:bidi="ar-SA"/>
        </w:rPr>
      </w:pPr>
      <w:r>
        <w:rPr>
          <w:rFonts w:hint="eastAsia" w:ascii="Times New Roman" w:hAnsi="Times New Roman" w:eastAsia="方正仿宋_GBK" w:cs="Times New Roman"/>
          <w:b/>
          <w:bCs/>
          <w:sz w:val="32"/>
          <w:szCs w:val="32"/>
          <w:lang w:val="en-US" w:eastAsia="zh-CN"/>
        </w:rPr>
        <w:t>（一）事前绩效评估环节薄弱。</w:t>
      </w:r>
      <w:r>
        <w:rPr>
          <w:rFonts w:hint="eastAsia" w:ascii="仿宋_GB2312" w:hAnsi="宋体" w:eastAsia="仿宋_GB2312" w:cs="Times New Roman"/>
          <w:kern w:val="2"/>
          <w:sz w:val="32"/>
          <w:szCs w:val="32"/>
          <w:lang w:val="en-US" w:eastAsia="zh-CN" w:bidi="ar-SA"/>
        </w:rPr>
        <w:t>事前绩效评估是指运用科学、合理的评估方法对拟新增的重大政策和项目设立必要性、投入经济性、绩效目标合理性、实施方案可行性等进行客观公正的评估。目前专项债券项目事前绩效评估开展的较好，其他新增重大政策和项目开展的较少，事前绩效评估环节薄弱。要把事前绩效评估做为科学决策的有力抓手，建立新增重大政策和项目事前绩效评估常态化机制。</w:t>
      </w:r>
    </w:p>
    <w:p>
      <w:pPr>
        <w:spacing w:line="560" w:lineRule="exact"/>
        <w:ind w:firstLine="642" w:firstLineChars="200"/>
        <w:rPr>
          <w:rFonts w:hint="eastAsia" w:ascii="仿宋_GB2312" w:hAnsi="宋体" w:eastAsia="仿宋_GB2312" w:cs="Times New Roman"/>
          <w:kern w:val="2"/>
          <w:sz w:val="32"/>
          <w:szCs w:val="32"/>
          <w:lang w:val="en-US" w:eastAsia="zh-CN" w:bidi="ar-SA"/>
        </w:rPr>
      </w:pPr>
      <w:r>
        <w:rPr>
          <w:rFonts w:hint="eastAsia" w:ascii="Times New Roman" w:hAnsi="Times New Roman" w:eastAsia="方正仿宋_GBK" w:cs="Times New Roman"/>
          <w:b/>
          <w:bCs/>
          <w:sz w:val="32"/>
          <w:szCs w:val="32"/>
          <w:lang w:val="en-US" w:eastAsia="zh-CN"/>
        </w:rPr>
        <w:t>（二）绩效目标管理监管有待加强。</w:t>
      </w:r>
      <w:r>
        <w:rPr>
          <w:rFonts w:hint="eastAsia" w:ascii="仿宋_GB2312" w:hAnsi="宋体" w:eastAsia="仿宋_GB2312" w:cs="Times New Roman"/>
          <w:kern w:val="2"/>
          <w:sz w:val="32"/>
          <w:szCs w:val="32"/>
          <w:lang w:val="en-US" w:eastAsia="zh-CN" w:bidi="ar-SA"/>
        </w:rPr>
        <w:t>我区尚未建立绩效指标库，绩效目标环节存诸多共性问题，比如指标不明确，满意度指标笼统不具体，缺少效益指标的问题；指标不可衡量，定量指标过少，定性指标不可衡量，数据不可获得的问题；指标不可行不合理，指标值设置过高或者过低的问题；匹配性较差，有些指标的设置与项目的关联性不高，指标与项目资金不匹配的问题等。绩效目标监管亟待加强。</w:t>
      </w:r>
    </w:p>
    <w:p>
      <w:pPr>
        <w:spacing w:line="560" w:lineRule="exact"/>
        <w:ind w:firstLine="642" w:firstLineChars="200"/>
        <w:rPr>
          <w:rFonts w:hint="eastAsia" w:ascii="仿宋_GB2312" w:hAnsi="宋体" w:eastAsia="仿宋_GB2312" w:cs="Times New Roman"/>
          <w:kern w:val="2"/>
          <w:sz w:val="32"/>
          <w:szCs w:val="32"/>
          <w:lang w:val="en-US" w:eastAsia="zh-CN" w:bidi="ar-SA"/>
        </w:rPr>
      </w:pPr>
      <w:r>
        <w:rPr>
          <w:rFonts w:hint="eastAsia" w:ascii="Times New Roman" w:hAnsi="Times New Roman" w:eastAsia="方正仿宋_GBK" w:cs="Times New Roman"/>
          <w:b/>
          <w:bCs/>
          <w:sz w:val="32"/>
          <w:szCs w:val="32"/>
          <w:lang w:val="en-US" w:eastAsia="zh-CN"/>
        </w:rPr>
        <w:t>（三）绩效信息公开不够健全。</w:t>
      </w:r>
      <w:r>
        <w:rPr>
          <w:rFonts w:hint="eastAsia" w:ascii="仿宋_GB2312" w:hAnsi="宋体" w:eastAsia="仿宋_GB2312" w:cs="Times New Roman"/>
          <w:kern w:val="2"/>
          <w:sz w:val="32"/>
          <w:szCs w:val="32"/>
          <w:lang w:val="en-US" w:eastAsia="zh-CN" w:bidi="ar-SA"/>
        </w:rPr>
        <w:t>绩效目标和绩效评价（除涉密信息外）都应按规定及时全面的在政府门户网站进行公开。我区绩效目标与部门预算同步公开，绩效自评与部门决算同步公开。我们在公开过程存在不少问题，如有预算单位在公开的附件表格中存在有空表的现象；有预算单位公开的表格中存在部门整体支出目标表中的项目支出金额和项目目标表中的支出金额不一致的逻辑问题；有预算单位存在公开的项目绩效目标表的项目数少于年初预算数，公开不全面的问题；有的预算单位绩效信息公开的时间不符合规定要求。我们应进一步提高认识，重视绩效信息公开工作，对公开的信息加强把关，提高信息公开的准确性、全面性和及时性。</w:t>
      </w:r>
    </w:p>
    <w:p>
      <w:pPr>
        <w:spacing w:line="560" w:lineRule="exact"/>
        <w:ind w:firstLine="640" w:firstLineChars="200"/>
        <w:rPr>
          <w:rFonts w:hint="eastAsia" w:eastAsia="黑体"/>
          <w:sz w:val="32"/>
          <w:szCs w:val="32"/>
          <w:lang w:eastAsia="zh-CN"/>
        </w:rPr>
      </w:pPr>
      <w:r>
        <w:rPr>
          <w:rFonts w:eastAsia="黑体"/>
          <w:sz w:val="32"/>
          <w:szCs w:val="32"/>
        </w:rPr>
        <w:t>三、</w:t>
      </w:r>
      <w:r>
        <w:rPr>
          <w:rFonts w:hint="eastAsia" w:eastAsia="黑体"/>
          <w:sz w:val="32"/>
          <w:szCs w:val="32"/>
          <w:lang w:val="en-US" w:eastAsia="zh-CN"/>
        </w:rPr>
        <w:t>2024年</w:t>
      </w:r>
      <w:r>
        <w:rPr>
          <w:rFonts w:eastAsia="黑体"/>
          <w:sz w:val="32"/>
          <w:szCs w:val="32"/>
        </w:rPr>
        <w:t>工作</w:t>
      </w:r>
      <w:r>
        <w:rPr>
          <w:rFonts w:hint="eastAsia" w:eastAsia="黑体"/>
          <w:sz w:val="32"/>
          <w:szCs w:val="32"/>
          <w:lang w:eastAsia="zh-CN"/>
        </w:rPr>
        <w:t>计划</w:t>
      </w:r>
    </w:p>
    <w:p>
      <w:pPr>
        <w:spacing w:line="560" w:lineRule="exact"/>
        <w:ind w:firstLine="642" w:firstLineChars="200"/>
        <w:rPr>
          <w:rFonts w:hint="eastAsia" w:ascii="仿宋_GB2312" w:hAnsi="宋体" w:eastAsia="仿宋_GB2312" w:cs="Times New Roman"/>
          <w:kern w:val="2"/>
          <w:sz w:val="32"/>
          <w:szCs w:val="32"/>
          <w:lang w:val="en-US" w:eastAsia="zh-CN" w:bidi="ar-SA"/>
        </w:rPr>
      </w:pPr>
      <w:r>
        <w:rPr>
          <w:rFonts w:eastAsia="楷体"/>
          <w:b/>
          <w:bCs/>
          <w:sz w:val="32"/>
          <w:szCs w:val="32"/>
        </w:rPr>
        <w:t>（</w:t>
      </w:r>
      <w:r>
        <w:rPr>
          <w:rFonts w:hint="eastAsia" w:eastAsia="楷体"/>
          <w:b/>
          <w:bCs/>
          <w:sz w:val="32"/>
          <w:szCs w:val="32"/>
          <w:lang w:eastAsia="zh-CN"/>
        </w:rPr>
        <w:t>一</w:t>
      </w:r>
      <w:r>
        <w:rPr>
          <w:rFonts w:eastAsia="楷体"/>
          <w:b/>
          <w:bCs/>
          <w:sz w:val="32"/>
          <w:szCs w:val="32"/>
        </w:rPr>
        <w:t>）</w:t>
      </w:r>
      <w:r>
        <w:rPr>
          <w:rFonts w:hint="eastAsia" w:eastAsia="楷体"/>
          <w:b/>
          <w:bCs/>
          <w:sz w:val="32"/>
          <w:szCs w:val="32"/>
          <w:lang w:eastAsia="zh-CN"/>
        </w:rPr>
        <w:t>重视</w:t>
      </w:r>
      <w:r>
        <w:rPr>
          <w:rFonts w:hint="eastAsia" w:eastAsia="楷体"/>
          <w:b/>
          <w:bCs/>
          <w:sz w:val="32"/>
          <w:szCs w:val="32"/>
        </w:rPr>
        <w:t>目标申报。</w:t>
      </w:r>
      <w:r>
        <w:rPr>
          <w:rFonts w:hint="eastAsia" w:ascii="仿宋_GB2312" w:hAnsi="宋体" w:eastAsia="仿宋_GB2312" w:cs="Times New Roman"/>
          <w:kern w:val="2"/>
          <w:sz w:val="32"/>
          <w:szCs w:val="32"/>
          <w:lang w:val="en-US" w:eastAsia="zh-CN" w:bidi="ar-SA"/>
        </w:rPr>
        <w:t>持续严格把关绩效目标申报工作，对预算绩效目标编制不符合要求的，坚决予以退回，积极指导和督促修改，通过绩效目标申报和专项指标的设立，引导各单位资金规范使用，优化财政资金的使用效率，为领导科学决策和外部有效监督提供重要参考依据。</w:t>
      </w:r>
    </w:p>
    <w:p>
      <w:pPr>
        <w:spacing w:line="560" w:lineRule="exact"/>
        <w:ind w:firstLine="642" w:firstLineChars="200"/>
        <w:rPr>
          <w:rFonts w:hint="eastAsia" w:ascii="仿宋_GB2312" w:hAnsi="宋体" w:eastAsia="仿宋_GB2312" w:cs="Times New Roman"/>
          <w:kern w:val="2"/>
          <w:sz w:val="32"/>
          <w:szCs w:val="32"/>
          <w:lang w:val="en-US" w:eastAsia="zh-CN" w:bidi="ar-SA"/>
        </w:rPr>
      </w:pPr>
      <w:r>
        <w:rPr>
          <w:rFonts w:hint="eastAsia" w:eastAsia="楷体"/>
          <w:b/>
          <w:bCs/>
          <w:sz w:val="32"/>
          <w:szCs w:val="32"/>
        </w:rPr>
        <w:t>（</w:t>
      </w:r>
      <w:r>
        <w:rPr>
          <w:rFonts w:hint="eastAsia" w:eastAsia="楷体"/>
          <w:b/>
          <w:bCs/>
          <w:sz w:val="32"/>
          <w:szCs w:val="32"/>
          <w:lang w:eastAsia="zh-CN"/>
        </w:rPr>
        <w:t>二</w:t>
      </w:r>
      <w:r>
        <w:rPr>
          <w:rFonts w:hint="eastAsia" w:eastAsia="楷体"/>
          <w:b/>
          <w:bCs/>
          <w:sz w:val="32"/>
          <w:szCs w:val="32"/>
        </w:rPr>
        <w:t>）紧跟预算</w:t>
      </w:r>
      <w:r>
        <w:rPr>
          <w:rFonts w:hint="eastAsia" w:eastAsia="楷体"/>
          <w:b/>
          <w:bCs/>
          <w:sz w:val="32"/>
          <w:szCs w:val="32"/>
          <w:lang w:eastAsia="zh-CN"/>
        </w:rPr>
        <w:t>收支</w:t>
      </w:r>
      <w:r>
        <w:rPr>
          <w:rFonts w:hint="eastAsia" w:eastAsia="楷体"/>
          <w:b/>
          <w:bCs/>
          <w:sz w:val="32"/>
          <w:szCs w:val="32"/>
        </w:rPr>
        <w:t>。</w:t>
      </w:r>
      <w:r>
        <w:rPr>
          <w:rFonts w:hint="eastAsia" w:ascii="仿宋_GB2312" w:hAnsi="宋体" w:eastAsia="仿宋_GB2312" w:cs="Times New Roman"/>
          <w:kern w:val="2"/>
          <w:sz w:val="32"/>
          <w:szCs w:val="32"/>
          <w:lang w:val="en-US" w:eastAsia="zh-CN" w:bidi="ar-SA"/>
        </w:rPr>
        <w:t>建立绩效运行动态监控机制，紧跟预算绩效资金执行情况，把绩效管理工作融入到各业务股室日常工作中，及时掌握项目实施进程、预算执行进度和绩效目标完成情况，及时纠正项目绩效运行与期望绩效目标的偏差，促进绩效目标的实现。对预期无绩效、低绩效的项目，要停止执行或调整执行。</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9"/>
        <w:rPr>
          <w:rFonts w:hint="eastAsia" w:ascii="仿宋_GB2312" w:hAnsi="宋体" w:eastAsia="仿宋_GB2312" w:cs="Times New Roman"/>
          <w:kern w:val="2"/>
          <w:sz w:val="32"/>
          <w:szCs w:val="32"/>
          <w:lang w:val="en-US" w:eastAsia="zh-CN" w:bidi="ar-SA"/>
        </w:rPr>
      </w:pPr>
      <w:r>
        <w:rPr>
          <w:rFonts w:hint="eastAsia" w:eastAsia="楷体"/>
          <w:b/>
          <w:bCs/>
          <w:sz w:val="32"/>
          <w:szCs w:val="32"/>
        </w:rPr>
        <w:t>（</w:t>
      </w:r>
      <w:r>
        <w:rPr>
          <w:rFonts w:hint="eastAsia" w:eastAsia="楷体"/>
          <w:b/>
          <w:bCs/>
          <w:sz w:val="32"/>
          <w:szCs w:val="32"/>
          <w:lang w:eastAsia="zh-CN"/>
        </w:rPr>
        <w:t>三</w:t>
      </w:r>
      <w:r>
        <w:rPr>
          <w:rFonts w:hint="eastAsia" w:eastAsia="楷体"/>
          <w:b/>
          <w:bCs/>
          <w:sz w:val="32"/>
          <w:szCs w:val="32"/>
        </w:rPr>
        <w:t>）强化评价运用。</w:t>
      </w:r>
      <w:r>
        <w:rPr>
          <w:rFonts w:hint="eastAsia" w:ascii="仿宋_GB2312" w:hAnsi="宋体" w:eastAsia="仿宋_GB2312" w:cs="Times New Roman"/>
          <w:kern w:val="2"/>
          <w:sz w:val="32"/>
          <w:szCs w:val="32"/>
          <w:lang w:val="en-US" w:eastAsia="zh-CN" w:bidi="ar-SA"/>
        </w:rPr>
        <w:t>组织各单位完成好绩效自评工作，积极指导业务，在单位自评的基础上，选取涉及民生、社会公众普遍关心、具有较大经济社会影响的项目，委托第三方中介机构，参与财政部门重点评价工作，为政府决策提供参考。</w:t>
      </w:r>
      <w:r>
        <w:rPr>
          <w:rFonts w:hint="eastAsia" w:ascii="仿宋" w:eastAsia="仿宋" w:cs="仿宋"/>
          <w:color w:val="auto"/>
          <w:spacing w:val="0"/>
          <w:position w:val="0"/>
          <w:sz w:val="32"/>
          <w:shd w:val="clear" w:color="auto" w:fill="auto"/>
          <w:lang w:eastAsia="zh-CN"/>
        </w:rPr>
        <w:t>对绩效好的政策和项目原则上优先保障，绩效一般的项目督促预算单位改进改进，低效无效资金一律削减或取消。积极构建“花钱必问效，无效必问责，违规必严惩”的长效机制。</w:t>
      </w:r>
    </w:p>
    <w:p>
      <w:pPr>
        <w:spacing w:line="560" w:lineRule="exact"/>
        <w:ind w:firstLine="642" w:firstLineChars="200"/>
        <w:rPr>
          <w:rFonts w:hint="eastAsia" w:ascii="仿宋_GB2312" w:hAnsi="宋体" w:eastAsia="仿宋_GB2312" w:cs="Times New Roman"/>
          <w:kern w:val="2"/>
          <w:sz w:val="32"/>
          <w:szCs w:val="32"/>
          <w:lang w:val="en-US" w:eastAsia="zh-CN" w:bidi="ar-SA"/>
        </w:rPr>
      </w:pPr>
      <w:r>
        <w:rPr>
          <w:rFonts w:eastAsia="楷体"/>
          <w:b/>
          <w:bCs/>
          <w:sz w:val="32"/>
          <w:szCs w:val="32"/>
        </w:rPr>
        <w:t>（</w:t>
      </w:r>
      <w:r>
        <w:rPr>
          <w:rFonts w:hint="eastAsia" w:eastAsia="楷体"/>
          <w:b/>
          <w:bCs/>
          <w:sz w:val="32"/>
          <w:szCs w:val="32"/>
          <w:lang w:eastAsia="zh-CN"/>
        </w:rPr>
        <w:t>四</w:t>
      </w:r>
      <w:r>
        <w:rPr>
          <w:rFonts w:eastAsia="楷体"/>
          <w:b/>
          <w:bCs/>
          <w:sz w:val="32"/>
          <w:szCs w:val="32"/>
        </w:rPr>
        <w:t>）</w:t>
      </w:r>
      <w:r>
        <w:rPr>
          <w:rFonts w:hint="eastAsia" w:eastAsia="楷体"/>
          <w:b/>
          <w:bCs/>
          <w:sz w:val="32"/>
          <w:szCs w:val="32"/>
        </w:rPr>
        <w:t>加大</w:t>
      </w:r>
      <w:r>
        <w:rPr>
          <w:rFonts w:hint="eastAsia" w:eastAsia="楷体"/>
          <w:b/>
          <w:bCs/>
          <w:sz w:val="32"/>
          <w:szCs w:val="32"/>
          <w:lang w:eastAsia="zh-CN"/>
        </w:rPr>
        <w:t>宣培</w:t>
      </w:r>
      <w:r>
        <w:rPr>
          <w:rFonts w:hint="eastAsia" w:eastAsia="楷体"/>
          <w:b/>
          <w:bCs/>
          <w:sz w:val="32"/>
          <w:szCs w:val="32"/>
        </w:rPr>
        <w:t>力度。</w:t>
      </w:r>
      <w:r>
        <w:rPr>
          <w:rFonts w:hint="eastAsia" w:ascii="仿宋" w:eastAsia="仿宋" w:cs="仿宋"/>
          <w:color w:val="auto"/>
          <w:spacing w:val="0"/>
          <w:position w:val="0"/>
          <w:sz w:val="32"/>
          <w:shd w:val="clear" w:color="auto" w:fill="auto"/>
          <w:lang w:eastAsia="zh-CN"/>
        </w:rPr>
        <w:t>牢固树立“大绩效”理念，有效发挥绩效管理“指挥棒”和“风向标”作用。落实落细绩效管理各项要求和各个环节，真正把绩效管理理念化为绩效行动，推动绩效管理由“软约束”变为“硬杠杆”。</w:t>
      </w:r>
      <w:r>
        <w:rPr>
          <w:rFonts w:hint="eastAsia" w:ascii="仿宋_GB2312" w:hAnsi="宋体" w:eastAsia="仿宋_GB2312" w:cs="Times New Roman"/>
          <w:kern w:val="2"/>
          <w:sz w:val="32"/>
          <w:szCs w:val="32"/>
          <w:lang w:val="en-US" w:eastAsia="zh-CN" w:bidi="ar-SA"/>
        </w:rPr>
        <w:t>在不断加强自身相关知识学习的同时，保持和上级与同级单位的业务交流，开展预算绩效管理理论和操作实务培训，加大专项资金项目绩效目标和绩效指标确立工作的推行力度。通过亲身实地宣导，利用网络平台、宣传栏等多种载体，加大绩效管理理念宣传力度，强化预算绩效意识，为预算绩效管理创造良好的思想基础和舆论环境。</w:t>
      </w:r>
    </w:p>
    <w:p>
      <w:pPr>
        <w:pStyle w:val="2"/>
        <w:rPr>
          <w:rFonts w:hint="eastAsia" w:ascii="仿宋_GB2312" w:hAnsi="宋体" w:eastAsia="仿宋_GB2312" w:cs="Times New Roman"/>
          <w:kern w:val="2"/>
          <w:sz w:val="32"/>
          <w:szCs w:val="32"/>
          <w:lang w:val="en-US" w:eastAsia="zh-CN" w:bidi="ar-SA"/>
        </w:rPr>
      </w:pPr>
    </w:p>
    <w:p>
      <w:pPr>
        <w:pStyle w:val="2"/>
        <w:rPr>
          <w:rFonts w:hint="eastAsia" w:ascii="仿宋_GB2312" w:hAnsi="宋体" w:eastAsia="仿宋_GB2312" w:cs="Times New Roman"/>
          <w:kern w:val="2"/>
          <w:sz w:val="32"/>
          <w:szCs w:val="32"/>
          <w:lang w:val="en-US" w:eastAsia="zh-CN" w:bidi="ar-SA"/>
        </w:rPr>
      </w:pPr>
    </w:p>
    <w:p>
      <w:pPr>
        <w:pStyle w:val="11"/>
        <w:spacing w:line="560" w:lineRule="exact"/>
        <w:jc w:val="righ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渌口区财政局</w:t>
      </w:r>
    </w:p>
    <w:p>
      <w:pPr>
        <w:jc w:val="right"/>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2023年12月19日</w:t>
      </w:r>
    </w:p>
    <w:p>
      <w:pPr>
        <w:wordWrap w:val="0"/>
        <w:ind w:firstLine="640" w:firstLineChars="200"/>
        <w:jc w:val="right"/>
        <w:rPr>
          <w:rFonts w:ascii="黑体" w:hAnsi="黑体" w:eastAsia="黑体" w:cs="Times New Roman"/>
          <w:sz w:val="32"/>
          <w:szCs w:val="32"/>
        </w:rPr>
      </w:pPr>
    </w:p>
    <w:sectPr>
      <w:footerReference r:id="rId3" w:type="default"/>
      <w:footerReference r:id="rId4" w:type="even"/>
      <w:pgSz w:w="11906" w:h="16838"/>
      <w:pgMar w:top="1418" w:right="1588"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408686"/>
    </w:sdtPr>
    <w:sdtEndPr>
      <w:rPr>
        <w:rFonts w:ascii="宋体" w:hAnsi="宋体" w:eastAsia="宋体"/>
        <w:sz w:val="28"/>
        <w:szCs w:val="28"/>
      </w:rPr>
    </w:sdtEndPr>
    <w:sdtContent>
      <w:p>
        <w:pPr>
          <w:pStyle w:val="4"/>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7 -</w:t>
        </w:r>
        <w:r>
          <w:rPr>
            <w:rFonts w:ascii="宋体" w:hAnsi="宋体" w:eastAsia="宋体"/>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408690"/>
    </w:sdtPr>
    <w:sdtEndPr>
      <w:rPr>
        <w:rFonts w:ascii="宋体" w:hAnsi="宋体" w:eastAsia="宋体"/>
        <w:sz w:val="28"/>
        <w:szCs w:val="28"/>
      </w:rPr>
    </w:sdtEndPr>
    <w:sdtContent>
      <w:p>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sdtContent>
  </w:sdt>
  <w:p>
    <w:pPr>
      <w:pStyle w:val="4"/>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001252"/>
    <w:rsid w:val="00041F21"/>
    <w:rsid w:val="00124096"/>
    <w:rsid w:val="00430778"/>
    <w:rsid w:val="005C1F6C"/>
    <w:rsid w:val="006B40D8"/>
    <w:rsid w:val="00884496"/>
    <w:rsid w:val="008B093C"/>
    <w:rsid w:val="008F3204"/>
    <w:rsid w:val="00980C20"/>
    <w:rsid w:val="00995C39"/>
    <w:rsid w:val="009B3B41"/>
    <w:rsid w:val="009C3B1B"/>
    <w:rsid w:val="00A07A66"/>
    <w:rsid w:val="00C25855"/>
    <w:rsid w:val="00C457DE"/>
    <w:rsid w:val="00CA3D5F"/>
    <w:rsid w:val="00CD5537"/>
    <w:rsid w:val="00E46CC4"/>
    <w:rsid w:val="00E84287"/>
    <w:rsid w:val="00EC2E96"/>
    <w:rsid w:val="00F6163E"/>
    <w:rsid w:val="00FF6C4F"/>
    <w:rsid w:val="067B2A3F"/>
    <w:rsid w:val="14001252"/>
    <w:rsid w:val="168C14DC"/>
    <w:rsid w:val="1B5B5EB7"/>
    <w:rsid w:val="336153A8"/>
    <w:rsid w:val="3DFE7160"/>
    <w:rsid w:val="45666F21"/>
    <w:rsid w:val="4714204E"/>
    <w:rsid w:val="548A0D98"/>
    <w:rsid w:val="55D31ED7"/>
    <w:rsid w:val="56883B4E"/>
    <w:rsid w:val="5BA11660"/>
    <w:rsid w:val="5C7F6A30"/>
    <w:rsid w:val="5D1C1D59"/>
    <w:rsid w:val="6FF50EFF"/>
    <w:rsid w:val="7AB62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alloon Text"/>
    <w:basedOn w:val="1"/>
    <w:link w:val="10"/>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99"/>
    <w:rPr>
      <w:kern w:val="2"/>
      <w:sz w:val="18"/>
      <w:szCs w:val="18"/>
    </w:rPr>
  </w:style>
  <w:style w:type="character" w:customStyle="1" w:styleId="10">
    <w:name w:val="批注框文本 Char"/>
    <w:basedOn w:val="7"/>
    <w:link w:val="3"/>
    <w:qFormat/>
    <w:uiPriority w:val="0"/>
    <w:rPr>
      <w:kern w:val="2"/>
      <w:sz w:val="18"/>
      <w:szCs w:val="18"/>
    </w:rPr>
  </w:style>
  <w:style w:type="paragraph" w:customStyle="1" w:styleId="11">
    <w:name w:val="正文文字"/>
    <w:basedOn w:val="1"/>
    <w:next w:val="1"/>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536</Words>
  <Characters>3060</Characters>
  <Lines>25</Lines>
  <Paragraphs>7</Paragraphs>
  <TotalTime>0</TotalTime>
  <ScaleCrop>false</ScaleCrop>
  <LinksUpToDate>false</LinksUpToDate>
  <CharactersWithSpaces>3589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2020-12-22T14:45:00Z</dcterms:created>
  <dc:creator>Heneciakim </dc:creator>
  <cp:lastModifiedBy>kylin</cp:lastModifiedBy>
  <cp:lastPrinted>2022-01-07T17:20:00Z</cp:lastPrinted>
  <dcterms:modified xsi:type="dcterms:W3CDTF">2025-02-24T09:21:19Z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F46BCC0E6E334D2F9441AE217256BDC4</vt:lpwstr>
  </property>
  <property fmtid="{D5CDD505-2E9C-101B-9397-08002B2CF9AE}" pid="4" name="KSOSaveFontToCloudKey">
    <vt:lpwstr>353542221_embed</vt:lpwstr>
  </property>
</Properties>
</file>