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AABA1">
      <w:pPr>
        <w:jc w:val="left"/>
        <w:rPr>
          <w:rFonts w:hint="eastAsia" w:ascii="Times New Roman" w:hAnsi="Times New Roman" w:eastAsia="宋体"/>
          <w:color w:val="auto"/>
          <w:sz w:val="32"/>
          <w:szCs w:val="32"/>
          <w:lang w:val="en-US" w:eastAsia="zh-CN"/>
        </w:rPr>
      </w:pPr>
      <w:r>
        <w:rPr>
          <w:rFonts w:ascii="Times New Roman" w:hAnsi="Times New Roman"/>
          <w:color w:val="auto"/>
          <w:sz w:val="32"/>
          <w:szCs w:val="32"/>
        </w:rPr>
        <w:t>ZZHTDR-202</w:t>
      </w:r>
      <w:r>
        <w:rPr>
          <w:rFonts w:hint="eastAsia" w:ascii="Times New Roman" w:hAnsi="Times New Roman"/>
          <w:color w:val="auto"/>
          <w:sz w:val="32"/>
          <w:szCs w:val="32"/>
          <w:lang w:val="en-US" w:eastAsia="zh-CN"/>
        </w:rPr>
        <w:t>1</w:t>
      </w:r>
      <w:r>
        <w:rPr>
          <w:rFonts w:ascii="Times New Roman" w:hAnsi="Times New Roman"/>
          <w:color w:val="auto"/>
          <w:sz w:val="32"/>
          <w:szCs w:val="32"/>
        </w:rPr>
        <w:t>-0100</w:t>
      </w:r>
      <w:r>
        <w:rPr>
          <w:rFonts w:hint="eastAsia" w:ascii="Times New Roman" w:hAnsi="Times New Roman"/>
          <w:color w:val="auto"/>
          <w:sz w:val="32"/>
          <w:szCs w:val="32"/>
          <w:lang w:val="en-US" w:eastAsia="zh-CN"/>
        </w:rPr>
        <w:t>1</w:t>
      </w:r>
    </w:p>
    <w:p w14:paraId="1B93E0C3">
      <w:pPr>
        <w:spacing w:line="600" w:lineRule="exact"/>
        <w:jc w:val="left"/>
        <w:rPr>
          <w:rFonts w:ascii="Times New Roman" w:hAnsi="Times New Roman" w:eastAsia="方正小标宋简体"/>
          <w:sz w:val="44"/>
          <w:szCs w:val="44"/>
        </w:rPr>
      </w:pPr>
    </w:p>
    <w:p w14:paraId="162E2CD0">
      <w:pPr>
        <w:spacing w:line="600" w:lineRule="exact"/>
        <w:jc w:val="left"/>
        <w:rPr>
          <w:rFonts w:ascii="Times New Roman" w:hAnsi="Times New Roman" w:eastAsia="方正小标宋简体"/>
          <w:sz w:val="44"/>
          <w:szCs w:val="44"/>
        </w:rPr>
      </w:pPr>
    </w:p>
    <w:p w14:paraId="60CCB2F4">
      <w:pPr>
        <w:spacing w:line="600" w:lineRule="exact"/>
        <w:jc w:val="left"/>
        <w:rPr>
          <w:rFonts w:ascii="Times New Roman" w:hAnsi="Times New Roman" w:eastAsia="方正小标宋简体"/>
          <w:sz w:val="44"/>
          <w:szCs w:val="44"/>
        </w:rPr>
      </w:pPr>
    </w:p>
    <w:p w14:paraId="622E80BB">
      <w:pPr>
        <w:spacing w:line="600" w:lineRule="exact"/>
        <w:jc w:val="left"/>
        <w:rPr>
          <w:rFonts w:ascii="Times New Roman" w:hAnsi="Times New Roman" w:eastAsia="方正小标宋简体"/>
          <w:sz w:val="44"/>
          <w:szCs w:val="44"/>
        </w:rPr>
      </w:pPr>
    </w:p>
    <w:p w14:paraId="124F7BA9">
      <w:pPr>
        <w:spacing w:line="600" w:lineRule="exact"/>
        <w:jc w:val="left"/>
        <w:rPr>
          <w:rFonts w:ascii="Times New Roman" w:hAnsi="Times New Roman" w:eastAsia="方正小标宋简体"/>
          <w:sz w:val="44"/>
          <w:szCs w:val="44"/>
        </w:rPr>
      </w:pPr>
    </w:p>
    <w:p w14:paraId="14707C02">
      <w:pPr>
        <w:spacing w:line="600" w:lineRule="exact"/>
        <w:jc w:val="left"/>
        <w:rPr>
          <w:rFonts w:ascii="Times New Roman" w:hAnsi="Times New Roman" w:eastAsia="方正小标宋简体"/>
          <w:sz w:val="44"/>
          <w:szCs w:val="44"/>
        </w:rPr>
      </w:pPr>
    </w:p>
    <w:p w14:paraId="714D02C2">
      <w:pPr>
        <w:keepNext w:val="0"/>
        <w:keepLines w:val="0"/>
        <w:pageBreakBefore w:val="0"/>
        <w:widowControl w:val="0"/>
        <w:kinsoku/>
        <w:wordWrap/>
        <w:topLinePunct w:val="0"/>
        <w:autoSpaceDE/>
        <w:autoSpaceDN/>
        <w:bidi w:val="0"/>
        <w:adjustRightInd/>
        <w:snapToGrid/>
        <w:spacing w:line="600" w:lineRule="exact"/>
        <w:jc w:val="center"/>
        <w:textAlignment w:val="auto"/>
        <w:rPr>
          <w:rFonts w:ascii="Times New Roman" w:hAnsi="Times New Roman" w:eastAsia="仿宋_GB2312"/>
          <w:sz w:val="32"/>
          <w:szCs w:val="32"/>
        </w:rPr>
      </w:pPr>
      <w:r>
        <w:rPr>
          <w:rFonts w:hint="eastAsia" w:ascii="Times New Roman" w:hAnsi="Times New Roman" w:eastAsia="仿宋_GB2312"/>
          <w:sz w:val="32"/>
          <w:szCs w:val="32"/>
        </w:rPr>
        <w:t>株荷政办发〔</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号</w:t>
      </w:r>
    </w:p>
    <w:p w14:paraId="70EB0E0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Times New Roman" w:hAnsi="Times New Roman" w:eastAsia="方正小标宋简体"/>
          <w:sz w:val="44"/>
          <w:szCs w:val="44"/>
        </w:rPr>
      </w:pPr>
    </w:p>
    <w:p w14:paraId="4187EB19">
      <w:pPr>
        <w:keepNext w:val="0"/>
        <w:keepLines w:val="0"/>
        <w:pageBreakBefore w:val="0"/>
        <w:widowControl w:val="0"/>
        <w:kinsoku/>
        <w:wordWrap/>
        <w:topLinePunct w:val="0"/>
        <w:autoSpaceDE/>
        <w:autoSpaceDN/>
        <w:bidi w:val="0"/>
        <w:adjustRightInd/>
        <w:snapToGrid/>
        <w:spacing w:line="600" w:lineRule="exact"/>
        <w:jc w:val="center"/>
        <w:textAlignment w:val="auto"/>
        <w:rPr>
          <w:rFonts w:ascii="Times New Roman" w:hAnsi="Times New Roman" w:eastAsia="方正小标宋简体"/>
          <w:sz w:val="44"/>
          <w:szCs w:val="44"/>
        </w:rPr>
      </w:pPr>
      <w:r>
        <w:rPr>
          <w:rFonts w:hint="eastAsia" w:ascii="Times New Roman" w:hAnsi="Times New Roman" w:eastAsia="方正小标宋简体"/>
          <w:sz w:val="44"/>
          <w:szCs w:val="44"/>
        </w:rPr>
        <w:t>株洲市荷塘区人民政府办公室</w:t>
      </w:r>
    </w:p>
    <w:p w14:paraId="21C49410">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Times New Roman" w:hAnsi="Times New Roman" w:eastAsia="方正小标宋简体"/>
          <w:bCs/>
          <w:sz w:val="44"/>
          <w:szCs w:val="44"/>
        </w:rPr>
      </w:pPr>
      <w:r>
        <w:rPr>
          <w:rFonts w:hint="eastAsia" w:ascii="Times New Roman" w:hAnsi="Times New Roman" w:eastAsia="方正小标宋简体"/>
          <w:sz w:val="44"/>
          <w:szCs w:val="44"/>
        </w:rPr>
        <w:t>关于印发《</w:t>
      </w:r>
      <w:r>
        <w:rPr>
          <w:rFonts w:hint="eastAsia" w:ascii="Times New Roman" w:hAnsi="Times New Roman" w:eastAsia="方正小标宋简体"/>
          <w:bCs/>
          <w:sz w:val="44"/>
          <w:szCs w:val="44"/>
        </w:rPr>
        <w:t>株洲市荷塘区城市生活垃圾分类</w:t>
      </w:r>
    </w:p>
    <w:p w14:paraId="70CF287B">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Times New Roman" w:hAnsi="Times New Roman" w:eastAsia="方正小标宋简体"/>
          <w:sz w:val="44"/>
          <w:szCs w:val="44"/>
        </w:rPr>
      </w:pPr>
      <w:r>
        <w:rPr>
          <w:rFonts w:hint="eastAsia" w:ascii="Times New Roman" w:hAnsi="Times New Roman" w:eastAsia="方正小标宋简体"/>
          <w:bCs/>
          <w:sz w:val="44"/>
          <w:szCs w:val="44"/>
        </w:rPr>
        <w:t>工作实施方案</w:t>
      </w:r>
      <w:r>
        <w:rPr>
          <w:rFonts w:hint="eastAsia" w:ascii="Times New Roman" w:hAnsi="Times New Roman" w:eastAsia="方正小标宋简体"/>
          <w:sz w:val="44"/>
          <w:szCs w:val="44"/>
        </w:rPr>
        <w:t>》的通知</w:t>
      </w:r>
    </w:p>
    <w:p w14:paraId="52125B8B">
      <w:pPr>
        <w:keepNext w:val="0"/>
        <w:keepLines w:val="0"/>
        <w:pageBreakBefore w:val="0"/>
        <w:widowControl w:val="0"/>
        <w:kinsoku/>
        <w:wordWrap/>
        <w:topLinePunct w:val="0"/>
        <w:autoSpaceDE/>
        <w:autoSpaceDN/>
        <w:bidi w:val="0"/>
        <w:adjustRightInd/>
        <w:snapToGrid/>
        <w:spacing w:line="600" w:lineRule="exact"/>
        <w:jc w:val="left"/>
        <w:textAlignment w:val="auto"/>
        <w:rPr>
          <w:rFonts w:ascii="Times New Roman" w:hAnsi="Times New Roman" w:eastAsia="仿宋_GB2312"/>
          <w:sz w:val="32"/>
          <w:szCs w:val="32"/>
        </w:rPr>
      </w:pPr>
    </w:p>
    <w:p w14:paraId="09CBF1D1">
      <w:pPr>
        <w:keepNext w:val="0"/>
        <w:keepLines w:val="0"/>
        <w:pageBreakBefore w:val="0"/>
        <w:widowControl w:val="0"/>
        <w:kinsoku/>
        <w:wordWrap/>
        <w:topLinePunct w:val="0"/>
        <w:autoSpaceDE/>
        <w:autoSpaceDN/>
        <w:bidi w:val="0"/>
        <w:adjustRightInd/>
        <w:snapToGrid/>
        <w:spacing w:line="600" w:lineRule="exact"/>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金山工业园管委会、各街道办事处、区直各部门（单位）、市直驻区各分支机构，各直属事业单位：</w:t>
      </w:r>
    </w:p>
    <w:p w14:paraId="53CBB91A">
      <w:pPr>
        <w:keepNext w:val="0"/>
        <w:keepLines w:val="0"/>
        <w:pageBreakBefore w:val="0"/>
        <w:widowControl w:val="0"/>
        <w:kinsoku/>
        <w:wordWrap/>
        <w:topLinePunct w:val="0"/>
        <w:autoSpaceDE/>
        <w:autoSpaceDN/>
        <w:bidi w:val="0"/>
        <w:adjustRightInd/>
        <w:snapToGrid/>
        <w:spacing w:line="600" w:lineRule="exact"/>
        <w:ind w:firstLine="645"/>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株洲市</w:t>
      </w:r>
      <w:r>
        <w:rPr>
          <w:rFonts w:hint="eastAsia" w:ascii="Times New Roman" w:hAnsi="Times New Roman" w:eastAsia="仿宋_GB2312"/>
          <w:sz w:val="32"/>
          <w:szCs w:val="32"/>
        </w:rPr>
        <w:t>荷塘区城市生活垃圾分类工作</w:t>
      </w:r>
      <w:r>
        <w:rPr>
          <w:rFonts w:hint="eastAsia" w:ascii="Times New Roman" w:hAnsi="Times New Roman" w:eastAsia="仿宋_GB2312"/>
          <w:sz w:val="32"/>
          <w:szCs w:val="32"/>
          <w:lang w:val="en-US" w:eastAsia="zh-CN"/>
        </w:rPr>
        <w:t>实施</w:t>
      </w:r>
      <w:r>
        <w:rPr>
          <w:rFonts w:hint="eastAsia" w:ascii="Times New Roman" w:hAnsi="Times New Roman" w:eastAsia="仿宋_GB2312"/>
          <w:sz w:val="32"/>
          <w:szCs w:val="32"/>
        </w:rPr>
        <w:t>方案》已经区人民政府同意，现印发给你们，请结合实际认真组织实施。</w:t>
      </w:r>
    </w:p>
    <w:p w14:paraId="555E3422">
      <w:pPr>
        <w:keepNext w:val="0"/>
        <w:keepLines w:val="0"/>
        <w:pageBreakBefore w:val="0"/>
        <w:widowControl w:val="0"/>
        <w:kinsoku/>
        <w:wordWrap/>
        <w:topLinePunct w:val="0"/>
        <w:autoSpaceDE/>
        <w:autoSpaceDN/>
        <w:bidi w:val="0"/>
        <w:adjustRightInd/>
        <w:snapToGrid/>
        <w:spacing w:line="600" w:lineRule="exact"/>
        <w:ind w:firstLine="645"/>
        <w:textAlignment w:val="auto"/>
        <w:rPr>
          <w:rFonts w:ascii="Times New Roman" w:hAnsi="Times New Roman" w:eastAsia="仿宋_GB2312"/>
          <w:sz w:val="32"/>
          <w:szCs w:val="32"/>
        </w:rPr>
      </w:pPr>
    </w:p>
    <w:p w14:paraId="5AAA66EB">
      <w:pPr>
        <w:keepNext w:val="0"/>
        <w:keepLines w:val="0"/>
        <w:pageBreakBefore w:val="0"/>
        <w:widowControl w:val="0"/>
        <w:kinsoku/>
        <w:wordWrap/>
        <w:topLinePunct w:val="0"/>
        <w:autoSpaceDE/>
        <w:autoSpaceDN/>
        <w:bidi w:val="0"/>
        <w:adjustRightInd/>
        <w:snapToGrid/>
        <w:spacing w:line="600" w:lineRule="exact"/>
        <w:ind w:firstLine="4000" w:firstLineChars="1250"/>
        <w:jc w:val="center"/>
        <w:textAlignment w:val="auto"/>
        <w:rPr>
          <w:rFonts w:hint="eastAsia" w:ascii="Times New Roman" w:hAnsi="Times New Roman" w:eastAsia="仿宋_GB2312"/>
          <w:sz w:val="32"/>
          <w:szCs w:val="32"/>
        </w:rPr>
      </w:pPr>
    </w:p>
    <w:p w14:paraId="4A3ABCF3">
      <w:pPr>
        <w:keepNext w:val="0"/>
        <w:keepLines w:val="0"/>
        <w:pageBreakBefore w:val="0"/>
        <w:widowControl w:val="0"/>
        <w:kinsoku/>
        <w:wordWrap/>
        <w:topLinePunct w:val="0"/>
        <w:autoSpaceDE/>
        <w:autoSpaceDN/>
        <w:bidi w:val="0"/>
        <w:adjustRightInd/>
        <w:snapToGrid/>
        <w:spacing w:line="600" w:lineRule="exact"/>
        <w:ind w:firstLine="4000" w:firstLineChars="1250"/>
        <w:jc w:val="center"/>
        <w:textAlignment w:val="auto"/>
        <w:rPr>
          <w:rFonts w:ascii="Times New Roman" w:hAnsi="Times New Roman" w:eastAsia="仿宋_GB2312"/>
          <w:sz w:val="32"/>
          <w:szCs w:val="32"/>
        </w:rPr>
      </w:pPr>
      <w:r>
        <w:rPr>
          <w:rFonts w:hint="eastAsia" w:ascii="Times New Roman" w:hAnsi="Times New Roman" w:eastAsia="仿宋_GB2312"/>
          <w:sz w:val="32"/>
          <w:szCs w:val="32"/>
        </w:rPr>
        <w:t>株洲市荷塘区人民政府办公室</w:t>
      </w:r>
    </w:p>
    <w:p w14:paraId="077026CD">
      <w:pPr>
        <w:keepNext w:val="0"/>
        <w:keepLines w:val="0"/>
        <w:pageBreakBefore w:val="0"/>
        <w:widowControl w:val="0"/>
        <w:kinsoku/>
        <w:wordWrap/>
        <w:topLinePunct w:val="0"/>
        <w:autoSpaceDE/>
        <w:autoSpaceDN/>
        <w:bidi w:val="0"/>
        <w:adjustRightInd/>
        <w:snapToGrid/>
        <w:spacing w:line="600" w:lineRule="exact"/>
        <w:ind w:firstLine="4000" w:firstLineChars="1250"/>
        <w:jc w:val="center"/>
        <w:textAlignment w:val="auto"/>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日</w:t>
      </w:r>
    </w:p>
    <w:p w14:paraId="418E80FD">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ascii="Times New Roman" w:hAnsi="Times New Roman" w:eastAsia="方正小标宋简体"/>
          <w:bCs/>
          <w:sz w:val="44"/>
          <w:szCs w:val="44"/>
        </w:rPr>
      </w:pPr>
      <w:r>
        <w:rPr>
          <w:rFonts w:hint="eastAsia" w:ascii="Times New Roman" w:hAnsi="Times New Roman" w:eastAsia="仿宋_GB2312"/>
          <w:sz w:val="32"/>
          <w:szCs w:val="32"/>
        </w:rPr>
        <w:t>（此件主动公开）</w:t>
      </w:r>
    </w:p>
    <w:p w14:paraId="4BE93608">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Times New Roman" w:hAnsi="Times New Roman" w:eastAsia="方正小标宋简体"/>
          <w:bCs/>
          <w:sz w:val="44"/>
          <w:szCs w:val="44"/>
        </w:rPr>
      </w:pPr>
      <w:r>
        <w:rPr>
          <w:rFonts w:hint="eastAsia" w:ascii="Times New Roman" w:hAnsi="Times New Roman" w:eastAsia="方正小标宋简体"/>
          <w:bCs/>
          <w:sz w:val="44"/>
          <w:szCs w:val="44"/>
        </w:rPr>
        <w:t>株洲市荷塘区城市生活垃圾分类工作</w:t>
      </w:r>
    </w:p>
    <w:p w14:paraId="4D443E54">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Times New Roman" w:hAnsi="Times New Roman" w:eastAsia="方正小标宋简体"/>
          <w:bCs/>
          <w:sz w:val="44"/>
          <w:szCs w:val="44"/>
        </w:rPr>
      </w:pPr>
      <w:r>
        <w:rPr>
          <w:rFonts w:hint="eastAsia" w:ascii="Times New Roman" w:hAnsi="Times New Roman" w:eastAsia="方正小标宋简体"/>
          <w:bCs/>
          <w:sz w:val="44"/>
          <w:szCs w:val="44"/>
        </w:rPr>
        <w:t>实施方案</w:t>
      </w:r>
    </w:p>
    <w:p w14:paraId="53C595E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sz w:val="32"/>
          <w:szCs w:val="32"/>
        </w:rPr>
        <w:t>为深入贯彻习近平总书记关于生活垃圾分类工作的系列重要指示批示精神，</w:t>
      </w:r>
      <w:r>
        <w:rPr>
          <w:rFonts w:hint="eastAsia" w:ascii="Times New Roman" w:hAnsi="Times New Roman" w:eastAsia="仿宋_GB2312"/>
          <w:color w:val="000000"/>
          <w:kern w:val="0"/>
          <w:sz w:val="32"/>
          <w:szCs w:val="32"/>
        </w:rPr>
        <w:t>加快推进我区生活垃圾分类工作开展，按照《株洲市人民政府办公室关于印发〈株洲市城市生活垃圾分类工作实施方案〉的通知》（株政办发〔</w:t>
      </w:r>
      <w:r>
        <w:rPr>
          <w:rFonts w:ascii="Times New Roman" w:hAnsi="Times New Roman" w:eastAsia="仿宋_GB2312"/>
          <w:color w:val="000000"/>
          <w:kern w:val="0"/>
          <w:sz w:val="32"/>
          <w:szCs w:val="32"/>
        </w:rPr>
        <w:t>2020</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13</w:t>
      </w:r>
      <w:r>
        <w:rPr>
          <w:rFonts w:hint="eastAsia" w:ascii="Times New Roman" w:hAnsi="Times New Roman" w:eastAsia="仿宋_GB2312"/>
          <w:color w:val="000000"/>
          <w:kern w:val="0"/>
          <w:sz w:val="32"/>
          <w:szCs w:val="32"/>
        </w:rPr>
        <w:t>号）文件要求，结合我区实际，特制定本方案。</w:t>
      </w:r>
    </w:p>
    <w:p w14:paraId="5D982E3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一、指导思想</w:t>
      </w:r>
    </w:p>
    <w:p w14:paraId="514507A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以习近平新时代中国特色社会主义思想为指导，全面落实习近平总书记关于生活垃圾分类的系列重要指示精神，充分认识普遍推行垃圾分类制度作为重大民生工程、重大社会治理工程的重要意义，加快推进以法治为基础、政府推动、全民参与、城乡统筹、因地制宜的生活垃圾分类制度，加快建立分类投放、分类收集、分类运输、分类处理的生活垃圾分类处理系统，将生活垃圾分类作为建设更高水平文明城市的重要抓手，不断改善人居环境，提升城市品质。</w:t>
      </w:r>
    </w:p>
    <w:p w14:paraId="4241F1B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二、基本原则</w:t>
      </w:r>
    </w:p>
    <w:p w14:paraId="1D8EAEA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楷体_GB2312"/>
          <w:color w:val="000000"/>
          <w:sz w:val="32"/>
          <w:szCs w:val="32"/>
        </w:rPr>
        <w:t>（一）政府主导，全民参与。</w:t>
      </w:r>
      <w:r>
        <w:rPr>
          <w:rFonts w:hint="eastAsia" w:ascii="Times New Roman" w:hAnsi="Times New Roman" w:eastAsia="仿宋_GB2312"/>
          <w:color w:val="000000"/>
          <w:sz w:val="32"/>
          <w:szCs w:val="32"/>
        </w:rPr>
        <w:t>落实政府各部门管理责任，形成党政机关、企事业单位、广大市民自觉参与生活垃圾分类的习惯，在全社会营造共同参与垃圾分类的良好氛围。</w:t>
      </w:r>
    </w:p>
    <w:p w14:paraId="69C5630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楷体_GB2312"/>
          <w:color w:val="000000"/>
          <w:sz w:val="32"/>
          <w:szCs w:val="32"/>
        </w:rPr>
        <w:t>（二）属地管理，行业驱动。</w:t>
      </w:r>
      <w:r>
        <w:rPr>
          <w:rFonts w:hint="eastAsia" w:ascii="Times New Roman" w:hAnsi="Times New Roman" w:eastAsia="仿宋_GB2312"/>
          <w:color w:val="000000"/>
          <w:sz w:val="32"/>
          <w:szCs w:val="32"/>
        </w:rPr>
        <w:t>各街道办事处负责辖区内生活垃圾分类的总体推进和属地管理，各行业主管部门负责本行业、本领域的生活垃圾分类管理和指导。</w:t>
      </w:r>
    </w:p>
    <w:p w14:paraId="09016A1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楷体_GB2312"/>
          <w:color w:val="000000"/>
          <w:sz w:val="32"/>
          <w:szCs w:val="32"/>
        </w:rPr>
        <w:t>（三）完善机制，健全体系。</w:t>
      </w:r>
      <w:r>
        <w:rPr>
          <w:rFonts w:hint="eastAsia" w:ascii="Times New Roman" w:hAnsi="Times New Roman" w:eastAsia="仿宋_GB2312"/>
          <w:color w:val="000000"/>
          <w:sz w:val="32"/>
          <w:szCs w:val="32"/>
        </w:rPr>
        <w:t>完善宣传发动、台账管理、监督考核等相关机制，健全分类投放、分类收集、分类运输、分类处理的分类管理体系，统筹发挥好政府、企业、社会、居民等各方作用。</w:t>
      </w:r>
    </w:p>
    <w:p w14:paraId="3905F77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三、工作目标</w:t>
      </w:r>
    </w:p>
    <w:p w14:paraId="236F784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2021</w:t>
      </w:r>
      <w:r>
        <w:rPr>
          <w:rFonts w:hint="eastAsia" w:ascii="Times New Roman" w:hAnsi="Times New Roman" w:eastAsia="仿宋_GB2312"/>
          <w:color w:val="000000" w:themeColor="text1"/>
          <w:sz w:val="32"/>
          <w:szCs w:val="32"/>
          <w14:textFill>
            <w14:solidFill>
              <w14:schemeClr w14:val="tx1"/>
            </w14:solidFill>
          </w14:textFill>
        </w:rPr>
        <w:t>年全区至少有</w:t>
      </w:r>
      <w:r>
        <w:rPr>
          <w:rFonts w:ascii="Times New Roman" w:hAnsi="Times New Roman" w:eastAsia="仿宋_GB2312"/>
          <w:color w:val="000000" w:themeColor="text1"/>
          <w:sz w:val="32"/>
          <w:szCs w:val="32"/>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t>个街道基本建成生活垃圾分类示范片区；</w:t>
      </w:r>
      <w:r>
        <w:rPr>
          <w:rFonts w:ascii="Times New Roman" w:hAnsi="Times New Roman" w:eastAsia="仿宋_GB2312"/>
          <w:color w:val="000000" w:themeColor="text1"/>
          <w:sz w:val="32"/>
          <w:szCs w:val="32"/>
          <w14:textFill>
            <w14:solidFill>
              <w14:schemeClr w14:val="tx1"/>
            </w14:solidFill>
          </w14:textFill>
        </w:rPr>
        <w:t>2022</w:t>
      </w:r>
      <w:r>
        <w:rPr>
          <w:rFonts w:hint="eastAsia" w:ascii="Times New Roman" w:hAnsi="Times New Roman" w:eastAsia="仿宋_GB2312"/>
          <w:color w:val="000000" w:themeColor="text1"/>
          <w:sz w:val="32"/>
          <w:szCs w:val="32"/>
          <w14:textFill>
            <w14:solidFill>
              <w14:schemeClr w14:val="tx1"/>
            </w14:solidFill>
          </w14:textFill>
        </w:rPr>
        <w:t>年全区至少</w:t>
      </w:r>
      <w:r>
        <w:rPr>
          <w:rFonts w:ascii="Times New Roman" w:hAnsi="Times New Roman" w:eastAsia="仿宋_GB2312"/>
          <w:color w:val="000000" w:themeColor="text1"/>
          <w:sz w:val="32"/>
          <w:szCs w:val="32"/>
          <w14:textFill>
            <w14:solidFill>
              <w14:schemeClr w14:val="tx1"/>
            </w14:solidFill>
          </w14:textFill>
        </w:rPr>
        <w:t>60%</w:t>
      </w:r>
      <w:r>
        <w:rPr>
          <w:rFonts w:hint="eastAsia" w:ascii="Times New Roman" w:hAnsi="Times New Roman" w:eastAsia="仿宋_GB2312"/>
          <w:color w:val="000000" w:themeColor="text1"/>
          <w:sz w:val="32"/>
          <w:szCs w:val="32"/>
          <w14:textFill>
            <w14:solidFill>
              <w14:schemeClr w14:val="tx1"/>
            </w14:solidFill>
          </w14:textFill>
        </w:rPr>
        <w:t>以上街道基本建成生活垃圾分类示范片区；</w:t>
      </w:r>
      <w:r>
        <w:rPr>
          <w:rFonts w:ascii="Times New Roman" w:hAnsi="Times New Roman" w:eastAsia="仿宋_GB2312"/>
          <w:color w:val="000000" w:themeColor="text1"/>
          <w:sz w:val="32"/>
          <w:szCs w:val="32"/>
          <w14:textFill>
            <w14:solidFill>
              <w14:schemeClr w14:val="tx1"/>
            </w14:solidFill>
          </w14:textFill>
        </w:rPr>
        <w:t>2023</w:t>
      </w:r>
      <w:r>
        <w:rPr>
          <w:rFonts w:hint="eastAsia" w:ascii="Times New Roman" w:hAnsi="Times New Roman" w:eastAsia="仿宋_GB2312"/>
          <w:color w:val="000000" w:themeColor="text1"/>
          <w:sz w:val="32"/>
          <w:szCs w:val="32"/>
          <w14:textFill>
            <w14:solidFill>
              <w14:schemeClr w14:val="tx1"/>
            </w14:solidFill>
          </w14:textFill>
        </w:rPr>
        <w:t>年全区生活垃圾分类全覆盖。</w:t>
      </w:r>
    </w:p>
    <w:p w14:paraId="7B92DFE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四、生活垃圾分类基本类型和要求</w:t>
      </w:r>
    </w:p>
    <w:p w14:paraId="57D1034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生活垃圾分类以“可回收物、有害垃圾、厨余垃圾（餐厨垃圾、家庭厨余垃圾和其他厨余垃圾）、其他垃圾”为基本类型，确保有害垃圾单独投放。除上述四大类外，大件垃圾、建筑垃圾、园林绿化垃圾等单独分类、独立处理，提高资源化利用效率，减轻生活垃圾终端处置设施负担。</w:t>
      </w:r>
    </w:p>
    <w:p w14:paraId="15CF966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党政机关、学校、企事业单位、群团组织、宾馆酒店、商场商铺等机构产生的垃圾，以“有害垃圾、可回收物、其他垃圾”为分类基本类型。车站、码头、广场、公园、城市干道、体育场馆等公共区域，根据生活垃圾产生的实际情况合理确定分类模式。</w:t>
      </w:r>
    </w:p>
    <w:p w14:paraId="362BFB3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五、加强生活垃圾等分类配套体系建设</w:t>
      </w:r>
    </w:p>
    <w:p w14:paraId="7F2A811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楷体_GB2312"/>
          <w:color w:val="000000"/>
          <w:sz w:val="32"/>
          <w:szCs w:val="32"/>
        </w:rPr>
      </w:pPr>
      <w:r>
        <w:rPr>
          <w:rFonts w:hint="eastAsia" w:ascii="Times New Roman" w:hAnsi="Times New Roman" w:eastAsia="楷体_GB2312"/>
          <w:color w:val="000000"/>
          <w:sz w:val="32"/>
          <w:szCs w:val="32"/>
        </w:rPr>
        <w:t>（一）开展源头减量</w:t>
      </w:r>
    </w:p>
    <w:p w14:paraId="12E03F2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1.严格执行国家限制商品过度包装标准，减少包装废弃物产生，促进快递包装物减量化和循环使用。</w:t>
      </w:r>
    </w:p>
    <w:p w14:paraId="150A437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2.加强对果蔬生产基地、农贸市场、标准化菜场、超市的管理，积极推行净菜上市。</w:t>
      </w:r>
    </w:p>
    <w:p w14:paraId="5F1BAC4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3.加大“限塑令”执行力度，推广和引导消费者使用菜篮子、布袋子等环保包装。</w:t>
      </w:r>
    </w:p>
    <w:p w14:paraId="41932E7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4.党政机关、事业单位、企业和社会团体要提高再生纸的使用比例，减少使用一次性办公用品和一次性杯具。</w:t>
      </w:r>
    </w:p>
    <w:p w14:paraId="5B03DA2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5.餐饮服务提供者和餐饮配送服务提供者不得主动向消费者提供一次性筷子、调羹等餐具。旅馆经营单位不得主动向消费者提供客房一次性用品。</w:t>
      </w:r>
    </w:p>
    <w:p w14:paraId="5BA25F1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仿宋_GB2312" w:hAnsi="仿宋_GB2312" w:eastAsia="仿宋_GB2312" w:cs="仿宋_GB2312"/>
          <w:sz w:val="32"/>
          <w:szCs w:val="32"/>
        </w:rPr>
        <w:t>6.鼓励和支持铝合金模板、装配式建筑、精装修住宅在建筑工程中的应用，降低建筑施工和房屋装修建筑垃圾产生。</w:t>
      </w:r>
    </w:p>
    <w:p w14:paraId="570DC02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楷体_GB2312"/>
          <w:sz w:val="32"/>
          <w:szCs w:val="32"/>
        </w:rPr>
      </w:pPr>
      <w:r>
        <w:rPr>
          <w:rFonts w:hint="eastAsia" w:ascii="Times New Roman" w:hAnsi="Times New Roman" w:eastAsia="楷体_GB2312"/>
          <w:sz w:val="32"/>
          <w:szCs w:val="32"/>
        </w:rPr>
        <w:t>（二）规范分类投放</w:t>
      </w:r>
    </w:p>
    <w:p w14:paraId="633F3F2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1.鼓励开展社区生活垃圾定时定点投放。启动生活垃圾分类的社区小区，要安排现场引导员，做好生活垃圾分类投放的现场宣传和引导，做好台账记录，纠正不规范的投放行为。</w:t>
      </w:r>
    </w:p>
    <w:p w14:paraId="781D2BC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2.鼓励居民在家中滤出厨余垃圾水分，</w:t>
      </w:r>
      <w:r>
        <w:rPr>
          <w:rFonts w:hint="eastAsia" w:ascii="仿宋_GB2312" w:hAnsi="仿宋_GB2312" w:eastAsia="仿宋_GB2312" w:cs="仿宋_GB2312"/>
          <w:sz w:val="32"/>
          <w:szCs w:val="32"/>
          <w:lang w:val="en-US" w:eastAsia="zh-CN"/>
        </w:rPr>
        <w:t>采</w:t>
      </w:r>
      <w:r>
        <w:rPr>
          <w:rFonts w:hint="eastAsia" w:ascii="仿宋_GB2312" w:hAnsi="仿宋_GB2312" w:eastAsia="仿宋_GB2312" w:cs="仿宋_GB2312"/>
          <w:sz w:val="32"/>
          <w:szCs w:val="32"/>
        </w:rPr>
        <w:t>用专用容器盛放，减少塑料袋使用。</w:t>
      </w:r>
    </w:p>
    <w:p w14:paraId="606675B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仿宋_GB2312" w:hAnsi="仿宋_GB2312" w:eastAsia="仿宋_GB2312" w:cs="仿宋_GB2312"/>
          <w:sz w:val="32"/>
          <w:szCs w:val="32"/>
        </w:rPr>
        <w:t>3.依靠街道社区党组织，统筹社区居委会、业主委员会、物业公司力量，发动社区党员骨干、热心市民、志愿者等共同参与宣传和现场引导，监督生活垃圾分类。</w:t>
      </w:r>
    </w:p>
    <w:p w14:paraId="18EF2FF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楷体_GB2312"/>
          <w:sz w:val="32"/>
          <w:szCs w:val="32"/>
        </w:rPr>
      </w:pPr>
      <w:r>
        <w:rPr>
          <w:rFonts w:hint="eastAsia" w:ascii="Times New Roman" w:hAnsi="Times New Roman" w:eastAsia="楷体_GB2312"/>
          <w:sz w:val="32"/>
          <w:szCs w:val="32"/>
        </w:rPr>
        <w:t>（三）加强分类收集</w:t>
      </w:r>
    </w:p>
    <w:p w14:paraId="25919F0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1.实施生活垃圾分类的单位、社区要优化布局，合理设置垃圾箱房、垃圾桶站等生活垃圾分类站点，并提供分类投放所需器具、设备及条件。</w:t>
      </w:r>
    </w:p>
    <w:p w14:paraId="7741BE4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2.生活垃圾分类收集容器、箱房、桶站应喷涂统一、规范、清晰的标志和标识，做到功能完善、干净无味。</w:t>
      </w:r>
    </w:p>
    <w:p w14:paraId="7A20E63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害垃圾按照便利、安全原则，设置专门贮存场所。大件垃圾和装修垃圾临时堆放场地单独设置，并通过设置隔离墙、防尘罩、加盖等措施，减少对居民生活的影响，确保装修垃圾、大件垃圾不乱堆乱放，不混入生活垃圾。</w:t>
      </w:r>
    </w:p>
    <w:p w14:paraId="7CDD2B2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4.有关单位和社区应同步公示生活垃圾收集点的分布、开放时间，以及各类生活垃圾收集、运输、处置责任单位、收运频率、收运时间和处置去向等信息。</w:t>
      </w:r>
    </w:p>
    <w:p w14:paraId="53F424C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楷体_GB2312"/>
          <w:sz w:val="32"/>
          <w:szCs w:val="32"/>
        </w:rPr>
      </w:pPr>
      <w:r>
        <w:rPr>
          <w:rFonts w:hint="eastAsia" w:ascii="Times New Roman" w:hAnsi="Times New Roman" w:eastAsia="楷体_GB2312"/>
          <w:sz w:val="32"/>
          <w:szCs w:val="32"/>
        </w:rPr>
        <w:t>（四）配套分类运输</w:t>
      </w:r>
    </w:p>
    <w:p w14:paraId="55EDF2A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1.分类后的生活垃圾必须实行分类运输，要以确保全程分类为目标，建立和完善分类后各类生活垃圾的分类运输系统。</w:t>
      </w:r>
    </w:p>
    <w:p w14:paraId="705180F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2.按照区域内各类生活垃圾产生量，合理确定收运频次、收运时间和运输线路，配足、配齐分类运输车辆。</w:t>
      </w:r>
    </w:p>
    <w:p w14:paraId="557AF45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3.生活垃圾分类运输车辆应喷涂统一、规范、清晰的标志和标识，明示所承运的生活垃圾种类。</w:t>
      </w:r>
    </w:p>
    <w:p w14:paraId="3669F2A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仿宋_GB2312" w:hAnsi="仿宋_GB2312" w:eastAsia="仿宋_GB2312" w:cs="仿宋_GB2312"/>
          <w:sz w:val="32"/>
          <w:szCs w:val="32"/>
        </w:rPr>
        <w:t>4.有中转需要的，中转站点应满足分类运输、暂存条件，符合密闭、环保、高效的要求。</w:t>
      </w:r>
    </w:p>
    <w:p w14:paraId="7D0D915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5.加强有害垃圾运输过程的污染控制，确保环境安全。</w:t>
      </w:r>
    </w:p>
    <w:p w14:paraId="7504363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6.加强生活垃圾分类运输准入管理，推动公司化专业收运服务企业向小区延伸，改变小、散、差的垃圾前端运输现状。</w:t>
      </w:r>
    </w:p>
    <w:p w14:paraId="22C8D63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仿宋_GB2312" w:hAnsi="仿宋_GB2312" w:eastAsia="仿宋_GB2312" w:cs="仿宋_GB2312"/>
          <w:sz w:val="32"/>
          <w:szCs w:val="32"/>
        </w:rPr>
        <w:t>7.加大运输环节管理力度，做好物业部门和环境卫生部门的衔接，防止生活垃圾“先分后混”“混装混运”。</w:t>
      </w:r>
    </w:p>
    <w:p w14:paraId="5340973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楷体_GB2312"/>
          <w:sz w:val="32"/>
          <w:szCs w:val="32"/>
          <w:lang w:eastAsia="zh-CN"/>
        </w:rPr>
      </w:pPr>
      <w:r>
        <w:rPr>
          <w:rFonts w:hint="eastAsia" w:ascii="Times New Roman" w:hAnsi="Times New Roman" w:eastAsia="楷体_GB2312"/>
          <w:sz w:val="32"/>
          <w:szCs w:val="32"/>
        </w:rPr>
        <w:t>（五）提高可回收物回收利用</w:t>
      </w:r>
      <w:r>
        <w:rPr>
          <w:rFonts w:hint="eastAsia" w:ascii="Times New Roman" w:hAnsi="Times New Roman" w:eastAsia="楷体_GB2312"/>
          <w:sz w:val="32"/>
          <w:szCs w:val="32"/>
          <w:lang w:val="en-US" w:eastAsia="zh-CN"/>
        </w:rPr>
        <w:t>率</w:t>
      </w:r>
    </w:p>
    <w:p w14:paraId="2B70825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1.强化产品制造企业与销售企业的产品及包装物回收再利用责任，通过“以旧换新”、“押金退换”等方式，利用现有物流体系，探索开展废弃电子产品、包装物等再生资源品种逆向物流体系建设。</w:t>
      </w:r>
    </w:p>
    <w:p w14:paraId="2F08C0D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2.优化城市再生资源回收体系，整合规范再生资源回收网点，规范城市收旧行为，鼓励实施企业化运作，促进垃圾分类与再生资源回收利用“两网融合”。</w:t>
      </w:r>
    </w:p>
    <w:p w14:paraId="6DCA77C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3.建设城市可回收物分拣中心，通过政府制定低价值可回收物补贴政策，培育玻璃制品、塑料等低值可回收物利用市场。</w:t>
      </w:r>
    </w:p>
    <w:p w14:paraId="2130C88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4.鼓励在收集、分拣、转运、处理等环节融合发展，构建从生活垃圾分类到回收利用的完整产业链，提高处理企业的规模化、集约化水平。</w:t>
      </w:r>
    </w:p>
    <w:p w14:paraId="0DF442C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5.建立再生资源回收利用信息化平台，提供回收种类、交易价格、回收方式等信息。</w:t>
      </w:r>
    </w:p>
    <w:p w14:paraId="352328C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楷体_GB2312"/>
          <w:sz w:val="32"/>
          <w:szCs w:val="32"/>
        </w:rPr>
      </w:pPr>
      <w:r>
        <w:rPr>
          <w:rFonts w:hint="eastAsia" w:ascii="Times New Roman" w:hAnsi="Times New Roman" w:eastAsia="楷体_GB2312"/>
          <w:sz w:val="32"/>
          <w:szCs w:val="32"/>
        </w:rPr>
        <w:t>（六）规范收集处理有害垃圾</w:t>
      </w:r>
    </w:p>
    <w:p w14:paraId="5411F82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居民生活垃圾中的有害垃圾应该分类投放，在社区设立固定回收点或设置专门容器分类收集、独立储存，由社区居委会、物业公司等负责管理，按照《国家危险废物名录》要求分类，由具备相应运输和处置利用资质的危险废物经营单位按要求开展运输和处置利用。</w:t>
      </w:r>
    </w:p>
    <w:p w14:paraId="1DA1F5E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2.生态环境部门加强家庭源危险废物贮存、处置利用的指导、监督和管理，交通运输部门加强危险废物运输的监督管理。</w:t>
      </w:r>
    </w:p>
    <w:p w14:paraId="7089FEC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楷体_GB2312"/>
          <w:sz w:val="32"/>
          <w:szCs w:val="32"/>
        </w:rPr>
      </w:pPr>
      <w:r>
        <w:rPr>
          <w:rFonts w:hint="eastAsia" w:ascii="Times New Roman" w:hAnsi="Times New Roman" w:eastAsia="楷体_GB2312"/>
          <w:sz w:val="32"/>
          <w:szCs w:val="32"/>
        </w:rPr>
        <w:t>（七）配合推进垃圾分类处置</w:t>
      </w:r>
    </w:p>
    <w:p w14:paraId="7C6EBA0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配合市级部门采取长期布局和过渡安排相结合的方式，加快落实生活垃圾焚烧厂二期、餐厨垃圾处理厂二期、建筑垃圾资源化处置、大件垃圾和园林绿化垃圾处理、生活垃圾应急填埋、厨余垃圾处理、再生资源回收分拣等处置设施建设，对南郊生活垃圾填埋场实施环保封场，形成“焚烧、资源综合利用与生化处理为主、就地处理为补充、填埋为应急保障”的垃圾分类处理设施体系。</w:t>
      </w:r>
    </w:p>
    <w:p w14:paraId="3FF3160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配合市级部门采用国内先进成熟的技术工艺，推进餐厨垃圾资源化利用，杜绝地沟油回流餐桌，严禁餐厨垃圾直接饲喂生猪。探索餐厨垃圾与厨余垃圾协同处置。建立和完善餐厨垃圾产业化发展、市场化运作和资源化利用机制，推广餐厨垃圾资源化利用产品示范应用</w:t>
      </w:r>
      <w:r>
        <w:rPr>
          <w:rFonts w:hint="eastAsia" w:ascii="仿宋_GB2312" w:hAnsi="仿宋_GB2312" w:eastAsia="仿宋_GB2312" w:cs="仿宋_GB2312"/>
          <w:sz w:val="32"/>
          <w:szCs w:val="32"/>
          <w:lang w:eastAsia="zh-CN"/>
        </w:rPr>
        <w:t>。</w:t>
      </w:r>
    </w:p>
    <w:p w14:paraId="0058010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施建筑垃圾资源化处置利用实行特许经营制度。根据建筑垃圾产生量及其分布，合理规划布局建筑垃圾资源化利用设施，采取固定与移动、厂区和现场相结合的资源化利用处置方式，尽可能实现就地处理、就地就近回</w:t>
      </w:r>
      <w:r>
        <w:rPr>
          <w:rFonts w:hint="eastAsia" w:ascii="仿宋_GB2312" w:hAnsi="仿宋_GB2312" w:eastAsia="仿宋_GB2312" w:cs="仿宋_GB2312"/>
          <w:sz w:val="32"/>
          <w:szCs w:val="32"/>
          <w:lang w:val="en-US" w:eastAsia="zh-CN"/>
        </w:rPr>
        <w:t>收利</w:t>
      </w:r>
      <w:r>
        <w:rPr>
          <w:rFonts w:hint="eastAsia" w:ascii="仿宋_GB2312" w:hAnsi="仿宋_GB2312" w:eastAsia="仿宋_GB2312" w:cs="仿宋_GB2312"/>
          <w:sz w:val="32"/>
          <w:szCs w:val="32"/>
        </w:rPr>
        <w:t>用。鼓励利用建筑垃圾生产再生骨料、路基路面材料、路面透水砖、砌块、市政工程构配件等新型绿色建材，制定相关标准，推动企业产品结构优化升级，拓展建筑垃圾再生产品的应用领域。</w:t>
      </w:r>
    </w:p>
    <w:p w14:paraId="089902C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城市绿化养护以及公园绿地、风景名胜区产生的枝叶、树木等实施集中分类处理。根据园林绿化垃圾产生量，合理建设就地处置或适度集中的园林绿化垃圾处理设施，探索建立园林绿化大型枝干垃圾与大件垃圾协同处置体系。</w:t>
      </w:r>
    </w:p>
    <w:p w14:paraId="7CE3EA6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5.推进有条件的农贸市场、蔬菜水果批发市场、学校、大型企业等厨余垃圾产生量较大的单位自行建设相对集中的处理设施，减轻生活垃圾焚烧和卫生填埋设施处置压力。</w:t>
      </w:r>
    </w:p>
    <w:p w14:paraId="38DE28C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楷体_GB2312"/>
          <w:sz w:val="32"/>
          <w:szCs w:val="32"/>
        </w:rPr>
      </w:pPr>
      <w:r>
        <w:rPr>
          <w:rFonts w:hint="eastAsia" w:ascii="Times New Roman" w:hAnsi="Times New Roman" w:eastAsia="楷体_GB2312"/>
          <w:sz w:val="32"/>
          <w:szCs w:val="32"/>
        </w:rPr>
        <w:t>（八）打造垃圾分类信息平台</w:t>
      </w:r>
    </w:p>
    <w:p w14:paraId="6F37C39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1.综合运用</w:t>
      </w:r>
      <w:r>
        <w:rPr>
          <w:rFonts w:hint="eastAsia" w:ascii="仿宋_GB2312" w:hAnsi="仿宋_GB2312" w:eastAsia="仿宋_GB2312" w:cs="仿宋_GB2312"/>
          <w:sz w:val="32"/>
          <w:szCs w:val="32"/>
          <w:lang w:val="en-US" w:eastAsia="zh-CN"/>
        </w:rPr>
        <w:t>互</w:t>
      </w:r>
      <w:r>
        <w:rPr>
          <w:rFonts w:hint="eastAsia" w:ascii="仿宋_GB2312" w:hAnsi="仿宋_GB2312" w:eastAsia="仿宋_GB2312" w:cs="仿宋_GB2312"/>
          <w:sz w:val="32"/>
          <w:szCs w:val="32"/>
        </w:rPr>
        <w:t>联网、云计算、大数据等信息技术构建生活垃圾分类治理信息平台。实时</w:t>
      </w:r>
      <w:r>
        <w:rPr>
          <w:rFonts w:hint="eastAsia" w:ascii="仿宋_GB2312" w:hAnsi="仿宋_GB2312" w:eastAsia="仿宋_GB2312" w:cs="仿宋_GB2312"/>
          <w:sz w:val="32"/>
          <w:szCs w:val="32"/>
          <w:lang w:val="en-US" w:eastAsia="zh-CN"/>
        </w:rPr>
        <w:t>采</w:t>
      </w:r>
      <w:r>
        <w:rPr>
          <w:rFonts w:hint="eastAsia" w:ascii="仿宋_GB2312" w:hAnsi="仿宋_GB2312" w:eastAsia="仿宋_GB2312" w:cs="仿宋_GB2312"/>
          <w:sz w:val="32"/>
          <w:szCs w:val="32"/>
        </w:rPr>
        <w:t>集源头分类、资源回收、终端处理等相关信息，规范垃圾分类计量，对垃圾分类收运车辆信息、作业轨迹进行实时监控，实现垃圾分类精细化管理和全过程监管，为垃圾分类治理的开展提供数据支撑。</w:t>
      </w:r>
    </w:p>
    <w:p w14:paraId="0DCB7CF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2.通过信息平台推进生活垃圾分类治理信息公开，定期公布各种垃圾的最终流向、生活垃圾分类治理的效果等，加强政府与企业、公众的互动沟通。</w:t>
      </w:r>
    </w:p>
    <w:p w14:paraId="356F62C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六、推动建立全民参与的共治体系</w:t>
      </w:r>
    </w:p>
    <w:p w14:paraId="427E406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楷体_GB2312"/>
          <w:sz w:val="32"/>
          <w:szCs w:val="32"/>
        </w:rPr>
      </w:pPr>
      <w:r>
        <w:rPr>
          <w:rFonts w:hint="eastAsia" w:ascii="Times New Roman" w:hAnsi="Times New Roman" w:eastAsia="楷体_GB2312"/>
          <w:sz w:val="32"/>
          <w:szCs w:val="32"/>
        </w:rPr>
        <w:t>（一）开展垃圾分类示范建设</w:t>
      </w:r>
    </w:p>
    <w:p w14:paraId="32B7A78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1.公共机构率先示范。要组织党政机关，学校、医院、科研、文化、出版、广播电视等单位，协会、学会等社团组织，车站、码头、体育场馆、演出</w:t>
      </w:r>
      <w:r>
        <w:rPr>
          <w:rFonts w:hint="eastAsia" w:ascii="仿宋_GB2312" w:hAnsi="仿宋_GB2312" w:eastAsia="仿宋_GB2312" w:cs="仿宋_GB2312"/>
          <w:color w:val="000000"/>
          <w:sz w:val="32"/>
          <w:szCs w:val="32"/>
        </w:rPr>
        <w:t>场馆等公共场所管</w:t>
      </w:r>
      <w:r>
        <w:rPr>
          <w:rFonts w:hint="eastAsia" w:ascii="仿宋_GB2312" w:hAnsi="仿宋_GB2312" w:eastAsia="仿宋_GB2312" w:cs="仿宋_GB2312"/>
          <w:sz w:val="32"/>
          <w:szCs w:val="32"/>
        </w:rPr>
        <w:t>理单位，率先实行生活垃圾强制分类，形成党政机关带头示范，全社会普遍参与的良好局面。</w:t>
      </w:r>
    </w:p>
    <w:p w14:paraId="6372348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2.辖区国有企业和宾馆、饭店、购物中心、超市、专业市场、农贸市场、农产品批发市场、商铺、商用写字楼等经营场所，比照党政机关落实生活垃圾分类要求。</w:t>
      </w:r>
    </w:p>
    <w:p w14:paraId="5A2EDA3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3.按照属地管理原则，通过军地协作，共同推进军队营区生活垃圾分类工作。</w:t>
      </w:r>
    </w:p>
    <w:p w14:paraId="7B2A29F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4.建设示范片区。以街道为单位，开展生活垃圾分类示范片区建设，辖区内新交付居民小区实行生活垃圾分类示范创建。创建生活</w:t>
      </w:r>
      <w:r>
        <w:rPr>
          <w:rFonts w:hint="eastAsia" w:ascii="仿宋_GB2312" w:hAnsi="仿宋_GB2312" w:eastAsia="仿宋_GB2312" w:cs="仿宋_GB2312"/>
          <w:sz w:val="32"/>
          <w:szCs w:val="32"/>
          <w:lang w:eastAsia="zh-CN"/>
        </w:rPr>
        <w:t>垃圾</w:t>
      </w:r>
      <w:r>
        <w:rPr>
          <w:rFonts w:hint="eastAsia" w:ascii="仿宋_GB2312" w:hAnsi="仿宋_GB2312" w:eastAsia="仿宋_GB2312" w:cs="仿宋_GB2312"/>
          <w:sz w:val="32"/>
          <w:szCs w:val="32"/>
        </w:rPr>
        <w:t>分类示范单位、示范小区和示范社区、示范街道，以生活垃圾分类示范片区为基础，以点带面，逐步将生活</w:t>
      </w:r>
      <w:r>
        <w:rPr>
          <w:rFonts w:hint="eastAsia" w:ascii="仿宋_GB2312" w:hAnsi="仿宋_GB2312" w:eastAsia="仿宋_GB2312" w:cs="仿宋_GB2312"/>
          <w:sz w:val="32"/>
          <w:szCs w:val="32"/>
          <w:lang w:eastAsia="zh-CN"/>
        </w:rPr>
        <w:t>垃圾</w:t>
      </w:r>
      <w:r>
        <w:rPr>
          <w:rFonts w:hint="eastAsia" w:ascii="仿宋_GB2312" w:hAnsi="仿宋_GB2312" w:eastAsia="仿宋_GB2312" w:cs="仿宋_GB2312"/>
          <w:sz w:val="32"/>
          <w:szCs w:val="32"/>
        </w:rPr>
        <w:t>分类工作扩大到全区。</w:t>
      </w:r>
    </w:p>
    <w:p w14:paraId="4C20600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楷体_GB2312"/>
          <w:sz w:val="32"/>
          <w:szCs w:val="32"/>
        </w:rPr>
      </w:pPr>
      <w:r>
        <w:rPr>
          <w:rFonts w:hint="eastAsia" w:ascii="Times New Roman" w:hAnsi="Times New Roman" w:eastAsia="楷体_GB2312"/>
          <w:sz w:val="32"/>
          <w:szCs w:val="32"/>
        </w:rPr>
        <w:t>（二）夯实学校教育基础</w:t>
      </w:r>
    </w:p>
    <w:p w14:paraId="01FEF11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1.深入开展</w:t>
      </w:r>
      <w:r>
        <w:rPr>
          <w:rFonts w:hint="eastAsia" w:ascii="仿宋_GB2312" w:hAnsi="仿宋_GB2312" w:eastAsia="仿宋_GB2312" w:cs="仿宋_GB2312"/>
          <w:sz w:val="32"/>
          <w:szCs w:val="32"/>
          <w:lang w:eastAsia="zh-CN"/>
        </w:rPr>
        <w:t>垃圾</w:t>
      </w:r>
      <w:r>
        <w:rPr>
          <w:rFonts w:hint="eastAsia" w:ascii="仿宋_GB2312" w:hAnsi="仿宋_GB2312" w:eastAsia="仿宋_GB2312" w:cs="仿宋_GB2312"/>
          <w:sz w:val="32"/>
          <w:szCs w:val="32"/>
        </w:rPr>
        <w:t>分类进教材、进校园、进课堂等活动。编写幼儿园、小学、中学、高等院校四种版本的生活垃圾分类教材，把垃圾分类知识纳入幼儿园、中小学校、高等院校教育内容，依托课堂教学、校园文化等平台</w:t>
      </w:r>
      <w:r>
        <w:rPr>
          <w:rFonts w:hint="eastAsia" w:ascii="仿宋_GB2312" w:hAnsi="仿宋_GB2312" w:eastAsia="仿宋_GB2312" w:cs="仿宋_GB2312"/>
          <w:sz w:val="32"/>
          <w:szCs w:val="32"/>
          <w:highlight w:val="none"/>
        </w:rPr>
        <w:t>，培养一代人良好的生</w:t>
      </w:r>
      <w:r>
        <w:rPr>
          <w:rFonts w:hint="eastAsia" w:ascii="仿宋_GB2312" w:hAnsi="仿宋_GB2312" w:eastAsia="仿宋_GB2312" w:cs="仿宋_GB2312"/>
          <w:sz w:val="32"/>
          <w:szCs w:val="32"/>
        </w:rPr>
        <w:t>态文明习惯和公共意识。</w:t>
      </w:r>
    </w:p>
    <w:p w14:paraId="57B7925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2.全区学校开展生活</w:t>
      </w:r>
      <w:r>
        <w:rPr>
          <w:rFonts w:hint="eastAsia" w:ascii="仿宋_GB2312" w:hAnsi="仿宋_GB2312" w:eastAsia="仿宋_GB2312" w:cs="仿宋_GB2312"/>
          <w:sz w:val="32"/>
          <w:szCs w:val="32"/>
          <w:lang w:eastAsia="zh-CN"/>
        </w:rPr>
        <w:t>垃圾</w:t>
      </w:r>
      <w:r>
        <w:rPr>
          <w:rFonts w:hint="eastAsia" w:ascii="仿宋_GB2312" w:hAnsi="仿宋_GB2312" w:eastAsia="仿宋_GB2312" w:cs="仿宋_GB2312"/>
          <w:sz w:val="32"/>
          <w:szCs w:val="32"/>
        </w:rPr>
        <w:t>分类社会实践活动，加强学生与家长之间的互动，通过“小手拉大手”宣传带动作用，将</w:t>
      </w:r>
      <w:r>
        <w:rPr>
          <w:rFonts w:hint="eastAsia" w:ascii="仿宋_GB2312" w:hAnsi="仿宋_GB2312" w:eastAsia="仿宋_GB2312" w:cs="仿宋_GB2312"/>
          <w:sz w:val="32"/>
          <w:szCs w:val="32"/>
          <w:lang w:eastAsia="zh-CN"/>
        </w:rPr>
        <w:t>垃圾</w:t>
      </w:r>
      <w:r>
        <w:rPr>
          <w:rFonts w:hint="eastAsia" w:ascii="仿宋_GB2312" w:hAnsi="仿宋_GB2312" w:eastAsia="仿宋_GB2312" w:cs="仿宋_GB2312"/>
          <w:sz w:val="32"/>
          <w:szCs w:val="32"/>
        </w:rPr>
        <w:t>分类教育从学校延伸到社区、家庭，实现教育一个孩子，带动一个家庭，文明一个学校，带动一片社区。</w:t>
      </w:r>
    </w:p>
    <w:p w14:paraId="1213407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楷体_GB2312"/>
          <w:sz w:val="32"/>
          <w:szCs w:val="32"/>
        </w:rPr>
      </w:pPr>
      <w:r>
        <w:rPr>
          <w:rFonts w:hint="eastAsia" w:ascii="Times New Roman" w:hAnsi="Times New Roman" w:eastAsia="楷体_GB2312"/>
          <w:sz w:val="32"/>
          <w:szCs w:val="32"/>
        </w:rPr>
        <w:t>（三）开展青少年志愿活动</w:t>
      </w:r>
    </w:p>
    <w:p w14:paraId="1BB8FFA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鼓励和引导青少年积极参与生活垃圾分类，践行绿色生活，树立生态文明价值观。</w:t>
      </w:r>
    </w:p>
    <w:p w14:paraId="20A01A7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传播绿色理念，让绿色、低碳成为广大青少年的时尚追求。</w:t>
      </w:r>
    </w:p>
    <w:p w14:paraId="374FD11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组建绿色队伍，培育青少年参与生态环保专业化团队，不断提升志愿活动的专业化水平。</w:t>
      </w:r>
    </w:p>
    <w:p w14:paraId="5833079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参与绿色实践，深入基层社区参与生活垃圾分类宣传、引导和服务等活动，使广大青少年在生活垃圾分类工作中发挥</w:t>
      </w:r>
      <w:r>
        <w:rPr>
          <w:rFonts w:hint="eastAsia" w:ascii="仿宋_GB2312" w:hAnsi="仿宋_GB2312" w:eastAsia="仿宋_GB2312" w:cs="仿宋_GB2312"/>
          <w:sz w:val="32"/>
          <w:szCs w:val="32"/>
          <w:lang w:val="en-US" w:eastAsia="zh-CN"/>
        </w:rPr>
        <w:t>主</w:t>
      </w:r>
      <w:r>
        <w:rPr>
          <w:rFonts w:hint="eastAsia" w:ascii="仿宋_GB2312" w:hAnsi="仿宋_GB2312" w:eastAsia="仿宋_GB2312" w:cs="仿宋_GB2312"/>
          <w:sz w:val="32"/>
          <w:szCs w:val="32"/>
        </w:rPr>
        <w:t>力军和突击队作用。</w:t>
      </w:r>
    </w:p>
    <w:p w14:paraId="79214AD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楷体_GB2312"/>
          <w:sz w:val="32"/>
          <w:szCs w:val="32"/>
        </w:rPr>
      </w:pPr>
      <w:r>
        <w:rPr>
          <w:rFonts w:hint="eastAsia" w:ascii="Times New Roman" w:hAnsi="Times New Roman" w:eastAsia="楷体_GB2312"/>
          <w:sz w:val="32"/>
          <w:szCs w:val="32"/>
        </w:rPr>
        <w:t>（四）动员家庭积极参与</w:t>
      </w:r>
    </w:p>
    <w:p w14:paraId="01C472A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通过开展形式多样的社会宣传、主题实践等活动，面向广大家庭大力传播习近平生态文明思想和理念，倡导绿色生活方式，普及生活垃圾分类</w:t>
      </w:r>
      <w:r>
        <w:rPr>
          <w:rFonts w:hint="eastAsia" w:ascii="Times New Roman" w:hAnsi="Times New Roman" w:eastAsia="仿宋_GB2312"/>
          <w:sz w:val="32"/>
          <w:szCs w:val="32"/>
          <w:lang w:val="en-US" w:eastAsia="zh-CN"/>
        </w:rPr>
        <w:t>常识</w:t>
      </w:r>
      <w:r>
        <w:rPr>
          <w:rFonts w:hint="eastAsia" w:ascii="Times New Roman" w:hAnsi="Times New Roman" w:eastAsia="仿宋_GB2312"/>
          <w:sz w:val="32"/>
          <w:szCs w:val="32"/>
        </w:rPr>
        <w:t>。</w:t>
      </w:r>
    </w:p>
    <w:p w14:paraId="6CA1374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引导家庭成员从自身做起，从点滴做起，自觉成为生活垃圾分类的参与者、践行者、推动者。</w:t>
      </w:r>
    </w:p>
    <w:p w14:paraId="39A08A0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楷体_GB2312"/>
          <w:sz w:val="32"/>
          <w:szCs w:val="32"/>
        </w:rPr>
      </w:pPr>
      <w:r>
        <w:rPr>
          <w:rFonts w:hint="eastAsia" w:ascii="Times New Roman" w:hAnsi="Times New Roman" w:eastAsia="楷体_GB2312"/>
          <w:sz w:val="32"/>
          <w:szCs w:val="32"/>
        </w:rPr>
        <w:t>（五）广泛宣传发动</w:t>
      </w:r>
    </w:p>
    <w:p w14:paraId="2CB8D14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ascii="Times New Roman" w:hAnsi="Times New Roman" w:eastAsia="仿宋_GB2312"/>
          <w:sz w:val="32"/>
          <w:szCs w:val="32"/>
        </w:rPr>
        <w:t>1.</w:t>
      </w:r>
      <w:r>
        <w:rPr>
          <w:rFonts w:hint="eastAsia" w:ascii="仿宋_GB2312" w:hAnsi="仿宋_GB2312" w:eastAsia="仿宋_GB2312" w:cs="仿宋_GB2312"/>
          <w:sz w:val="32"/>
          <w:szCs w:val="32"/>
        </w:rPr>
        <w:t>利用多种载体开展宣传，提高市民垃圾分类减量的知晓率。大力宣传生活垃圾分类的意义，普及生活垃圾分类知识。制定生活垃圾分类宣传发动方案，编制城</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生活垃圾分类科普手册，制作公益广告宣传片，丰富宣传内容。倡导“逆向回收快递包装”、“净菜半净菜进城”、“限制一次性用品使用”以及用餐“光盘行动等。</w:t>
      </w:r>
    </w:p>
    <w:p w14:paraId="6053514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w:t>
      </w:r>
      <w:r>
        <w:rPr>
          <w:rFonts w:hint="eastAsia" w:ascii="仿宋_GB2312" w:hAnsi="仿宋_GB2312" w:eastAsia="仿宋_GB2312" w:cs="仿宋_GB2312"/>
          <w:sz w:val="32"/>
          <w:szCs w:val="32"/>
        </w:rPr>
        <w:t>充分利用报纸、广播电视、互联网等媒介，在全社会特别是学校、医院等企事业单位，商业中心、公交站点、建筑围挡等公共场所，大力开展垃圾分类知识普及和公益宣传。区生活垃圾分类工作领导小组办公室提供相关文字材料。宣传部协调媒体利用广播电台、电视台、报刊和网络等媒体开展公益宣传，普及生活垃圾分类减量知识；通过微博、微信等新兴传播媒介，加大垃圾分类宣传力度，切实做到“广播有声、电视有影、报纸有文”。</w:t>
      </w:r>
    </w:p>
    <w:p w14:paraId="49AB5AB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3.</w:t>
      </w:r>
      <w:r>
        <w:rPr>
          <w:rFonts w:hint="eastAsia" w:ascii="仿宋_GB2312" w:hAnsi="仿宋_GB2312" w:eastAsia="仿宋_GB2312" w:cs="仿宋_GB2312"/>
          <w:sz w:val="32"/>
          <w:szCs w:val="32"/>
        </w:rPr>
        <w:t>做好生活垃圾分类的入户宣传和现场引导，切实提高广大人民群众对生活垃圾分类的认识，引导群众自</w:t>
      </w:r>
      <w:r>
        <w:rPr>
          <w:rFonts w:hint="eastAsia" w:ascii="仿宋_GB2312" w:hAnsi="仿宋_GB2312" w:eastAsia="仿宋_GB2312" w:cs="仿宋_GB2312"/>
          <w:sz w:val="32"/>
          <w:szCs w:val="32"/>
          <w:lang w:val="en-US" w:eastAsia="zh-CN"/>
        </w:rPr>
        <w:t>觉</w:t>
      </w:r>
      <w:r>
        <w:rPr>
          <w:rFonts w:hint="eastAsia" w:ascii="仿宋_GB2312" w:hAnsi="仿宋_GB2312" w:eastAsia="仿宋_GB2312" w:cs="仿宋_GB2312"/>
          <w:sz w:val="32"/>
          <w:szCs w:val="32"/>
        </w:rPr>
        <w:t>参与到生活</w:t>
      </w:r>
      <w:r>
        <w:rPr>
          <w:rFonts w:hint="eastAsia" w:ascii="仿宋_GB2312" w:hAnsi="仿宋_GB2312" w:eastAsia="仿宋_GB2312" w:cs="仿宋_GB2312"/>
          <w:sz w:val="32"/>
          <w:szCs w:val="32"/>
          <w:lang w:val="en-US" w:eastAsia="zh-CN"/>
        </w:rPr>
        <w:t>垃圾</w:t>
      </w:r>
      <w:r>
        <w:rPr>
          <w:rFonts w:hint="eastAsia" w:ascii="仿宋_GB2312" w:hAnsi="仿宋_GB2312" w:eastAsia="仿宋_GB2312" w:cs="仿宋_GB2312"/>
          <w:sz w:val="32"/>
          <w:szCs w:val="32"/>
        </w:rPr>
        <w:t>分类工作中，养成生活垃圾分类习惯。组织策划系列室</w:t>
      </w:r>
      <w:r>
        <w:rPr>
          <w:rFonts w:hint="eastAsia" w:ascii="仿宋_GB2312" w:hAnsi="仿宋_GB2312" w:eastAsia="仿宋_GB2312" w:cs="仿宋_GB2312"/>
          <w:sz w:val="32"/>
          <w:szCs w:val="32"/>
          <w:lang w:val="en-US" w:eastAsia="zh-CN"/>
        </w:rPr>
        <w:t>外宣</w:t>
      </w:r>
      <w:r>
        <w:rPr>
          <w:rFonts w:hint="eastAsia" w:ascii="仿宋_GB2312" w:hAnsi="仿宋_GB2312" w:eastAsia="仿宋_GB2312" w:cs="仿宋_GB2312"/>
          <w:sz w:val="32"/>
          <w:szCs w:val="32"/>
        </w:rPr>
        <w:t>传活动，深入广场和社区，开展垃圾分类征文、绘画比赛、知识竞赛、宣传创意征集等活动；通过社会团体、志愿者协会、企业等开展</w:t>
      </w:r>
      <w:r>
        <w:rPr>
          <w:rFonts w:hint="eastAsia" w:ascii="仿宋_GB2312" w:hAnsi="仿宋_GB2312" w:eastAsia="仿宋_GB2312" w:cs="仿宋_GB2312"/>
          <w:sz w:val="32"/>
          <w:szCs w:val="32"/>
          <w:lang w:val="en-US" w:eastAsia="zh-CN"/>
        </w:rPr>
        <w:t>垃圾</w:t>
      </w:r>
      <w:r>
        <w:rPr>
          <w:rFonts w:hint="eastAsia" w:ascii="仿宋_GB2312" w:hAnsi="仿宋_GB2312" w:eastAsia="仿宋_GB2312" w:cs="仿宋_GB2312"/>
          <w:sz w:val="32"/>
          <w:szCs w:val="32"/>
        </w:rPr>
        <w:t>分类宣传活动，引领垃圾分类深入开展。</w:t>
      </w:r>
    </w:p>
    <w:p w14:paraId="6E2866B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4.</w:t>
      </w:r>
      <w:r>
        <w:rPr>
          <w:rFonts w:hint="eastAsia" w:ascii="仿宋_GB2312" w:hAnsi="仿宋_GB2312" w:eastAsia="仿宋_GB2312" w:cs="仿宋_GB2312"/>
          <w:sz w:val="32"/>
          <w:szCs w:val="32"/>
        </w:rPr>
        <w:t>深化社区分类宣传，利用小区各类宣传设施，运用多种宣传形式，确保宣传内容“到单元、入楼道、进家庭”。</w:t>
      </w:r>
    </w:p>
    <w:p w14:paraId="6AF833F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5.</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垃圾</w:t>
      </w:r>
      <w:r>
        <w:rPr>
          <w:rFonts w:hint="eastAsia" w:ascii="仿宋_GB2312" w:hAnsi="仿宋_GB2312" w:eastAsia="仿宋_GB2312" w:cs="仿宋_GB2312"/>
          <w:sz w:val="32"/>
          <w:szCs w:val="32"/>
        </w:rPr>
        <w:t>分类校园课堂教育，将生活垃圾分类减量知识纳入中小学、幼儿园教育和社会实践内容，从儿童教育着手，从小培养垃圾分类良好习惯。通过“小手拉大手”，带动家长形成垃圾分类意识，从每个家庭做起，在全社会营造垃圾分类良好</w:t>
      </w:r>
      <w:r>
        <w:rPr>
          <w:rFonts w:hint="eastAsia" w:ascii="仿宋_GB2312" w:hAnsi="仿宋_GB2312" w:eastAsia="仿宋_GB2312" w:cs="仿宋_GB2312"/>
          <w:sz w:val="32"/>
          <w:szCs w:val="32"/>
          <w:lang w:val="en-US" w:eastAsia="zh-CN"/>
        </w:rPr>
        <w:t>氛围</w:t>
      </w:r>
      <w:r>
        <w:rPr>
          <w:rFonts w:hint="eastAsia" w:ascii="仿宋_GB2312" w:hAnsi="仿宋_GB2312" w:eastAsia="仿宋_GB2312" w:cs="仿宋_GB2312"/>
          <w:sz w:val="32"/>
          <w:szCs w:val="32"/>
        </w:rPr>
        <w:t>。</w:t>
      </w:r>
    </w:p>
    <w:p w14:paraId="6A2DCFE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楷体_GB2312"/>
          <w:sz w:val="32"/>
          <w:szCs w:val="32"/>
        </w:rPr>
      </w:pPr>
      <w:r>
        <w:rPr>
          <w:rFonts w:hint="eastAsia" w:ascii="Times New Roman" w:hAnsi="Times New Roman" w:eastAsia="楷体_GB2312"/>
          <w:sz w:val="32"/>
          <w:szCs w:val="32"/>
        </w:rPr>
        <w:t>（六）创新体制机制</w:t>
      </w:r>
    </w:p>
    <w:p w14:paraId="3F5990C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积极实行特许经营、承包经营、租赁经营等方式，通过公开招标引入专业化服务公司。鼓励社会资本参与生活垃圾分类收集、运输和处理，提升分类回收和处理水平。</w:t>
      </w:r>
    </w:p>
    <w:p w14:paraId="508CAE8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探索减量奖励机制，推动以居民小区为单位进行生活垃圾就地减量和资源化利用，对减量效果明显的居民小区、社区、街道（镇）给予物资和荣誉奖励。建立生活</w:t>
      </w:r>
      <w:r>
        <w:rPr>
          <w:rFonts w:hint="eastAsia" w:ascii="Times New Roman" w:hAnsi="Times New Roman" w:eastAsia="仿宋_GB2312"/>
          <w:sz w:val="32"/>
          <w:szCs w:val="32"/>
          <w:lang w:val="en-US" w:eastAsia="zh-CN"/>
        </w:rPr>
        <w:t>垃圾</w:t>
      </w:r>
      <w:r>
        <w:rPr>
          <w:rFonts w:hint="eastAsia" w:ascii="Times New Roman" w:hAnsi="Times New Roman" w:eastAsia="仿宋_GB2312"/>
          <w:sz w:val="32"/>
          <w:szCs w:val="32"/>
        </w:rPr>
        <w:t>处理阶梯式计费管理机制。</w:t>
      </w:r>
    </w:p>
    <w:p w14:paraId="636B169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ascii="Times New Roman" w:hAnsi="Times New Roman" w:eastAsia="仿宋_GB2312"/>
          <w:sz w:val="32"/>
          <w:szCs w:val="32"/>
        </w:rPr>
        <w:t>3.</w:t>
      </w:r>
      <w:r>
        <w:rPr>
          <w:rFonts w:hint="eastAsia" w:ascii="仿宋_GB2312" w:hAnsi="仿宋_GB2312" w:eastAsia="仿宋_GB2312" w:cs="仿宋_GB2312"/>
          <w:sz w:val="32"/>
          <w:szCs w:val="32"/>
        </w:rPr>
        <w:t>探索建立垃圾处理生态补偿机制，按照“谁导出、谁补偿，谁导入、谁受偿”的原则，建立生活垃圾导出区对导入区的生态补偿机制和“按量定补”机制。</w:t>
      </w:r>
    </w:p>
    <w:p w14:paraId="0CDE170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充分发挥党建引领作用，探索</w:t>
      </w:r>
      <w:r>
        <w:rPr>
          <w:rFonts w:ascii="Times New Roman" w:hAnsi="Times New Roman" w:eastAsia="仿宋_GB2312"/>
          <w:sz w:val="32"/>
          <w:szCs w:val="32"/>
        </w:rPr>
        <w:t>“</w:t>
      </w:r>
      <w:r>
        <w:rPr>
          <w:rFonts w:hint="eastAsia" w:ascii="Times New Roman" w:hAnsi="Times New Roman" w:eastAsia="仿宋_GB2312"/>
          <w:sz w:val="32"/>
          <w:szCs w:val="32"/>
        </w:rPr>
        <w:t>党员</w:t>
      </w:r>
      <w:r>
        <w:rPr>
          <w:rFonts w:ascii="Times New Roman" w:hAnsi="Times New Roman" w:eastAsia="仿宋_GB2312"/>
          <w:sz w:val="32"/>
          <w:szCs w:val="32"/>
        </w:rPr>
        <w:t>+</w:t>
      </w:r>
      <w:r>
        <w:rPr>
          <w:rFonts w:hint="eastAsia" w:ascii="Times New Roman" w:hAnsi="Times New Roman" w:eastAsia="仿宋_GB2312"/>
          <w:sz w:val="32"/>
          <w:szCs w:val="32"/>
        </w:rPr>
        <w:t>志愿者</w:t>
      </w:r>
      <w:r>
        <w:rPr>
          <w:rFonts w:ascii="Times New Roman" w:hAnsi="Times New Roman" w:eastAsia="仿宋_GB2312"/>
          <w:sz w:val="32"/>
          <w:szCs w:val="32"/>
        </w:rPr>
        <w:t>”</w:t>
      </w:r>
      <w:r>
        <w:rPr>
          <w:rFonts w:hint="eastAsia" w:ascii="Times New Roman" w:hAnsi="Times New Roman" w:eastAsia="仿宋_GB2312"/>
          <w:sz w:val="32"/>
          <w:szCs w:val="32"/>
        </w:rPr>
        <w:t>等模式，建立健全物业、社区、街道、环卫部门等协同推进城镇生活垃圾分类的工作机制。</w:t>
      </w:r>
    </w:p>
    <w:p w14:paraId="2566857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七、实施步骤</w:t>
      </w:r>
    </w:p>
    <w:p w14:paraId="490D9FC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楷体_GB2312"/>
          <w:sz w:val="32"/>
          <w:szCs w:val="32"/>
        </w:rPr>
        <w:t>（一）示范完善阶段（</w:t>
      </w:r>
      <w:r>
        <w:rPr>
          <w:rFonts w:ascii="Times New Roman" w:hAnsi="Times New Roman" w:eastAsia="楷体_GB2312"/>
          <w:sz w:val="32"/>
          <w:szCs w:val="32"/>
        </w:rPr>
        <w:t>2021</w:t>
      </w:r>
      <w:r>
        <w:rPr>
          <w:rFonts w:hint="eastAsia" w:ascii="Times New Roman" w:hAnsi="Times New Roman" w:eastAsia="楷体_GB2312"/>
          <w:sz w:val="32"/>
          <w:szCs w:val="32"/>
        </w:rPr>
        <w:t>年</w:t>
      </w:r>
      <w:r>
        <w:rPr>
          <w:rFonts w:ascii="Times New Roman" w:hAnsi="Times New Roman" w:eastAsia="楷体_GB2312"/>
          <w:sz w:val="32"/>
          <w:szCs w:val="32"/>
        </w:rPr>
        <w:t>1</w:t>
      </w:r>
      <w:r>
        <w:rPr>
          <w:rFonts w:hint="eastAsia" w:ascii="Times New Roman" w:hAnsi="Times New Roman" w:eastAsia="楷体_GB2312"/>
          <w:sz w:val="32"/>
          <w:szCs w:val="32"/>
        </w:rPr>
        <w:t>月底前）。</w:t>
      </w:r>
      <w:r>
        <w:rPr>
          <w:rFonts w:hint="eastAsia" w:ascii="Times New Roman" w:hAnsi="Times New Roman" w:eastAsia="仿宋_GB2312"/>
          <w:sz w:val="32"/>
          <w:szCs w:val="32"/>
        </w:rPr>
        <w:t>制定全区生活垃圾分类工作实施方案，全面实现全区公共机构生活垃圾分类全覆盖，完成桂花街道</w:t>
      </w:r>
      <w:r>
        <w:rPr>
          <w:rFonts w:hint="eastAsia" w:ascii="Times New Roman" w:hAnsi="Times New Roman" w:eastAsia="仿宋_GB2312"/>
          <w:sz w:val="32"/>
          <w:szCs w:val="32"/>
          <w:lang w:eastAsia="zh-CN"/>
        </w:rPr>
        <w:t>垃圾</w:t>
      </w:r>
      <w:r>
        <w:rPr>
          <w:rFonts w:hint="eastAsia" w:ascii="Times New Roman" w:hAnsi="Times New Roman" w:eastAsia="仿宋_GB2312"/>
          <w:sz w:val="32"/>
          <w:szCs w:val="32"/>
        </w:rPr>
        <w:t>分类示范创建工作及辖区内新开发小区、新交付使用居民小区开展垃圾分类示范小区创建工作。</w:t>
      </w:r>
    </w:p>
    <w:p w14:paraId="19BC036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楷体_GB2312"/>
          <w:sz w:val="32"/>
          <w:szCs w:val="32"/>
        </w:rPr>
        <w:t>（二）推进实施阶段（</w:t>
      </w:r>
      <w:r>
        <w:rPr>
          <w:rFonts w:ascii="Times New Roman" w:hAnsi="Times New Roman" w:eastAsia="楷体_GB2312"/>
          <w:sz w:val="32"/>
          <w:szCs w:val="32"/>
        </w:rPr>
        <w:t>2021</w:t>
      </w:r>
      <w:r>
        <w:rPr>
          <w:rFonts w:hint="eastAsia" w:ascii="Times New Roman" w:hAnsi="Times New Roman" w:eastAsia="楷体_GB2312"/>
          <w:sz w:val="32"/>
          <w:szCs w:val="32"/>
        </w:rPr>
        <w:t>年</w:t>
      </w:r>
      <w:r>
        <w:rPr>
          <w:rFonts w:ascii="Times New Roman" w:hAnsi="Times New Roman" w:eastAsia="楷体_GB2312"/>
          <w:sz w:val="32"/>
          <w:szCs w:val="32"/>
        </w:rPr>
        <w:t>2</w:t>
      </w:r>
      <w:r>
        <w:rPr>
          <w:rFonts w:hint="eastAsia" w:ascii="Times New Roman" w:hAnsi="Times New Roman" w:eastAsia="楷体_GB2312"/>
          <w:sz w:val="32"/>
          <w:szCs w:val="32"/>
        </w:rPr>
        <w:t>月</w:t>
      </w:r>
      <w:r>
        <w:rPr>
          <w:rFonts w:ascii="Times New Roman" w:hAnsi="Times New Roman" w:eastAsia="楷体_GB2312"/>
          <w:sz w:val="32"/>
          <w:szCs w:val="32"/>
        </w:rPr>
        <w:t>-2023</w:t>
      </w:r>
      <w:r>
        <w:rPr>
          <w:rFonts w:hint="eastAsia" w:ascii="Times New Roman" w:hAnsi="Times New Roman" w:eastAsia="楷体_GB2312"/>
          <w:sz w:val="32"/>
          <w:szCs w:val="32"/>
        </w:rPr>
        <w:t>年</w:t>
      </w:r>
      <w:r>
        <w:rPr>
          <w:rFonts w:ascii="Times New Roman" w:hAnsi="Times New Roman" w:eastAsia="楷体_GB2312"/>
          <w:sz w:val="32"/>
          <w:szCs w:val="32"/>
        </w:rPr>
        <w:t>12</w:t>
      </w:r>
      <w:r>
        <w:rPr>
          <w:rFonts w:hint="eastAsia" w:ascii="Times New Roman" w:hAnsi="Times New Roman" w:eastAsia="楷体_GB2312"/>
          <w:sz w:val="32"/>
          <w:szCs w:val="32"/>
        </w:rPr>
        <w:t>月）。</w:t>
      </w:r>
      <w:r>
        <w:rPr>
          <w:rFonts w:ascii="Times New Roman" w:hAnsi="Times New Roman" w:eastAsia="仿宋_GB2312"/>
          <w:sz w:val="32"/>
          <w:szCs w:val="32"/>
        </w:rPr>
        <w:t>2021</w:t>
      </w:r>
      <w:r>
        <w:rPr>
          <w:rFonts w:hint="eastAsia" w:ascii="Times New Roman" w:hAnsi="Times New Roman" w:eastAsia="仿宋_GB2312"/>
          <w:sz w:val="32"/>
          <w:szCs w:val="32"/>
        </w:rPr>
        <w:t>年全区至少有</w:t>
      </w:r>
      <w:r>
        <w:rPr>
          <w:rFonts w:ascii="Times New Roman" w:hAnsi="Times New Roman" w:eastAsia="仿宋_GB2312"/>
          <w:sz w:val="32"/>
          <w:szCs w:val="32"/>
        </w:rPr>
        <w:t>2</w:t>
      </w:r>
      <w:r>
        <w:rPr>
          <w:rFonts w:hint="eastAsia" w:ascii="Times New Roman" w:hAnsi="Times New Roman" w:eastAsia="仿宋_GB2312"/>
          <w:sz w:val="32"/>
          <w:szCs w:val="32"/>
        </w:rPr>
        <w:t>个街道基本建成生活垃圾分类示范片区；</w:t>
      </w:r>
      <w:r>
        <w:rPr>
          <w:rFonts w:ascii="Times New Roman" w:hAnsi="Times New Roman" w:eastAsia="仿宋_GB2312"/>
          <w:sz w:val="32"/>
          <w:szCs w:val="32"/>
        </w:rPr>
        <w:t>2022</w:t>
      </w:r>
      <w:r>
        <w:rPr>
          <w:rFonts w:hint="eastAsia" w:ascii="Times New Roman" w:hAnsi="Times New Roman" w:eastAsia="仿宋_GB2312"/>
          <w:sz w:val="32"/>
          <w:szCs w:val="32"/>
        </w:rPr>
        <w:t>年全区至少有</w:t>
      </w:r>
      <w:r>
        <w:rPr>
          <w:rFonts w:ascii="Times New Roman" w:hAnsi="Times New Roman" w:eastAsia="仿宋_GB2312"/>
          <w:sz w:val="32"/>
          <w:szCs w:val="32"/>
        </w:rPr>
        <w:t>60%</w:t>
      </w:r>
      <w:r>
        <w:rPr>
          <w:rFonts w:hint="eastAsia" w:ascii="Times New Roman" w:hAnsi="Times New Roman" w:eastAsia="仿宋_GB2312"/>
          <w:sz w:val="32"/>
          <w:szCs w:val="32"/>
        </w:rPr>
        <w:t>以上街道基本建成生活</w:t>
      </w:r>
      <w:r>
        <w:rPr>
          <w:rFonts w:hint="eastAsia" w:ascii="Times New Roman" w:hAnsi="Times New Roman" w:eastAsia="仿宋_GB2312"/>
          <w:sz w:val="32"/>
          <w:szCs w:val="32"/>
          <w:lang w:val="en-US" w:eastAsia="zh-CN"/>
        </w:rPr>
        <w:t>垃圾</w:t>
      </w:r>
      <w:r>
        <w:rPr>
          <w:rFonts w:hint="eastAsia" w:ascii="Times New Roman" w:hAnsi="Times New Roman" w:eastAsia="仿宋_GB2312"/>
          <w:sz w:val="32"/>
          <w:szCs w:val="32"/>
        </w:rPr>
        <w:t>分类示范片区；</w:t>
      </w:r>
      <w:r>
        <w:rPr>
          <w:rFonts w:ascii="Times New Roman" w:hAnsi="Times New Roman" w:eastAsia="仿宋_GB2312"/>
          <w:sz w:val="32"/>
          <w:szCs w:val="32"/>
        </w:rPr>
        <w:t>2023</w:t>
      </w:r>
      <w:r>
        <w:rPr>
          <w:rFonts w:hint="eastAsia" w:ascii="Times New Roman" w:hAnsi="Times New Roman" w:eastAsia="仿宋_GB2312"/>
          <w:sz w:val="32"/>
          <w:szCs w:val="32"/>
        </w:rPr>
        <w:t>年全区生活</w:t>
      </w:r>
      <w:r>
        <w:rPr>
          <w:rFonts w:hint="eastAsia" w:ascii="Times New Roman" w:hAnsi="Times New Roman" w:eastAsia="仿宋_GB2312"/>
          <w:sz w:val="32"/>
          <w:szCs w:val="32"/>
          <w:lang w:val="en-US" w:eastAsia="zh-CN"/>
        </w:rPr>
        <w:t>垃圾</w:t>
      </w:r>
      <w:r>
        <w:rPr>
          <w:rFonts w:hint="eastAsia" w:ascii="Times New Roman" w:hAnsi="Times New Roman" w:eastAsia="仿宋_GB2312"/>
          <w:sz w:val="32"/>
          <w:szCs w:val="32"/>
        </w:rPr>
        <w:t>分类全覆盖。逐步探索建立分类投放、分类收运体系，扩大示范范围，形成可复制、可推广的分类模式，建立并完善生活垃圾常态化、长效化机制。公共机构开展分类收集工作，全面开展生活垃圾分类制度。</w:t>
      </w:r>
    </w:p>
    <w:p w14:paraId="369BDF9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楷体_GB2312"/>
          <w:sz w:val="32"/>
          <w:szCs w:val="32"/>
        </w:rPr>
        <w:t>（三）全面推广阶段（</w:t>
      </w:r>
      <w:r>
        <w:rPr>
          <w:rFonts w:ascii="Times New Roman" w:hAnsi="Times New Roman" w:eastAsia="楷体_GB2312"/>
          <w:sz w:val="32"/>
          <w:szCs w:val="32"/>
        </w:rPr>
        <w:t>2022</w:t>
      </w:r>
      <w:r>
        <w:rPr>
          <w:rFonts w:hint="eastAsia" w:ascii="Times New Roman" w:hAnsi="Times New Roman" w:eastAsia="楷体_GB2312"/>
          <w:sz w:val="32"/>
          <w:szCs w:val="32"/>
        </w:rPr>
        <w:t>年</w:t>
      </w:r>
      <w:r>
        <w:rPr>
          <w:rFonts w:ascii="Times New Roman" w:hAnsi="Times New Roman" w:eastAsia="楷体_GB2312"/>
          <w:sz w:val="32"/>
          <w:szCs w:val="32"/>
        </w:rPr>
        <w:t>12</w:t>
      </w:r>
      <w:r>
        <w:rPr>
          <w:rFonts w:hint="eastAsia" w:ascii="Times New Roman" w:hAnsi="Times New Roman" w:eastAsia="楷体_GB2312"/>
          <w:sz w:val="32"/>
          <w:szCs w:val="32"/>
        </w:rPr>
        <w:t>月</w:t>
      </w:r>
      <w:r>
        <w:rPr>
          <w:rFonts w:ascii="Times New Roman" w:hAnsi="Times New Roman" w:eastAsia="楷体_GB2312"/>
          <w:sz w:val="32"/>
          <w:szCs w:val="32"/>
        </w:rPr>
        <w:t>-2023</w:t>
      </w:r>
      <w:r>
        <w:rPr>
          <w:rFonts w:hint="eastAsia" w:ascii="Times New Roman" w:hAnsi="Times New Roman" w:eastAsia="楷体_GB2312"/>
          <w:sz w:val="32"/>
          <w:szCs w:val="32"/>
        </w:rPr>
        <w:t>年</w:t>
      </w:r>
      <w:r>
        <w:rPr>
          <w:rFonts w:ascii="Times New Roman" w:hAnsi="Times New Roman" w:eastAsia="楷体_GB2312"/>
          <w:sz w:val="32"/>
          <w:szCs w:val="32"/>
        </w:rPr>
        <w:t>12</w:t>
      </w:r>
      <w:r>
        <w:rPr>
          <w:rFonts w:hint="eastAsia" w:ascii="Times New Roman" w:hAnsi="Times New Roman" w:eastAsia="楷体_GB2312"/>
          <w:sz w:val="32"/>
          <w:szCs w:val="32"/>
        </w:rPr>
        <w:t>月）。</w:t>
      </w:r>
      <w:r>
        <w:rPr>
          <w:rFonts w:hint="eastAsia" w:ascii="Times New Roman" w:hAnsi="Times New Roman" w:eastAsia="仿宋_GB2312"/>
          <w:sz w:val="32"/>
          <w:szCs w:val="32"/>
        </w:rPr>
        <w:t>全区推广</w:t>
      </w:r>
      <w:r>
        <w:rPr>
          <w:rFonts w:hint="eastAsia" w:ascii="Times New Roman" w:hAnsi="Times New Roman" w:eastAsia="仿宋_GB2312"/>
          <w:sz w:val="32"/>
          <w:szCs w:val="32"/>
          <w:lang w:eastAsia="zh-CN"/>
        </w:rPr>
        <w:t>垃圾</w:t>
      </w:r>
      <w:r>
        <w:rPr>
          <w:rFonts w:hint="eastAsia" w:ascii="Times New Roman" w:hAnsi="Times New Roman" w:eastAsia="仿宋_GB2312"/>
          <w:sz w:val="32"/>
          <w:szCs w:val="32"/>
        </w:rPr>
        <w:t>分类投放收运模式，形成规范有序、科学长效的生活垃圾分类投放、分类收集、分类运输的运行体系。</w:t>
      </w:r>
    </w:p>
    <w:p w14:paraId="14AA80C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八、保障措施</w:t>
      </w:r>
    </w:p>
    <w:p w14:paraId="278D723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楷体_GB2312"/>
          <w:sz w:val="32"/>
          <w:szCs w:val="32"/>
        </w:rPr>
        <w:t>（一）落实工作责任。</w:t>
      </w:r>
      <w:r>
        <w:rPr>
          <w:rFonts w:hint="eastAsia" w:ascii="Times New Roman" w:hAnsi="Times New Roman" w:eastAsia="仿宋_GB2312"/>
          <w:sz w:val="32"/>
          <w:szCs w:val="32"/>
        </w:rPr>
        <w:t>生活垃圾分类治理是落实中央和国家有关刚性要求的重大任务。各相关</w:t>
      </w:r>
      <w:r>
        <w:rPr>
          <w:rFonts w:hint="eastAsia" w:ascii="Times New Roman" w:hAnsi="Times New Roman" w:eastAsia="仿宋_GB2312"/>
          <w:sz w:val="32"/>
          <w:szCs w:val="32"/>
          <w:lang w:val="en-US" w:eastAsia="zh-CN"/>
        </w:rPr>
        <w:t>部</w:t>
      </w:r>
      <w:r>
        <w:rPr>
          <w:rFonts w:hint="eastAsia" w:ascii="Times New Roman" w:hAnsi="Times New Roman" w:eastAsia="仿宋_GB2312"/>
          <w:sz w:val="32"/>
          <w:szCs w:val="32"/>
        </w:rPr>
        <w:t>门主要负责人作为第一责任人，要亲自谋划部署，亲自协调推进。区垃圾分类工作领导小组办公室要细化分解管理、监督职责，加强对垃圾分类工作的监督管理，确保垃圾分类工作有效开展。</w:t>
      </w:r>
    </w:p>
    <w:p w14:paraId="276F131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楷体_GB2312"/>
          <w:sz w:val="32"/>
          <w:szCs w:val="32"/>
        </w:rPr>
        <w:t>（二）做好协调配合。</w:t>
      </w:r>
      <w:r>
        <w:rPr>
          <w:rFonts w:hint="eastAsia" w:ascii="Times New Roman" w:hAnsi="Times New Roman" w:eastAsia="仿宋_GB2312"/>
          <w:sz w:val="32"/>
          <w:szCs w:val="32"/>
        </w:rPr>
        <w:t>生活垃圾分类是需要全社会参与的系统工程。区生活垃圾分类工作领导小组办公室要建立联席会议制度、定期督查制度和综合考核制度，统筹推进各项工作任务。各成员单位要依据职责任务，制定具体推进方案，履职尽责，协同推进，确保垃圾分类工作任务落到实处。同时明确一名分管领导和联络员，并将名单于</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月</w:t>
      </w:r>
      <w:r>
        <w:rPr>
          <w:rFonts w:ascii="Times New Roman" w:hAnsi="Times New Roman" w:eastAsia="仿宋_GB2312"/>
          <w:sz w:val="32"/>
          <w:szCs w:val="32"/>
        </w:rPr>
        <w:t>20</w:t>
      </w:r>
      <w:r>
        <w:rPr>
          <w:rFonts w:hint="eastAsia" w:ascii="Times New Roman" w:hAnsi="Times New Roman" w:eastAsia="仿宋_GB2312"/>
          <w:sz w:val="32"/>
          <w:szCs w:val="32"/>
        </w:rPr>
        <w:t>日前报区城管局</w:t>
      </w:r>
      <w:r>
        <w:rPr>
          <w:rFonts w:ascii="Times New Roman" w:hAnsi="Times New Roman" w:eastAsia="仿宋_GB2312"/>
          <w:sz w:val="32"/>
          <w:szCs w:val="32"/>
        </w:rPr>
        <w:t>709</w:t>
      </w:r>
      <w:r>
        <w:rPr>
          <w:rFonts w:hint="eastAsia" w:ascii="Times New Roman" w:hAnsi="Times New Roman" w:eastAsia="仿宋_GB2312"/>
          <w:sz w:val="32"/>
          <w:szCs w:val="32"/>
        </w:rPr>
        <w:t>办公室或发邮箱</w:t>
      </w:r>
      <w:r>
        <w:rPr>
          <w:rFonts w:ascii="Times New Roman" w:hAnsi="Times New Roman" w:eastAsia="仿宋_GB2312"/>
          <w:sz w:val="32"/>
          <w:szCs w:val="32"/>
        </w:rPr>
        <w:t>897009000@qq.com</w:t>
      </w:r>
      <w:r>
        <w:rPr>
          <w:rFonts w:hint="eastAsia" w:ascii="Times New Roman" w:hAnsi="Times New Roman" w:eastAsia="仿宋_GB2312"/>
          <w:sz w:val="32"/>
          <w:szCs w:val="32"/>
        </w:rPr>
        <w:t>，联络员负责每周四下班前报送垃圾分类周小结。</w:t>
      </w:r>
    </w:p>
    <w:p w14:paraId="2E1E68A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楷体_GB2312"/>
          <w:sz w:val="32"/>
          <w:szCs w:val="32"/>
        </w:rPr>
        <w:t>（三）加强考核监督。</w:t>
      </w:r>
      <w:r>
        <w:rPr>
          <w:rFonts w:hint="eastAsia" w:ascii="Times New Roman" w:hAnsi="Times New Roman" w:eastAsia="仿宋_GB2312"/>
          <w:sz w:val="32"/>
          <w:szCs w:val="32"/>
        </w:rPr>
        <w:t>区委宣传部要将生活垃圾分类工作开展情况列入文明单位等创建活动考评内容，细化指标，严格考评、发挥杠杆和导向作用。区生活垃设分类工作领导小组办公室要依据《株洲市</w:t>
      </w:r>
      <w:r>
        <w:rPr>
          <w:rFonts w:ascii="Times New Roman" w:hAnsi="Times New Roman" w:eastAsia="仿宋_GB2312"/>
          <w:sz w:val="32"/>
          <w:szCs w:val="32"/>
        </w:rPr>
        <w:t>2020</w:t>
      </w:r>
      <w:r>
        <w:rPr>
          <w:rFonts w:hint="eastAsia" w:ascii="Times New Roman" w:hAnsi="Times New Roman" w:eastAsia="仿宋_GB2312"/>
          <w:sz w:val="32"/>
          <w:szCs w:val="32"/>
        </w:rPr>
        <w:t>年城市生活垃圾分类考核评价工作实施方案》制定荷塘区城市生活垃圾分类考核评价工作实施方案，对成员单位生活垃圾分类工作开展情况进行专项考评，确保垃圾分类工作取得成效。</w:t>
      </w:r>
    </w:p>
    <w:p w14:paraId="62AE462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p>
    <w:p w14:paraId="7E6F170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附件：</w:t>
      </w:r>
      <w:r>
        <w:rPr>
          <w:rFonts w:ascii="Times New Roman" w:hAnsi="Times New Roman" w:eastAsia="仿宋_GB2312"/>
          <w:sz w:val="32"/>
          <w:szCs w:val="32"/>
        </w:rPr>
        <w:t>1.</w:t>
      </w:r>
      <w:r>
        <w:rPr>
          <w:rFonts w:hint="eastAsia" w:ascii="Times New Roman" w:hAnsi="Times New Roman" w:eastAsia="仿宋_GB2312"/>
          <w:sz w:val="32"/>
          <w:szCs w:val="32"/>
        </w:rPr>
        <w:t>相关用语含义</w:t>
      </w:r>
    </w:p>
    <w:p w14:paraId="344B9346">
      <w:pPr>
        <w:keepNext w:val="0"/>
        <w:keepLines w:val="0"/>
        <w:pageBreakBefore w:val="0"/>
        <w:widowControl w:val="0"/>
        <w:kinsoku/>
        <w:wordWrap/>
        <w:overflowPunct w:val="0"/>
        <w:topLinePunct w:val="0"/>
        <w:autoSpaceDE/>
        <w:autoSpaceDN/>
        <w:bidi w:val="0"/>
        <w:adjustRightInd/>
        <w:snapToGrid/>
        <w:spacing w:line="600" w:lineRule="exact"/>
        <w:ind w:firstLine="1600" w:firstLineChars="500"/>
        <w:textAlignment w:val="auto"/>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生活垃圾单独分类投放转运处置要求</w:t>
      </w:r>
    </w:p>
    <w:p w14:paraId="35E09288">
      <w:pPr>
        <w:keepNext w:val="0"/>
        <w:keepLines w:val="0"/>
        <w:pageBreakBefore w:val="0"/>
        <w:widowControl w:val="0"/>
        <w:kinsoku/>
        <w:wordWrap/>
        <w:overflowPunct w:val="0"/>
        <w:topLinePunct w:val="0"/>
        <w:autoSpaceDE/>
        <w:autoSpaceDN/>
        <w:bidi w:val="0"/>
        <w:adjustRightInd/>
        <w:snapToGrid/>
        <w:spacing w:line="600" w:lineRule="exact"/>
        <w:ind w:firstLine="1600" w:firstLineChars="500"/>
        <w:textAlignment w:val="auto"/>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相关单位工作职责</w:t>
      </w:r>
    </w:p>
    <w:p w14:paraId="6935049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p>
    <w:p w14:paraId="6CC6A65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p>
    <w:p w14:paraId="3F9B04D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p>
    <w:p w14:paraId="172605F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p>
    <w:p w14:paraId="48B4EB8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p>
    <w:p w14:paraId="3145C39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p>
    <w:p w14:paraId="4C0BCA6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p>
    <w:p w14:paraId="57CEDDB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p>
    <w:p w14:paraId="14C46D7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p>
    <w:p w14:paraId="165178E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p>
    <w:p w14:paraId="21E4294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p>
    <w:p w14:paraId="438B2A3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p>
    <w:p w14:paraId="5E7DED6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p>
    <w:p w14:paraId="608BD075">
      <w:pPr>
        <w:keepNext w:val="0"/>
        <w:keepLines w:val="0"/>
        <w:pageBreakBefore w:val="0"/>
        <w:widowControl w:val="0"/>
        <w:kinsoku/>
        <w:wordWrap/>
        <w:overflowPunct w:val="0"/>
        <w:topLinePunct w:val="0"/>
        <w:autoSpaceDE/>
        <w:autoSpaceDN/>
        <w:bidi w:val="0"/>
        <w:adjustRightInd/>
        <w:snapToGrid/>
        <w:spacing w:line="600" w:lineRule="exact"/>
        <w:textAlignment w:val="auto"/>
        <w:rPr>
          <w:rFonts w:ascii="Times New Roman" w:hAnsi="Times New Roman" w:eastAsia="黑体"/>
          <w:sz w:val="32"/>
          <w:szCs w:val="32"/>
        </w:rPr>
      </w:pPr>
      <w:r>
        <w:rPr>
          <w:rFonts w:hint="eastAsia" w:ascii="Times New Roman" w:hAnsi="Times New Roman" w:eastAsia="黑体"/>
          <w:sz w:val="32"/>
          <w:szCs w:val="32"/>
        </w:rPr>
        <w:t>附件</w:t>
      </w:r>
      <w:r>
        <w:rPr>
          <w:rFonts w:ascii="Times New Roman" w:hAnsi="Times New Roman" w:eastAsia="黑体"/>
          <w:sz w:val="32"/>
          <w:szCs w:val="32"/>
        </w:rPr>
        <w:t>1</w:t>
      </w:r>
    </w:p>
    <w:p w14:paraId="315B404F">
      <w:pPr>
        <w:keepNext w:val="0"/>
        <w:keepLines w:val="0"/>
        <w:pageBreakBefore w:val="0"/>
        <w:widowControl w:val="0"/>
        <w:kinsoku/>
        <w:wordWrap/>
        <w:overflowPunct w:val="0"/>
        <w:topLinePunct w:val="0"/>
        <w:autoSpaceDE/>
        <w:autoSpaceDN/>
        <w:bidi w:val="0"/>
        <w:adjustRightInd/>
        <w:snapToGrid/>
        <w:spacing w:line="600" w:lineRule="exact"/>
        <w:ind w:firstLine="880" w:firstLineChars="200"/>
        <w:jc w:val="center"/>
        <w:textAlignment w:val="auto"/>
        <w:rPr>
          <w:rFonts w:ascii="Times New Roman" w:hAnsi="Times New Roman" w:eastAsia="方正小标宋简体"/>
          <w:bCs/>
          <w:sz w:val="44"/>
          <w:szCs w:val="44"/>
        </w:rPr>
      </w:pPr>
      <w:r>
        <w:rPr>
          <w:rFonts w:hint="eastAsia" w:ascii="Times New Roman" w:hAnsi="Times New Roman" w:eastAsia="方正小标宋简体"/>
          <w:bCs/>
          <w:sz w:val="44"/>
          <w:szCs w:val="44"/>
        </w:rPr>
        <w:t>相关用语含义</w:t>
      </w:r>
    </w:p>
    <w:p w14:paraId="194EDE00">
      <w:pPr>
        <w:keepNext w:val="0"/>
        <w:keepLines w:val="0"/>
        <w:pageBreakBefore w:val="0"/>
        <w:widowControl w:val="0"/>
        <w:kinsoku/>
        <w:wordWrap/>
        <w:overflowPunct w:val="0"/>
        <w:topLinePunct w:val="0"/>
        <w:autoSpaceDE/>
        <w:autoSpaceDN/>
        <w:bidi w:val="0"/>
        <w:adjustRightInd/>
        <w:snapToGrid/>
        <w:spacing w:line="600" w:lineRule="exact"/>
        <w:ind w:firstLine="120" w:firstLineChars="200"/>
        <w:textAlignment w:val="auto"/>
        <w:rPr>
          <w:rFonts w:ascii="Times New Roman" w:hAnsi="Times New Roman" w:eastAsia="方正小标宋简体"/>
          <w:b/>
          <w:bCs/>
          <w:sz w:val="6"/>
          <w:szCs w:val="44"/>
        </w:rPr>
      </w:pPr>
    </w:p>
    <w:p w14:paraId="7430B60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楷体_GB2312"/>
          <w:color w:val="000000"/>
          <w:sz w:val="32"/>
          <w:szCs w:val="32"/>
        </w:rPr>
        <w:t>1.</w:t>
      </w:r>
      <w:r>
        <w:rPr>
          <w:rFonts w:hint="eastAsia" w:ascii="Times New Roman" w:hAnsi="Times New Roman" w:eastAsia="楷体_GB2312"/>
          <w:color w:val="000000"/>
          <w:sz w:val="32"/>
          <w:szCs w:val="32"/>
        </w:rPr>
        <w:t>可回收物。</w:t>
      </w:r>
      <w:r>
        <w:rPr>
          <w:rFonts w:hint="eastAsia" w:ascii="Times New Roman" w:hAnsi="Times New Roman" w:eastAsia="仿宋_GB2312"/>
          <w:color w:val="000000"/>
          <w:sz w:val="32"/>
          <w:szCs w:val="32"/>
        </w:rPr>
        <w:t>是指适宜回收的生活垃圾，包括纸类，塑料、金属、玻璃、织物等。</w:t>
      </w:r>
    </w:p>
    <w:p w14:paraId="73B1D5D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楷体_GB2312"/>
          <w:color w:val="000000"/>
          <w:sz w:val="32"/>
          <w:szCs w:val="32"/>
        </w:rPr>
        <w:t>2.</w:t>
      </w:r>
      <w:r>
        <w:rPr>
          <w:rFonts w:hint="eastAsia" w:ascii="Times New Roman" w:hAnsi="Times New Roman" w:eastAsia="楷体_GB2312"/>
          <w:color w:val="000000"/>
          <w:sz w:val="32"/>
          <w:szCs w:val="32"/>
        </w:rPr>
        <w:t>有害垃圾。</w:t>
      </w:r>
      <w:r>
        <w:rPr>
          <w:rFonts w:hint="eastAsia" w:ascii="Times New Roman" w:hAnsi="Times New Roman" w:eastAsia="仿宋_GB2312"/>
          <w:sz w:val="32"/>
          <w:szCs w:val="32"/>
        </w:rPr>
        <w:t>是指《国家危险废物名录》中的家庭源危险废物，包括灯管、家用化学品和电池等。</w:t>
      </w:r>
    </w:p>
    <w:p w14:paraId="2E5887F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楷体_GB2312"/>
          <w:color w:val="000000"/>
          <w:sz w:val="32"/>
          <w:szCs w:val="32"/>
        </w:rPr>
        <w:t>3.</w:t>
      </w:r>
      <w:r>
        <w:rPr>
          <w:rFonts w:hint="eastAsia" w:ascii="Times New Roman" w:hAnsi="Times New Roman" w:eastAsia="楷体_GB2312"/>
          <w:color w:val="000000"/>
          <w:sz w:val="32"/>
          <w:szCs w:val="32"/>
        </w:rPr>
        <w:t>厨余垃圾。</w:t>
      </w:r>
      <w:r>
        <w:rPr>
          <w:rFonts w:hint="eastAsia" w:ascii="Times New Roman" w:hAnsi="Times New Roman" w:eastAsia="仿宋_GB2312"/>
          <w:sz w:val="32"/>
          <w:szCs w:val="32"/>
        </w:rPr>
        <w:t>是指易腐烂的、含有有机质的生活垃圾，包括家庭厨余垃圾、餐厨</w:t>
      </w:r>
      <w:r>
        <w:rPr>
          <w:rFonts w:hint="eastAsia" w:ascii="Times New Roman" w:hAnsi="Times New Roman" w:eastAsia="仿宋_GB2312"/>
          <w:sz w:val="32"/>
          <w:szCs w:val="32"/>
          <w:lang w:val="en-US" w:eastAsia="zh-CN"/>
        </w:rPr>
        <w:t>垃圾</w:t>
      </w:r>
      <w:r>
        <w:rPr>
          <w:rFonts w:hint="eastAsia" w:ascii="Times New Roman" w:hAnsi="Times New Roman" w:eastAsia="仿宋_GB2312"/>
          <w:sz w:val="32"/>
          <w:szCs w:val="32"/>
        </w:rPr>
        <w:t>和其他厨余垃圾。</w:t>
      </w:r>
    </w:p>
    <w:p w14:paraId="09D351C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楷体_GB2312"/>
          <w:color w:val="000000"/>
          <w:sz w:val="32"/>
          <w:szCs w:val="32"/>
        </w:rPr>
        <w:t>4.</w:t>
      </w:r>
      <w:r>
        <w:rPr>
          <w:rFonts w:hint="eastAsia" w:ascii="Times New Roman" w:hAnsi="Times New Roman" w:eastAsia="楷体_GB2312"/>
          <w:color w:val="000000"/>
          <w:sz w:val="32"/>
          <w:szCs w:val="32"/>
        </w:rPr>
        <w:t>其他</w:t>
      </w:r>
      <w:r>
        <w:rPr>
          <w:rFonts w:hint="eastAsia" w:ascii="Times New Roman" w:hAnsi="Times New Roman" w:eastAsia="楷体_GB2312"/>
          <w:color w:val="000000"/>
          <w:sz w:val="32"/>
          <w:szCs w:val="32"/>
          <w:lang w:val="en-US" w:eastAsia="zh-CN"/>
        </w:rPr>
        <w:t>垃圾</w:t>
      </w:r>
      <w:r>
        <w:rPr>
          <w:rFonts w:hint="eastAsia" w:ascii="Times New Roman" w:hAnsi="Times New Roman" w:eastAsia="楷体_GB2312"/>
          <w:color w:val="000000"/>
          <w:sz w:val="32"/>
          <w:szCs w:val="32"/>
        </w:rPr>
        <w:t>。</w:t>
      </w:r>
      <w:r>
        <w:rPr>
          <w:rFonts w:hint="eastAsia" w:ascii="Times New Roman" w:hAnsi="Times New Roman" w:eastAsia="仿宋_GB2312"/>
          <w:sz w:val="32"/>
          <w:szCs w:val="32"/>
        </w:rPr>
        <w:t>是指除可回收物、有害垃圾、厨余垃圾外的生活垃圾。</w:t>
      </w:r>
    </w:p>
    <w:p w14:paraId="40C48A0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楷体_GB2312"/>
          <w:color w:val="000000"/>
          <w:sz w:val="32"/>
          <w:szCs w:val="32"/>
        </w:rPr>
        <w:t>5.</w:t>
      </w:r>
      <w:r>
        <w:rPr>
          <w:rFonts w:hint="eastAsia" w:ascii="Times New Roman" w:hAnsi="Times New Roman" w:eastAsia="楷体_GB2312"/>
          <w:color w:val="000000"/>
          <w:sz w:val="32"/>
          <w:szCs w:val="32"/>
        </w:rPr>
        <w:t>家庭厨余垃圾。</w:t>
      </w:r>
      <w:r>
        <w:rPr>
          <w:rFonts w:hint="eastAsia" w:ascii="Times New Roman" w:hAnsi="Times New Roman" w:eastAsia="仿宋_GB2312"/>
          <w:sz w:val="32"/>
          <w:szCs w:val="32"/>
        </w:rPr>
        <w:t>是指居民家庭日常生活过程中产生的菜帮、菜叶、瓜果皮壳、剩菜剩饭、废弃贪物等易腐性垃圾。</w:t>
      </w:r>
    </w:p>
    <w:p w14:paraId="32AE552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楷体_GB2312"/>
          <w:color w:val="000000"/>
          <w:sz w:val="32"/>
          <w:szCs w:val="32"/>
        </w:rPr>
        <w:t>6.</w:t>
      </w:r>
      <w:r>
        <w:rPr>
          <w:rFonts w:hint="eastAsia" w:ascii="Times New Roman" w:hAnsi="Times New Roman" w:eastAsia="楷体_GB2312"/>
          <w:color w:val="000000"/>
          <w:sz w:val="32"/>
          <w:szCs w:val="32"/>
        </w:rPr>
        <w:t>餐厨垃投。</w:t>
      </w:r>
      <w:r>
        <w:rPr>
          <w:rFonts w:hint="eastAsia" w:ascii="Times New Roman" w:hAnsi="Times New Roman" w:eastAsia="仿宋_GB2312"/>
          <w:sz w:val="32"/>
          <w:szCs w:val="32"/>
        </w:rPr>
        <w:t>是指相关企业和公共机构在食品加工、饮食服务、单位供餐等活动中，产生的食物残渣、食品加工废料和废弃食用油脂。</w:t>
      </w:r>
    </w:p>
    <w:p w14:paraId="59A9C85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楷体_GB2312"/>
          <w:color w:val="000000"/>
          <w:sz w:val="32"/>
          <w:szCs w:val="32"/>
        </w:rPr>
        <w:t>7.</w:t>
      </w:r>
      <w:r>
        <w:rPr>
          <w:rFonts w:hint="eastAsia" w:ascii="Times New Roman" w:hAnsi="Times New Roman" w:eastAsia="楷体_GB2312"/>
          <w:color w:val="000000"/>
          <w:sz w:val="32"/>
          <w:szCs w:val="32"/>
        </w:rPr>
        <w:t>其他厨余垃圾。</w:t>
      </w:r>
      <w:r>
        <w:rPr>
          <w:rFonts w:hint="eastAsia" w:ascii="Times New Roman" w:hAnsi="Times New Roman" w:eastAsia="仿宋_GB2312"/>
          <w:sz w:val="32"/>
          <w:szCs w:val="32"/>
        </w:rPr>
        <w:t>主要指农贸市场垃摄，包括农贸市场、</w:t>
      </w:r>
      <w:r>
        <w:rPr>
          <w:rFonts w:hint="eastAsia" w:ascii="Times New Roman" w:hAnsi="Times New Roman" w:eastAsia="仿宋_GB2312"/>
          <w:color w:val="000000"/>
          <w:sz w:val="32"/>
          <w:szCs w:val="32"/>
        </w:rPr>
        <w:t>农品批发市场产生的蔬菜瓜果垃圾、腐肉、肉碎骨、蛋壳、畜禽产品内脏等。</w:t>
      </w:r>
    </w:p>
    <w:p w14:paraId="3BCB67B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楷体_GB2312"/>
          <w:color w:val="000000"/>
          <w:sz w:val="32"/>
          <w:szCs w:val="32"/>
        </w:rPr>
        <w:t>8.</w:t>
      </w:r>
      <w:r>
        <w:rPr>
          <w:rFonts w:hint="eastAsia" w:ascii="Times New Roman" w:hAnsi="Times New Roman" w:eastAsia="楷体_GB2312"/>
          <w:color w:val="000000"/>
          <w:sz w:val="32"/>
          <w:szCs w:val="32"/>
        </w:rPr>
        <w:t>建筑垃规。</w:t>
      </w:r>
      <w:r>
        <w:rPr>
          <w:rFonts w:hint="eastAsia" w:ascii="Times New Roman" w:hAnsi="Times New Roman" w:eastAsia="仿宋_GB2312"/>
          <w:sz w:val="32"/>
          <w:szCs w:val="32"/>
        </w:rPr>
        <w:t>是指建设单位、</w:t>
      </w:r>
      <w:r>
        <w:rPr>
          <w:rFonts w:hint="eastAsia" w:ascii="Times New Roman" w:hAnsi="Times New Roman" w:eastAsia="仿宋_GB2312"/>
          <w:sz w:val="32"/>
          <w:szCs w:val="32"/>
          <w:lang w:val="en-US" w:eastAsia="zh-CN"/>
        </w:rPr>
        <w:t>施工</w:t>
      </w:r>
      <w:r>
        <w:rPr>
          <w:rFonts w:hint="eastAsia" w:ascii="Times New Roman" w:hAnsi="Times New Roman" w:eastAsia="仿宋_GB2312"/>
          <w:sz w:val="32"/>
          <w:szCs w:val="32"/>
        </w:rPr>
        <w:t>单位新建、改建、扩建和拆除各类建筑物、构筑物、管网等以及居民装饰装修房屋过程中所产生的弃土、弃料及其他废弃物。</w:t>
      </w:r>
    </w:p>
    <w:p w14:paraId="4E2237B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楷体_GB2312"/>
          <w:color w:val="000000"/>
          <w:sz w:val="32"/>
          <w:szCs w:val="32"/>
        </w:rPr>
        <w:t>9.</w:t>
      </w:r>
      <w:r>
        <w:rPr>
          <w:rFonts w:hint="eastAsia" w:ascii="Times New Roman" w:hAnsi="Times New Roman" w:eastAsia="楷体_GB2312"/>
          <w:color w:val="000000"/>
          <w:sz w:val="32"/>
          <w:szCs w:val="32"/>
        </w:rPr>
        <w:t>大件垃圾。</w:t>
      </w:r>
      <w:r>
        <w:rPr>
          <w:rFonts w:hint="eastAsia" w:ascii="Times New Roman" w:hAnsi="Times New Roman" w:eastAsia="仿宋_GB2312"/>
          <w:sz w:val="32"/>
          <w:szCs w:val="32"/>
        </w:rPr>
        <w:t>是指体积较大、整体性强，需要拆分再处理的废弃物品，包括废家用电器和家具等。</w:t>
      </w:r>
    </w:p>
    <w:p w14:paraId="6F27A3C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楷体_GB2312"/>
          <w:color w:val="000000"/>
          <w:sz w:val="32"/>
          <w:szCs w:val="32"/>
        </w:rPr>
        <w:t>10.</w:t>
      </w:r>
      <w:r>
        <w:rPr>
          <w:rFonts w:hint="eastAsia" w:ascii="Times New Roman" w:hAnsi="Times New Roman" w:eastAsia="楷体_GB2312"/>
          <w:color w:val="000000"/>
          <w:sz w:val="32"/>
          <w:szCs w:val="32"/>
          <w:lang w:val="en-US" w:eastAsia="zh-CN"/>
        </w:rPr>
        <w:t>园林</w:t>
      </w:r>
      <w:r>
        <w:rPr>
          <w:rFonts w:hint="eastAsia" w:ascii="Times New Roman" w:hAnsi="Times New Roman" w:eastAsia="楷体_GB2312"/>
          <w:color w:val="000000"/>
          <w:sz w:val="32"/>
          <w:szCs w:val="32"/>
        </w:rPr>
        <w:t>绿化垃圾。</w:t>
      </w:r>
      <w:r>
        <w:rPr>
          <w:rFonts w:hint="eastAsia" w:ascii="Times New Roman" w:hAnsi="Times New Roman" w:eastAsia="仿宋_GB2312"/>
          <w:sz w:val="32"/>
          <w:szCs w:val="32"/>
        </w:rPr>
        <w:t>是指城市绿化养护以及公园绿地、风景名胜区产生树木枝干、落叶、草等有机垃圾。</w:t>
      </w:r>
    </w:p>
    <w:p w14:paraId="013062D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备注：</w:t>
      </w:r>
      <w:r>
        <w:rPr>
          <w:rFonts w:ascii="Times New Roman" w:hAnsi="Times New Roman" w:eastAsia="仿宋_GB2312"/>
          <w:sz w:val="32"/>
          <w:szCs w:val="32"/>
        </w:rPr>
        <w:t>“</w:t>
      </w:r>
      <w:r>
        <w:rPr>
          <w:rFonts w:hint="eastAsia" w:ascii="Times New Roman" w:hAnsi="Times New Roman" w:eastAsia="仿宋_GB2312"/>
          <w:sz w:val="32"/>
          <w:szCs w:val="32"/>
        </w:rPr>
        <w:t>厨余</w:t>
      </w:r>
      <w:r>
        <w:rPr>
          <w:rFonts w:hint="eastAsia" w:ascii="Times New Roman" w:hAnsi="Times New Roman" w:eastAsia="仿宋_GB2312"/>
          <w:sz w:val="32"/>
          <w:szCs w:val="32"/>
          <w:lang w:val="en-US" w:eastAsia="zh-CN"/>
        </w:rPr>
        <w:t>垃圾</w:t>
      </w:r>
      <w:r>
        <w:rPr>
          <w:rFonts w:ascii="Times New Roman" w:hAnsi="Times New Roman" w:eastAsia="仿宋_GB2312"/>
          <w:sz w:val="32"/>
          <w:szCs w:val="32"/>
        </w:rPr>
        <w:t>”</w:t>
      </w:r>
      <w:r>
        <w:rPr>
          <w:rFonts w:hint="eastAsia" w:ascii="Times New Roman" w:hAnsi="Times New Roman" w:eastAsia="仿宋_GB2312"/>
          <w:sz w:val="32"/>
          <w:szCs w:val="32"/>
        </w:rPr>
        <w:t>也可称为</w:t>
      </w:r>
      <w:r>
        <w:rPr>
          <w:rFonts w:ascii="Times New Roman" w:hAnsi="Times New Roman" w:eastAsia="仿宋_GB2312"/>
          <w:sz w:val="32"/>
          <w:szCs w:val="32"/>
        </w:rPr>
        <w:t>“</w:t>
      </w:r>
      <w:r>
        <w:rPr>
          <w:rFonts w:hint="eastAsia" w:ascii="Times New Roman" w:hAnsi="Times New Roman" w:eastAsia="仿宋_GB2312"/>
          <w:sz w:val="32"/>
          <w:szCs w:val="32"/>
        </w:rPr>
        <w:t>湿垃圾</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其他垃圾</w:t>
      </w:r>
      <w:r>
        <w:rPr>
          <w:rFonts w:ascii="Times New Roman" w:hAnsi="Times New Roman" w:eastAsia="仿宋_GB2312"/>
          <w:sz w:val="32"/>
          <w:szCs w:val="32"/>
        </w:rPr>
        <w:t>”</w:t>
      </w:r>
      <w:r>
        <w:rPr>
          <w:rFonts w:hint="eastAsia" w:ascii="Times New Roman" w:hAnsi="Times New Roman" w:eastAsia="仿宋_GB2312"/>
          <w:sz w:val="32"/>
          <w:szCs w:val="32"/>
        </w:rPr>
        <w:t>也可称为</w:t>
      </w:r>
      <w:r>
        <w:rPr>
          <w:rFonts w:ascii="Times New Roman" w:hAnsi="Times New Roman" w:eastAsia="仿宋_GB2312"/>
          <w:sz w:val="32"/>
          <w:szCs w:val="32"/>
        </w:rPr>
        <w:t>“</w:t>
      </w:r>
      <w:r>
        <w:rPr>
          <w:rFonts w:hint="eastAsia" w:ascii="Times New Roman" w:hAnsi="Times New Roman" w:eastAsia="仿宋_GB2312"/>
          <w:sz w:val="32"/>
          <w:szCs w:val="32"/>
        </w:rPr>
        <w:t>干垃圾</w:t>
      </w:r>
      <w:r>
        <w:rPr>
          <w:rFonts w:ascii="Times New Roman" w:hAnsi="Times New Roman" w:eastAsia="仿宋_GB2312"/>
          <w:sz w:val="32"/>
          <w:szCs w:val="32"/>
        </w:rPr>
        <w:t>”</w:t>
      </w:r>
      <w:r>
        <w:rPr>
          <w:rFonts w:hint="eastAsia" w:ascii="Times New Roman" w:hAnsi="Times New Roman" w:eastAsia="仿宋_GB2312"/>
          <w:sz w:val="32"/>
          <w:szCs w:val="32"/>
        </w:rPr>
        <w:t>，在设计和设置生活垃圾分类标志时，可根据实际情况选用湿</w:t>
      </w:r>
      <w:r>
        <w:rPr>
          <w:rFonts w:hint="eastAsia" w:ascii="Times New Roman" w:hAnsi="Times New Roman" w:eastAsia="仿宋_GB2312"/>
          <w:sz w:val="32"/>
          <w:szCs w:val="32"/>
          <w:lang w:val="en-US" w:eastAsia="zh-CN"/>
        </w:rPr>
        <w:t>垃圾</w:t>
      </w:r>
      <w:r>
        <w:rPr>
          <w:rFonts w:ascii="Times New Roman" w:hAnsi="Times New Roman" w:eastAsia="仿宋_GB2312"/>
          <w:sz w:val="32"/>
          <w:szCs w:val="32"/>
        </w:rPr>
        <w:t>”</w:t>
      </w:r>
      <w:r>
        <w:rPr>
          <w:rFonts w:hint="eastAsia" w:ascii="Times New Roman" w:hAnsi="Times New Roman" w:eastAsia="仿宋_GB2312"/>
          <w:sz w:val="32"/>
          <w:szCs w:val="32"/>
        </w:rPr>
        <w:t>与</w:t>
      </w:r>
      <w:r>
        <w:rPr>
          <w:rFonts w:ascii="Times New Roman" w:hAnsi="Times New Roman" w:eastAsia="仿宋_GB2312"/>
          <w:sz w:val="32"/>
          <w:szCs w:val="32"/>
        </w:rPr>
        <w:t>“</w:t>
      </w:r>
      <w:r>
        <w:rPr>
          <w:rFonts w:hint="eastAsia" w:ascii="Times New Roman" w:hAnsi="Times New Roman" w:eastAsia="仿宋_GB2312"/>
          <w:sz w:val="32"/>
          <w:szCs w:val="32"/>
        </w:rPr>
        <w:t>干垃圾</w:t>
      </w:r>
      <w:r>
        <w:rPr>
          <w:rFonts w:ascii="Times New Roman" w:hAnsi="Times New Roman" w:eastAsia="仿宋_GB2312"/>
          <w:sz w:val="32"/>
          <w:szCs w:val="32"/>
        </w:rPr>
        <w:t>”</w:t>
      </w:r>
      <w:r>
        <w:rPr>
          <w:rFonts w:hint="eastAsia" w:ascii="Times New Roman" w:hAnsi="Times New Roman" w:eastAsia="仿宋_GB2312"/>
          <w:sz w:val="32"/>
          <w:szCs w:val="32"/>
        </w:rPr>
        <w:t>应配套使用。</w:t>
      </w:r>
    </w:p>
    <w:p w14:paraId="55F6BDD3">
      <w:pPr>
        <w:overflowPunct w:val="0"/>
        <w:spacing w:line="600" w:lineRule="exact"/>
        <w:rPr>
          <w:rFonts w:ascii="Times New Roman" w:hAnsi="Times New Roman" w:eastAsia="仿宋_GB2312"/>
          <w:sz w:val="28"/>
          <w:szCs w:val="28"/>
        </w:rPr>
      </w:pPr>
    </w:p>
    <w:p w14:paraId="742CC3F7">
      <w:pPr>
        <w:overflowPunct w:val="0"/>
        <w:spacing w:line="600" w:lineRule="exact"/>
        <w:rPr>
          <w:rFonts w:ascii="Times New Roman" w:hAnsi="Times New Roman" w:eastAsia="仿宋_GB2312"/>
          <w:sz w:val="28"/>
          <w:szCs w:val="28"/>
        </w:rPr>
      </w:pPr>
    </w:p>
    <w:p w14:paraId="65A1696D">
      <w:pPr>
        <w:overflowPunct w:val="0"/>
        <w:spacing w:line="600" w:lineRule="exact"/>
        <w:rPr>
          <w:rFonts w:ascii="Times New Roman" w:hAnsi="Times New Roman" w:eastAsia="仿宋_GB2312"/>
          <w:sz w:val="28"/>
          <w:szCs w:val="28"/>
        </w:rPr>
      </w:pPr>
    </w:p>
    <w:p w14:paraId="1E7EC790">
      <w:pPr>
        <w:overflowPunct w:val="0"/>
        <w:spacing w:line="600" w:lineRule="exact"/>
        <w:rPr>
          <w:rFonts w:ascii="Times New Roman" w:hAnsi="Times New Roman" w:eastAsia="仿宋_GB2312"/>
          <w:sz w:val="28"/>
          <w:szCs w:val="28"/>
        </w:rPr>
      </w:pPr>
    </w:p>
    <w:p w14:paraId="5E81B672">
      <w:pPr>
        <w:overflowPunct w:val="0"/>
        <w:spacing w:line="600" w:lineRule="exact"/>
        <w:rPr>
          <w:rFonts w:ascii="Times New Roman" w:hAnsi="Times New Roman" w:eastAsia="仿宋_GB2312"/>
          <w:sz w:val="28"/>
          <w:szCs w:val="28"/>
        </w:rPr>
      </w:pPr>
    </w:p>
    <w:p w14:paraId="14A7B210">
      <w:pPr>
        <w:overflowPunct w:val="0"/>
        <w:spacing w:line="600" w:lineRule="exact"/>
        <w:rPr>
          <w:rFonts w:ascii="Times New Roman" w:hAnsi="Times New Roman" w:eastAsia="仿宋_GB2312"/>
          <w:sz w:val="28"/>
          <w:szCs w:val="28"/>
        </w:rPr>
      </w:pPr>
    </w:p>
    <w:p w14:paraId="278341FC">
      <w:pPr>
        <w:overflowPunct w:val="0"/>
        <w:spacing w:line="600" w:lineRule="exact"/>
        <w:rPr>
          <w:rFonts w:ascii="Times New Roman" w:hAnsi="Times New Roman" w:eastAsia="仿宋_GB2312"/>
          <w:sz w:val="28"/>
          <w:szCs w:val="28"/>
        </w:rPr>
      </w:pPr>
    </w:p>
    <w:p w14:paraId="3AEC1747">
      <w:pPr>
        <w:overflowPunct w:val="0"/>
        <w:spacing w:line="600" w:lineRule="exact"/>
        <w:rPr>
          <w:rFonts w:ascii="Times New Roman" w:hAnsi="Times New Roman" w:eastAsia="仿宋_GB2312"/>
          <w:sz w:val="28"/>
          <w:szCs w:val="28"/>
        </w:rPr>
      </w:pPr>
    </w:p>
    <w:p w14:paraId="33B201F0">
      <w:pPr>
        <w:overflowPunct w:val="0"/>
        <w:spacing w:line="600" w:lineRule="exact"/>
        <w:rPr>
          <w:rFonts w:ascii="Times New Roman" w:hAnsi="Times New Roman" w:eastAsia="仿宋_GB2312"/>
          <w:sz w:val="28"/>
          <w:szCs w:val="28"/>
        </w:rPr>
      </w:pPr>
    </w:p>
    <w:p w14:paraId="3FE2CDC7">
      <w:pPr>
        <w:overflowPunct w:val="0"/>
        <w:spacing w:line="600" w:lineRule="exact"/>
        <w:rPr>
          <w:rFonts w:ascii="Times New Roman" w:hAnsi="Times New Roman" w:eastAsia="仿宋_GB2312"/>
          <w:sz w:val="28"/>
          <w:szCs w:val="28"/>
        </w:rPr>
      </w:pPr>
    </w:p>
    <w:p w14:paraId="73A57BCB">
      <w:pPr>
        <w:overflowPunct w:val="0"/>
        <w:spacing w:line="600" w:lineRule="exact"/>
        <w:rPr>
          <w:rFonts w:ascii="Times New Roman" w:hAnsi="Times New Roman" w:eastAsia="仿宋_GB2312"/>
          <w:sz w:val="28"/>
          <w:szCs w:val="28"/>
        </w:rPr>
      </w:pPr>
    </w:p>
    <w:p w14:paraId="230DF013">
      <w:pPr>
        <w:overflowPunct w:val="0"/>
        <w:spacing w:line="600" w:lineRule="exact"/>
        <w:rPr>
          <w:rFonts w:ascii="Times New Roman" w:hAnsi="Times New Roman" w:eastAsia="仿宋_GB2312"/>
          <w:sz w:val="28"/>
          <w:szCs w:val="28"/>
        </w:rPr>
      </w:pPr>
    </w:p>
    <w:p w14:paraId="5889A81A">
      <w:pPr>
        <w:overflowPunct w:val="0"/>
        <w:spacing w:line="600" w:lineRule="exact"/>
        <w:rPr>
          <w:rFonts w:ascii="Times New Roman" w:hAnsi="Times New Roman" w:eastAsia="仿宋_GB2312"/>
          <w:sz w:val="28"/>
          <w:szCs w:val="28"/>
        </w:rPr>
      </w:pPr>
    </w:p>
    <w:p w14:paraId="743A0187">
      <w:pPr>
        <w:overflowPunct w:val="0"/>
        <w:spacing w:line="600" w:lineRule="exact"/>
        <w:rPr>
          <w:rFonts w:ascii="Times New Roman" w:hAnsi="Times New Roman" w:eastAsia="黑体"/>
          <w:sz w:val="32"/>
          <w:szCs w:val="32"/>
        </w:rPr>
      </w:pPr>
      <w:r>
        <w:rPr>
          <w:rFonts w:ascii="Times New Roman" w:hAnsi="Times New Roman" w:eastAsia="黑体"/>
          <w:sz w:val="32"/>
          <w:szCs w:val="32"/>
        </w:rPr>
        <w:br w:type="page"/>
      </w:r>
      <w:r>
        <w:rPr>
          <w:rFonts w:hint="eastAsia" w:ascii="Times New Roman" w:hAnsi="Times New Roman" w:eastAsia="黑体"/>
          <w:sz w:val="32"/>
          <w:szCs w:val="32"/>
        </w:rPr>
        <w:t>附件</w:t>
      </w:r>
      <w:r>
        <w:rPr>
          <w:rFonts w:ascii="Times New Roman" w:hAnsi="Times New Roman" w:eastAsia="黑体"/>
          <w:sz w:val="32"/>
          <w:szCs w:val="32"/>
        </w:rPr>
        <w:t>2</w:t>
      </w:r>
    </w:p>
    <w:p w14:paraId="05C555F2">
      <w:pPr>
        <w:overflowPunct w:val="0"/>
        <w:adjustRightInd w:val="0"/>
        <w:snapToGrid w:val="0"/>
        <w:spacing w:line="600" w:lineRule="exact"/>
        <w:rPr>
          <w:rFonts w:ascii="Times New Roman" w:hAnsi="Times New Roman" w:eastAsia="方正小标宋简体"/>
          <w:bCs/>
          <w:sz w:val="26"/>
          <w:szCs w:val="32"/>
        </w:rPr>
      </w:pPr>
    </w:p>
    <w:p w14:paraId="714BBF16">
      <w:pPr>
        <w:overflowPunct w:val="0"/>
        <w:adjustRightInd w:val="0"/>
        <w:snapToGrid w:val="0"/>
        <w:spacing w:line="600" w:lineRule="exact"/>
        <w:jc w:val="center"/>
        <w:rPr>
          <w:rFonts w:ascii="Times New Roman" w:hAnsi="Times New Roman" w:eastAsia="方正小标宋简体"/>
          <w:bCs/>
          <w:sz w:val="44"/>
          <w:szCs w:val="44"/>
        </w:rPr>
      </w:pPr>
      <w:r>
        <w:rPr>
          <w:rFonts w:hint="eastAsia" w:ascii="Times New Roman" w:hAnsi="Times New Roman" w:eastAsia="方正小标宋简体"/>
          <w:bCs/>
          <w:sz w:val="44"/>
          <w:szCs w:val="44"/>
        </w:rPr>
        <w:t>生活垃圾单独分类投放转运处置要求</w:t>
      </w:r>
    </w:p>
    <w:p w14:paraId="5062CFF7">
      <w:pPr>
        <w:overflowPunct w:val="0"/>
        <w:spacing w:line="600" w:lineRule="exact"/>
        <w:ind w:firstLine="640" w:firstLineChars="200"/>
        <w:rPr>
          <w:rFonts w:ascii="Times New Roman" w:hAnsi="Times New Roman" w:eastAsia="黑体"/>
          <w:sz w:val="32"/>
          <w:szCs w:val="32"/>
        </w:rPr>
      </w:pPr>
    </w:p>
    <w:p w14:paraId="7D3518B5">
      <w:pPr>
        <w:overflowPunct w:val="0"/>
        <w:spacing w:line="58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一、餐厨垃圾</w:t>
      </w:r>
    </w:p>
    <w:p w14:paraId="506EC522">
      <w:pPr>
        <w:overflowPunct w:val="0"/>
        <w:spacing w:line="580" w:lineRule="exact"/>
        <w:ind w:firstLine="640" w:firstLineChars="200"/>
        <w:rPr>
          <w:rFonts w:ascii="Times New Roman" w:hAnsi="Times New Roman" w:eastAsia="仿宋_GB2312"/>
          <w:sz w:val="32"/>
          <w:szCs w:val="32"/>
        </w:rPr>
      </w:pPr>
      <w:r>
        <w:rPr>
          <w:rFonts w:hint="eastAsia" w:ascii="Times New Roman" w:hAnsi="Times New Roman" w:eastAsia="楷体_GB2312"/>
          <w:color w:val="000000"/>
          <w:sz w:val="32"/>
          <w:szCs w:val="32"/>
        </w:rPr>
        <w:t>（一）主要品种。</w:t>
      </w:r>
      <w:r>
        <w:rPr>
          <w:rFonts w:hint="eastAsia" w:ascii="Times New Roman" w:hAnsi="Times New Roman" w:eastAsia="仿宋_GB2312"/>
          <w:sz w:val="32"/>
          <w:szCs w:val="32"/>
        </w:rPr>
        <w:t>包括：相关企业和公共机构在食品加工、饮食服务、单位供餐等活动中产生的食物残渣、食品加工废料和废弃食用油脂。</w:t>
      </w:r>
    </w:p>
    <w:p w14:paraId="5BECCCE4">
      <w:pPr>
        <w:overflowPunct w:val="0"/>
        <w:spacing w:line="580" w:lineRule="exact"/>
        <w:ind w:firstLine="640" w:firstLineChars="200"/>
        <w:rPr>
          <w:rFonts w:ascii="Times New Roman" w:hAnsi="Times New Roman" w:eastAsia="仿宋_GB2312"/>
          <w:sz w:val="32"/>
          <w:szCs w:val="32"/>
        </w:rPr>
      </w:pPr>
      <w:r>
        <w:rPr>
          <w:rFonts w:hint="eastAsia" w:ascii="Times New Roman" w:hAnsi="Times New Roman" w:eastAsia="楷体_GB2312"/>
          <w:color w:val="000000"/>
          <w:sz w:val="32"/>
          <w:szCs w:val="32"/>
        </w:rPr>
        <w:t>（二）投放暂存。</w:t>
      </w:r>
      <w:r>
        <w:rPr>
          <w:rFonts w:hint="eastAsia" w:ascii="Times New Roman" w:hAnsi="Times New Roman" w:eastAsia="仿宋_GB2312"/>
          <w:sz w:val="32"/>
          <w:szCs w:val="32"/>
        </w:rPr>
        <w:t>餐厨垃圾需按规定建立台账制度，记录种类、数量、去向等。</w:t>
      </w:r>
    </w:p>
    <w:p w14:paraId="6B2A4397">
      <w:pPr>
        <w:overflowPunct w:val="0"/>
        <w:spacing w:line="580" w:lineRule="exact"/>
        <w:ind w:firstLine="640" w:firstLineChars="200"/>
        <w:rPr>
          <w:rFonts w:ascii="Times New Roman" w:hAnsi="Times New Roman" w:eastAsia="仿宋_GB2312"/>
          <w:sz w:val="32"/>
          <w:szCs w:val="32"/>
        </w:rPr>
      </w:pPr>
      <w:r>
        <w:rPr>
          <w:rFonts w:hint="eastAsia" w:ascii="Times New Roman" w:hAnsi="Times New Roman" w:eastAsia="楷体_GB2312"/>
          <w:color w:val="000000"/>
          <w:sz w:val="32"/>
          <w:szCs w:val="32"/>
        </w:rPr>
        <w:t>（三）收运处置。</w:t>
      </w:r>
      <w:r>
        <w:rPr>
          <w:rFonts w:hint="eastAsia" w:ascii="Times New Roman" w:hAnsi="Times New Roman" w:eastAsia="仿宋_GB2312"/>
          <w:sz w:val="32"/>
          <w:szCs w:val="32"/>
        </w:rPr>
        <w:t>餐厨垃圾采用密闭专用车辆运送至餐厨垃圾处置设施处理，运输过程中应加强对泄露、遗撒和臭气的控制。相关部门要加强对餐厨垃圾运输、处理的监控。</w:t>
      </w:r>
    </w:p>
    <w:p w14:paraId="1E72382D">
      <w:pPr>
        <w:overflowPunct w:val="0"/>
        <w:spacing w:line="58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二、建筑垃圾</w:t>
      </w:r>
    </w:p>
    <w:p w14:paraId="183916FB">
      <w:pPr>
        <w:overflowPunct w:val="0"/>
        <w:spacing w:line="580" w:lineRule="exact"/>
        <w:ind w:firstLine="640" w:firstLineChars="200"/>
        <w:rPr>
          <w:rFonts w:ascii="Times New Roman" w:hAnsi="Times New Roman" w:eastAsia="仿宋_GB2312"/>
          <w:sz w:val="32"/>
          <w:szCs w:val="32"/>
        </w:rPr>
      </w:pPr>
      <w:r>
        <w:rPr>
          <w:rFonts w:hint="eastAsia" w:ascii="Times New Roman" w:hAnsi="Times New Roman" w:eastAsia="楷体_GB2312"/>
          <w:color w:val="000000"/>
          <w:sz w:val="32"/>
          <w:szCs w:val="32"/>
        </w:rPr>
        <w:t>（一）主要品种。</w:t>
      </w:r>
      <w:r>
        <w:rPr>
          <w:rFonts w:hint="eastAsia" w:ascii="Times New Roman" w:hAnsi="Times New Roman" w:eastAsia="仿宋_GB2312"/>
          <w:sz w:val="32"/>
          <w:szCs w:val="32"/>
        </w:rPr>
        <w:t>包括：建设单位、施工单位新建、改建、扩建和拆除各类建筑物、构筑物、管网等以及居民装饰装修房屋过程中所产生的弃土、弃料及其他废弃物。</w:t>
      </w:r>
    </w:p>
    <w:p w14:paraId="745AB711">
      <w:pPr>
        <w:overflowPunct w:val="0"/>
        <w:spacing w:line="580" w:lineRule="exact"/>
        <w:ind w:firstLine="640" w:firstLineChars="200"/>
        <w:rPr>
          <w:rFonts w:ascii="Times New Roman" w:hAnsi="Times New Roman" w:eastAsia="仿宋_GB2312"/>
          <w:sz w:val="32"/>
          <w:szCs w:val="32"/>
        </w:rPr>
      </w:pPr>
      <w:r>
        <w:rPr>
          <w:rFonts w:hint="eastAsia" w:ascii="Times New Roman" w:hAnsi="Times New Roman" w:eastAsia="楷体_GB2312"/>
          <w:color w:val="000000"/>
          <w:sz w:val="32"/>
          <w:szCs w:val="32"/>
        </w:rPr>
        <w:t>（二）投放暂存。</w:t>
      </w:r>
      <w:r>
        <w:rPr>
          <w:rFonts w:hint="eastAsia" w:ascii="Times New Roman" w:hAnsi="Times New Roman" w:eastAsia="仿宋_GB2312"/>
          <w:sz w:val="32"/>
          <w:szCs w:val="32"/>
        </w:rPr>
        <w:t>所有建筑垃圾，除建设项目就地利用、减量外，都必须非选择性的集中收集到建筑垃圾处置汤所，居民进行房屋装饰装修活动产生的建筑垃圾，应当按照物业服务企业、单位或者社区居民委员会指定的地点分类打包堆放。</w:t>
      </w:r>
    </w:p>
    <w:p w14:paraId="6724EA56">
      <w:pPr>
        <w:overflowPunct w:val="0"/>
        <w:spacing w:line="580" w:lineRule="exact"/>
        <w:ind w:firstLine="640" w:firstLineChars="200"/>
        <w:rPr>
          <w:rFonts w:ascii="Times New Roman" w:hAnsi="Times New Roman" w:eastAsia="仿宋_GB2312"/>
          <w:sz w:val="32"/>
          <w:szCs w:val="32"/>
        </w:rPr>
      </w:pPr>
      <w:r>
        <w:rPr>
          <w:rFonts w:hint="eastAsia" w:ascii="Times New Roman" w:hAnsi="Times New Roman" w:eastAsia="楷体_GB2312"/>
          <w:color w:val="000000"/>
          <w:sz w:val="32"/>
          <w:szCs w:val="32"/>
        </w:rPr>
        <w:t>（三）收运处置。</w:t>
      </w:r>
      <w:r>
        <w:rPr>
          <w:rFonts w:hint="eastAsia" w:ascii="Times New Roman" w:hAnsi="Times New Roman" w:eastAsia="仿宋_GB2312"/>
          <w:sz w:val="32"/>
          <w:szCs w:val="32"/>
        </w:rPr>
        <w:t>建筑</w:t>
      </w:r>
      <w:r>
        <w:rPr>
          <w:rFonts w:hint="eastAsia" w:ascii="Times New Roman" w:hAnsi="Times New Roman" w:eastAsia="仿宋_GB2312"/>
          <w:sz w:val="32"/>
          <w:szCs w:val="32"/>
          <w:lang w:val="en-US" w:eastAsia="zh-CN"/>
        </w:rPr>
        <w:t>垃圾</w:t>
      </w:r>
      <w:r>
        <w:rPr>
          <w:rFonts w:hint="eastAsia" w:ascii="Times New Roman" w:hAnsi="Times New Roman" w:eastAsia="仿宋_GB2312"/>
          <w:sz w:val="32"/>
          <w:szCs w:val="32"/>
        </w:rPr>
        <w:t>产生单位应将建筑垃圾交由经核准的从事建筑垃圾运输的单位进行清运，使用取得道路运输证的专业密闭环保运输车辆将建筑</w:t>
      </w:r>
      <w:r>
        <w:rPr>
          <w:rFonts w:hint="eastAsia" w:ascii="Times New Roman" w:hAnsi="Times New Roman" w:eastAsia="仿宋_GB2312"/>
          <w:sz w:val="32"/>
          <w:szCs w:val="32"/>
          <w:lang w:eastAsia="zh-CN"/>
        </w:rPr>
        <w:t>垃圾</w:t>
      </w:r>
      <w:r>
        <w:rPr>
          <w:rFonts w:hint="eastAsia" w:ascii="Times New Roman" w:hAnsi="Times New Roman" w:eastAsia="仿宋_GB2312"/>
          <w:sz w:val="32"/>
          <w:szCs w:val="32"/>
        </w:rPr>
        <w:t>运送至建筑垃圾处置场所处置。</w:t>
      </w:r>
    </w:p>
    <w:p w14:paraId="0FCA6E5B">
      <w:pPr>
        <w:overflowPunct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三、园林绿化垃圾</w:t>
      </w:r>
    </w:p>
    <w:p w14:paraId="158AC9E3">
      <w:pPr>
        <w:overflowPunct w:val="0"/>
        <w:spacing w:line="600" w:lineRule="exact"/>
        <w:ind w:firstLine="640" w:firstLineChars="200"/>
        <w:rPr>
          <w:rFonts w:ascii="Times New Roman" w:hAnsi="Times New Roman" w:eastAsia="仿宋_GB2312"/>
          <w:sz w:val="32"/>
          <w:szCs w:val="32"/>
        </w:rPr>
      </w:pPr>
      <w:r>
        <w:rPr>
          <w:rFonts w:hint="eastAsia" w:ascii="Times New Roman" w:hAnsi="Times New Roman" w:eastAsia="楷体_GB2312"/>
          <w:color w:val="000000"/>
          <w:sz w:val="32"/>
          <w:szCs w:val="32"/>
        </w:rPr>
        <w:t>（一）主要品种。</w:t>
      </w:r>
      <w:r>
        <w:rPr>
          <w:rFonts w:hint="eastAsia" w:ascii="Times New Roman" w:hAnsi="Times New Roman" w:eastAsia="仿宋_GB2312"/>
          <w:sz w:val="32"/>
          <w:szCs w:val="32"/>
        </w:rPr>
        <w:t>包括：减市绿化养护和公园绿地，风景名胜区等绿化作业过程中产生的枝叶、树木等。</w:t>
      </w:r>
    </w:p>
    <w:p w14:paraId="60033A4C">
      <w:pPr>
        <w:overflowPunct w:val="0"/>
        <w:spacing w:line="600" w:lineRule="exact"/>
        <w:ind w:firstLine="640" w:firstLineChars="200"/>
        <w:rPr>
          <w:rFonts w:ascii="Times New Roman" w:hAnsi="Times New Roman" w:eastAsia="仿宋_GB2312"/>
          <w:sz w:val="32"/>
          <w:szCs w:val="32"/>
        </w:rPr>
      </w:pPr>
      <w:r>
        <w:rPr>
          <w:rFonts w:hint="eastAsia" w:ascii="Times New Roman" w:hAnsi="Times New Roman" w:eastAsia="楷体_GB2312"/>
          <w:color w:val="000000"/>
          <w:sz w:val="32"/>
          <w:szCs w:val="32"/>
        </w:rPr>
        <w:t>（二）</w:t>
      </w:r>
      <w:r>
        <w:rPr>
          <w:rFonts w:hint="eastAsia" w:ascii="Times New Roman" w:hAnsi="Times New Roman" w:eastAsia="楷体_GB2312"/>
          <w:color w:val="000000"/>
          <w:sz w:val="32"/>
          <w:szCs w:val="32"/>
          <w:lang w:val="en-US" w:eastAsia="zh-CN"/>
        </w:rPr>
        <w:t>投放</w:t>
      </w:r>
      <w:r>
        <w:rPr>
          <w:rFonts w:hint="eastAsia" w:ascii="Times New Roman" w:hAnsi="Times New Roman" w:eastAsia="楷体_GB2312"/>
          <w:color w:val="000000"/>
          <w:sz w:val="32"/>
          <w:szCs w:val="32"/>
        </w:rPr>
        <w:t>暂存。</w:t>
      </w:r>
      <w:r>
        <w:rPr>
          <w:rFonts w:hint="eastAsia" w:ascii="Times New Roman" w:hAnsi="Times New Roman" w:eastAsia="仿宋_GB2312"/>
          <w:sz w:val="32"/>
          <w:szCs w:val="32"/>
        </w:rPr>
        <w:t>养护作业过程中产生的废弃树木、枝叶等园林绿化垃圾单独分类和存放。</w:t>
      </w:r>
    </w:p>
    <w:p w14:paraId="3B1E5909">
      <w:pPr>
        <w:overflowPunct w:val="0"/>
        <w:spacing w:line="600" w:lineRule="exact"/>
        <w:ind w:firstLine="640" w:firstLineChars="200"/>
        <w:rPr>
          <w:rFonts w:ascii="Times New Roman" w:hAnsi="Times New Roman" w:eastAsia="仿宋_GB2312"/>
          <w:sz w:val="32"/>
          <w:szCs w:val="32"/>
        </w:rPr>
      </w:pPr>
      <w:r>
        <w:rPr>
          <w:rFonts w:hint="eastAsia" w:ascii="Times New Roman" w:hAnsi="Times New Roman" w:eastAsia="楷体_GB2312"/>
          <w:color w:val="000000"/>
          <w:sz w:val="32"/>
          <w:szCs w:val="32"/>
        </w:rPr>
        <w:t>（三）收运处置。</w:t>
      </w:r>
      <w:r>
        <w:rPr>
          <w:rFonts w:hint="eastAsia" w:ascii="Times New Roman" w:hAnsi="Times New Roman" w:eastAsia="仿宋_GB2312"/>
          <w:sz w:val="32"/>
          <w:szCs w:val="32"/>
        </w:rPr>
        <w:t>园林绿化垃圾</w:t>
      </w:r>
      <w:r>
        <w:rPr>
          <w:rFonts w:hint="eastAsia" w:ascii="Times New Roman" w:hAnsi="Times New Roman" w:eastAsia="仿宋_GB2312"/>
          <w:sz w:val="32"/>
          <w:szCs w:val="32"/>
          <w:lang w:val="en-US" w:eastAsia="zh-CN"/>
        </w:rPr>
        <w:t>采用</w:t>
      </w:r>
      <w:r>
        <w:rPr>
          <w:rFonts w:hint="eastAsia" w:ascii="Times New Roman" w:hAnsi="Times New Roman" w:eastAsia="仿宋_GB2312"/>
          <w:sz w:val="32"/>
          <w:szCs w:val="32"/>
        </w:rPr>
        <w:t>就地处置，或通过车辆收运、</w:t>
      </w:r>
      <w:r>
        <w:rPr>
          <w:rFonts w:hint="eastAsia" w:ascii="Times New Roman" w:hAnsi="Times New Roman" w:eastAsia="仿宋_GB2312"/>
          <w:sz w:val="32"/>
          <w:szCs w:val="32"/>
          <w:lang w:val="en-US" w:eastAsia="zh-CN"/>
        </w:rPr>
        <w:t>采</w:t>
      </w:r>
      <w:bookmarkStart w:id="0" w:name="_GoBack"/>
      <w:bookmarkEnd w:id="0"/>
      <w:r>
        <w:rPr>
          <w:rFonts w:hint="eastAsia" w:ascii="Times New Roman" w:hAnsi="Times New Roman" w:eastAsia="仿宋_GB2312"/>
          <w:sz w:val="32"/>
          <w:szCs w:val="32"/>
        </w:rPr>
        <w:t>取适度集中的方式处理。相关部门要加强对园林绿化垃圾运输、处理的监控。</w:t>
      </w:r>
    </w:p>
    <w:p w14:paraId="283512CF">
      <w:pPr>
        <w:overflowPunct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四、农贸市场垃圾</w:t>
      </w:r>
    </w:p>
    <w:p w14:paraId="51315DCC">
      <w:pPr>
        <w:overflowPunct w:val="0"/>
        <w:spacing w:line="600" w:lineRule="exact"/>
        <w:ind w:firstLine="640" w:firstLineChars="200"/>
        <w:rPr>
          <w:rFonts w:ascii="Times New Roman" w:hAnsi="Times New Roman" w:eastAsia="仿宋_GB2312"/>
          <w:sz w:val="32"/>
          <w:szCs w:val="32"/>
        </w:rPr>
      </w:pPr>
      <w:r>
        <w:rPr>
          <w:rFonts w:hint="eastAsia" w:ascii="Times New Roman" w:hAnsi="Times New Roman" w:eastAsia="楷体_GB2312"/>
          <w:color w:val="000000"/>
          <w:sz w:val="32"/>
          <w:szCs w:val="32"/>
        </w:rPr>
        <w:t>（一）主要品种。</w:t>
      </w:r>
      <w:r>
        <w:rPr>
          <w:rFonts w:hint="eastAsia" w:ascii="Times New Roman" w:hAnsi="Times New Roman" w:eastAsia="仿宋_GB2312"/>
          <w:sz w:val="32"/>
          <w:szCs w:val="32"/>
        </w:rPr>
        <w:t>包括：农贸市场、农产品批发市场产生的菜瓜果垃圾、腐肉、肉碎骨、蛋壳、畜禽产品内脏等</w:t>
      </w:r>
    </w:p>
    <w:p w14:paraId="384D83CE">
      <w:pPr>
        <w:overflowPunct w:val="0"/>
        <w:spacing w:line="600" w:lineRule="exact"/>
        <w:ind w:firstLine="640" w:firstLineChars="200"/>
        <w:rPr>
          <w:rFonts w:ascii="Times New Roman" w:hAnsi="Times New Roman" w:eastAsia="仿宋_GB2312"/>
          <w:sz w:val="32"/>
          <w:szCs w:val="32"/>
        </w:rPr>
      </w:pPr>
      <w:r>
        <w:rPr>
          <w:rFonts w:hint="eastAsia" w:ascii="Times New Roman" w:hAnsi="Times New Roman" w:eastAsia="楷体_GB2312"/>
          <w:color w:val="000000"/>
          <w:sz w:val="32"/>
          <w:szCs w:val="32"/>
        </w:rPr>
        <w:t>（二）投放暂存。</w:t>
      </w:r>
      <w:r>
        <w:rPr>
          <w:rFonts w:hint="eastAsia" w:ascii="Times New Roman" w:hAnsi="Times New Roman" w:eastAsia="仿宋_GB2312"/>
          <w:sz w:val="32"/>
          <w:szCs w:val="32"/>
        </w:rPr>
        <w:t>设置专门密闭容器单独投放，并逐步提高分类准确率，避免混入其他不利于后续处理的杂质，做到</w:t>
      </w:r>
      <w:r>
        <w:rPr>
          <w:rFonts w:ascii="Times New Roman" w:hAnsi="Times New Roman" w:eastAsia="仿宋_GB2312"/>
          <w:sz w:val="32"/>
          <w:szCs w:val="32"/>
        </w:rPr>
        <w:t>“</w:t>
      </w:r>
      <w:r>
        <w:rPr>
          <w:rFonts w:hint="eastAsia" w:ascii="Times New Roman" w:hAnsi="Times New Roman" w:eastAsia="仿宋_GB2312"/>
          <w:sz w:val="32"/>
          <w:szCs w:val="32"/>
        </w:rPr>
        <w:t>日产日清</w:t>
      </w:r>
      <w:r>
        <w:rPr>
          <w:rFonts w:ascii="Times New Roman" w:hAnsi="Times New Roman" w:eastAsia="仿宋_GB2312"/>
          <w:sz w:val="32"/>
          <w:szCs w:val="32"/>
        </w:rPr>
        <w:t>”</w:t>
      </w:r>
      <w:r>
        <w:rPr>
          <w:rFonts w:hint="eastAsia" w:ascii="Times New Roman" w:hAnsi="Times New Roman" w:eastAsia="仿宋_GB2312"/>
          <w:sz w:val="32"/>
          <w:szCs w:val="32"/>
        </w:rPr>
        <w:t>。</w:t>
      </w:r>
    </w:p>
    <w:p w14:paraId="7DC383E0">
      <w:pPr>
        <w:overflowPunct w:val="0"/>
        <w:spacing w:line="600" w:lineRule="exact"/>
        <w:ind w:firstLine="640" w:firstLineChars="200"/>
        <w:rPr>
          <w:rFonts w:ascii="Times New Roman" w:hAnsi="Times New Roman" w:eastAsia="仿宋_GB2312"/>
          <w:sz w:val="32"/>
          <w:szCs w:val="32"/>
        </w:rPr>
      </w:pPr>
      <w:r>
        <w:rPr>
          <w:rFonts w:hint="eastAsia" w:ascii="Times New Roman" w:hAnsi="Times New Roman" w:eastAsia="楷体_GB2312"/>
          <w:color w:val="000000"/>
          <w:sz w:val="32"/>
          <w:szCs w:val="32"/>
        </w:rPr>
        <w:t>（三）收运</w:t>
      </w:r>
      <w:r>
        <w:rPr>
          <w:rFonts w:hint="eastAsia" w:ascii="Times New Roman" w:hAnsi="Times New Roman" w:eastAsia="楷体_GB2312"/>
          <w:color w:val="000000"/>
          <w:sz w:val="32"/>
          <w:szCs w:val="32"/>
          <w:lang w:val="en-US" w:eastAsia="zh-CN"/>
        </w:rPr>
        <w:t>处理</w:t>
      </w:r>
      <w:r>
        <w:rPr>
          <w:rFonts w:hint="eastAsia" w:ascii="Times New Roman" w:hAnsi="Times New Roman" w:eastAsia="楷体_GB2312"/>
          <w:color w:val="000000"/>
          <w:sz w:val="32"/>
          <w:szCs w:val="32"/>
        </w:rPr>
        <w:t>。</w:t>
      </w:r>
      <w:r>
        <w:rPr>
          <w:rFonts w:hint="eastAsia" w:ascii="Times New Roman" w:hAnsi="Times New Roman" w:eastAsia="仿宋_GB2312"/>
          <w:sz w:val="32"/>
          <w:szCs w:val="32"/>
        </w:rPr>
        <w:t>可采用就地处置方式，或使用密闭专用车辆运送至处置设施处理。运输过程中应加强对泄露、遗撒和臭气的控制。相关部门要加强对农贸市场垃圾运输、处理的监控，可根据实际情况与厨余垃圾协同收运处置。</w:t>
      </w:r>
    </w:p>
    <w:p w14:paraId="6EED6580">
      <w:pPr>
        <w:overflowPunct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五、大件垃圾</w:t>
      </w:r>
    </w:p>
    <w:p w14:paraId="64D70414">
      <w:pPr>
        <w:overflowPunct w:val="0"/>
        <w:spacing w:line="600" w:lineRule="exact"/>
        <w:ind w:firstLine="640" w:firstLineChars="200"/>
        <w:rPr>
          <w:rFonts w:ascii="Times New Roman" w:hAnsi="Times New Roman" w:eastAsia="仿宋_GB2312"/>
          <w:sz w:val="32"/>
          <w:szCs w:val="32"/>
        </w:rPr>
      </w:pPr>
      <w:r>
        <w:rPr>
          <w:rFonts w:hint="eastAsia" w:ascii="Times New Roman" w:hAnsi="Times New Roman" w:eastAsia="楷体_GB2312"/>
          <w:color w:val="000000"/>
          <w:sz w:val="32"/>
          <w:szCs w:val="32"/>
        </w:rPr>
        <w:t>（一）主要品种。</w:t>
      </w:r>
      <w:r>
        <w:rPr>
          <w:rFonts w:hint="eastAsia" w:ascii="Times New Roman" w:hAnsi="Times New Roman" w:eastAsia="仿宋_GB2312"/>
          <w:sz w:val="32"/>
          <w:szCs w:val="32"/>
        </w:rPr>
        <w:t>大件垃圾是指体积较大、整体性强，需要拆分再处理的废弃物品，包括废家用电器和家具等。</w:t>
      </w:r>
    </w:p>
    <w:p w14:paraId="4C7ACB5E">
      <w:pPr>
        <w:overflowPunct w:val="0"/>
        <w:spacing w:line="600" w:lineRule="exact"/>
        <w:ind w:firstLine="640" w:firstLineChars="200"/>
        <w:rPr>
          <w:rFonts w:ascii="Times New Roman" w:hAnsi="Times New Roman" w:eastAsia="仿宋_GB2312"/>
          <w:sz w:val="32"/>
          <w:szCs w:val="32"/>
        </w:rPr>
      </w:pPr>
      <w:r>
        <w:rPr>
          <w:rFonts w:hint="eastAsia" w:ascii="Times New Roman" w:hAnsi="Times New Roman" w:eastAsia="楷体_GB2312"/>
          <w:color w:val="000000"/>
          <w:sz w:val="32"/>
          <w:szCs w:val="32"/>
        </w:rPr>
        <w:t>（二）投放暂存。</w:t>
      </w:r>
      <w:r>
        <w:rPr>
          <w:rFonts w:hint="eastAsia" w:ascii="Times New Roman" w:hAnsi="Times New Roman" w:eastAsia="仿宋_GB2312"/>
          <w:sz w:val="32"/>
          <w:szCs w:val="32"/>
        </w:rPr>
        <w:t>具备空间条件的居住区、单位应当设置大件垃圾分类堆放场所。大件垃圾产生者应将大件垃圾投放至指定的分类堆放场所，或者通过电话、网络等方式预约回收经营者或者大件垃圾收集、运输单位上门回收，也可自行送至有关部门设立的大件垃圾拆解处理场所。</w:t>
      </w:r>
    </w:p>
    <w:p w14:paraId="56DC7168">
      <w:pPr>
        <w:overflowPunct w:val="0"/>
        <w:spacing w:line="600" w:lineRule="exact"/>
        <w:ind w:firstLine="640" w:firstLineChars="200"/>
        <w:rPr>
          <w:rFonts w:ascii="Times New Roman" w:hAnsi="Times New Roman" w:eastAsia="仿宋_GB2312"/>
          <w:sz w:val="32"/>
          <w:szCs w:val="32"/>
        </w:rPr>
      </w:pPr>
      <w:r>
        <w:rPr>
          <w:rFonts w:hint="eastAsia" w:ascii="Times New Roman" w:hAnsi="Times New Roman" w:eastAsia="楷体_GB2312"/>
          <w:color w:val="000000"/>
          <w:sz w:val="32"/>
          <w:szCs w:val="32"/>
        </w:rPr>
        <w:t>（三）收运处置。</w:t>
      </w:r>
      <w:r>
        <w:rPr>
          <w:rFonts w:hint="eastAsia" w:ascii="Times New Roman" w:hAnsi="Times New Roman" w:eastAsia="仿宋_GB2312"/>
          <w:sz w:val="32"/>
          <w:szCs w:val="32"/>
        </w:rPr>
        <w:t>大件垃圾分类堆放场所贮存量达到一定规模后，可预约收集、运输作业单位提供收运服务，运至拆解处理场所进行拆分，促进资源化利用与无害化处置。鼓励建设相应的回收利用基地。</w:t>
      </w:r>
    </w:p>
    <w:p w14:paraId="17A671C9">
      <w:pPr>
        <w:overflowPunct w:val="0"/>
        <w:spacing w:line="600" w:lineRule="exact"/>
        <w:rPr>
          <w:rFonts w:ascii="Times New Roman" w:hAnsi="Times New Roman" w:eastAsia="仿宋_GB2312"/>
          <w:sz w:val="32"/>
          <w:szCs w:val="32"/>
        </w:rPr>
      </w:pPr>
    </w:p>
    <w:p w14:paraId="013DEF17">
      <w:pPr>
        <w:overflowPunct w:val="0"/>
        <w:spacing w:line="600" w:lineRule="exact"/>
        <w:rPr>
          <w:rFonts w:ascii="Times New Roman" w:hAnsi="Times New Roman" w:eastAsia="仿宋_GB2312"/>
          <w:sz w:val="32"/>
          <w:szCs w:val="32"/>
        </w:rPr>
      </w:pPr>
    </w:p>
    <w:p w14:paraId="3C0D9510">
      <w:pPr>
        <w:overflowPunct w:val="0"/>
        <w:spacing w:line="600" w:lineRule="exact"/>
        <w:rPr>
          <w:rFonts w:ascii="Times New Roman" w:hAnsi="Times New Roman" w:eastAsia="仿宋_GB2312"/>
          <w:sz w:val="32"/>
          <w:szCs w:val="32"/>
        </w:rPr>
      </w:pPr>
    </w:p>
    <w:p w14:paraId="50CC061A">
      <w:pPr>
        <w:overflowPunct w:val="0"/>
        <w:spacing w:line="600" w:lineRule="exact"/>
        <w:rPr>
          <w:rFonts w:ascii="Times New Roman" w:hAnsi="Times New Roman" w:eastAsia="仿宋_GB2312"/>
          <w:sz w:val="32"/>
          <w:szCs w:val="32"/>
        </w:rPr>
      </w:pPr>
    </w:p>
    <w:p w14:paraId="35A6D657">
      <w:pPr>
        <w:overflowPunct w:val="0"/>
        <w:spacing w:line="600" w:lineRule="exact"/>
        <w:rPr>
          <w:rFonts w:ascii="Times New Roman" w:hAnsi="Times New Roman" w:eastAsia="仿宋_GB2312"/>
          <w:sz w:val="32"/>
          <w:szCs w:val="32"/>
        </w:rPr>
      </w:pPr>
    </w:p>
    <w:p w14:paraId="0DC16926">
      <w:pPr>
        <w:overflowPunct w:val="0"/>
        <w:spacing w:line="600" w:lineRule="exact"/>
        <w:rPr>
          <w:rFonts w:ascii="Times New Roman" w:hAnsi="Times New Roman" w:eastAsia="仿宋_GB2312"/>
          <w:sz w:val="32"/>
          <w:szCs w:val="32"/>
        </w:rPr>
      </w:pPr>
    </w:p>
    <w:p w14:paraId="6F3F5E98">
      <w:pPr>
        <w:overflowPunct w:val="0"/>
        <w:spacing w:line="600" w:lineRule="exact"/>
        <w:rPr>
          <w:rFonts w:ascii="Times New Roman" w:hAnsi="Times New Roman" w:eastAsia="仿宋_GB2312"/>
          <w:sz w:val="32"/>
          <w:szCs w:val="32"/>
        </w:rPr>
      </w:pPr>
    </w:p>
    <w:p w14:paraId="28D123D3">
      <w:pPr>
        <w:overflowPunct w:val="0"/>
        <w:spacing w:line="600" w:lineRule="exact"/>
        <w:rPr>
          <w:rFonts w:ascii="Times New Roman" w:hAnsi="Times New Roman" w:eastAsia="仿宋_GB2312"/>
          <w:sz w:val="32"/>
          <w:szCs w:val="32"/>
        </w:rPr>
      </w:pPr>
    </w:p>
    <w:p w14:paraId="4F3B2C6A">
      <w:pPr>
        <w:overflowPunct w:val="0"/>
        <w:spacing w:line="600" w:lineRule="exact"/>
        <w:rPr>
          <w:rFonts w:ascii="Times New Roman" w:hAnsi="Times New Roman" w:eastAsia="黑体"/>
          <w:sz w:val="32"/>
          <w:szCs w:val="32"/>
        </w:rPr>
      </w:pPr>
      <w:r>
        <w:rPr>
          <w:rFonts w:ascii="Times New Roman" w:hAnsi="Times New Roman" w:eastAsia="仿宋_GB2312"/>
          <w:sz w:val="32"/>
          <w:szCs w:val="32"/>
        </w:rPr>
        <w:br w:type="page"/>
      </w:r>
      <w:r>
        <w:rPr>
          <w:rFonts w:hint="eastAsia" w:ascii="Times New Roman" w:hAnsi="Times New Roman" w:eastAsia="黑体"/>
          <w:sz w:val="32"/>
          <w:szCs w:val="32"/>
        </w:rPr>
        <w:t>附件</w:t>
      </w:r>
      <w:r>
        <w:rPr>
          <w:rFonts w:ascii="Times New Roman" w:hAnsi="Times New Roman" w:eastAsia="黑体"/>
          <w:sz w:val="32"/>
          <w:szCs w:val="32"/>
        </w:rPr>
        <w:t>3</w:t>
      </w:r>
    </w:p>
    <w:p w14:paraId="2FE37C73">
      <w:pPr>
        <w:keepNext w:val="0"/>
        <w:keepLines w:val="0"/>
        <w:pageBreakBefore w:val="0"/>
        <w:widowControl w:val="0"/>
        <w:kinsoku/>
        <w:wordWrap/>
        <w:overflowPunct w:val="0"/>
        <w:topLinePunct w:val="0"/>
        <w:autoSpaceDE/>
        <w:autoSpaceDN/>
        <w:bidi w:val="0"/>
        <w:adjustRightInd w:val="0"/>
        <w:snapToGrid w:val="0"/>
        <w:spacing w:line="620" w:lineRule="exact"/>
        <w:jc w:val="center"/>
        <w:textAlignment w:val="auto"/>
        <w:rPr>
          <w:rFonts w:ascii="Times New Roman" w:hAnsi="Times New Roman" w:eastAsia="方正小标宋简体"/>
          <w:bCs/>
          <w:sz w:val="44"/>
          <w:szCs w:val="44"/>
        </w:rPr>
      </w:pPr>
      <w:r>
        <w:rPr>
          <w:rFonts w:hint="eastAsia" w:ascii="Times New Roman" w:hAnsi="Times New Roman" w:eastAsia="方正小标宋简体"/>
          <w:bCs/>
          <w:sz w:val="44"/>
          <w:szCs w:val="44"/>
        </w:rPr>
        <w:t>相关单位工作职责</w:t>
      </w:r>
    </w:p>
    <w:p w14:paraId="2B4E6FAE">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Times New Roman" w:hAnsi="Times New Roman" w:eastAsia="仿宋_GB2312"/>
          <w:sz w:val="32"/>
          <w:szCs w:val="32"/>
        </w:rPr>
      </w:pPr>
    </w:p>
    <w:p w14:paraId="4EC2A2F5">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区委办办公室：协调、督查生活垃圾分类工作，将生活垃圾分类工作纳入区对街道、部门绩效考核。</w:t>
      </w:r>
    </w:p>
    <w:p w14:paraId="34E056D4">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区政府办公室：协调、督查生活垃圾分类工作。</w:t>
      </w:r>
    </w:p>
    <w:p w14:paraId="0F7BC74A">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区委组织部：组织动员党员领导干部及全区机关干部带头实施生活垃圾分类，发动党员志愿者积极参与垃圾分类工作，将党员参与生活垃圾分类工作纳入党员积分管理，建立党员干部参与生活垃圾分类工作台账。</w:t>
      </w:r>
    </w:p>
    <w:p w14:paraId="648CDF6D">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区委宣传部：统筹做好生活垃圾分类工作舆论宣传引导，组织开展教育主题活动和志愿者活动。</w:t>
      </w:r>
    </w:p>
    <w:p w14:paraId="0BE1ECA2">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团区委：负责引导全区青少年参与生活垃圾分类，动员少先队员、青年团员、青年志愿者带头参与生活垃圾分类工作。</w:t>
      </w:r>
    </w:p>
    <w:p w14:paraId="5B572733">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区妇联：带动引导全区妇女及家庭积极参与生活垃圾分类工作，发动全区巾帼志愿者参与生活垃圾分类宣传工作。</w:t>
      </w:r>
    </w:p>
    <w:p w14:paraId="3D5C856B">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区发展改革局：负责对接国家、省级、市级层面有关生活垃圾分类引导政策，争取资金扶持和政策引导。负责指导支持生活垃圾处理设施立项建设工作。</w:t>
      </w:r>
    </w:p>
    <w:p w14:paraId="388CA78E">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rPr>
        <w:t>区教育局：牵头做好教育系统生活垃圾分类工作。</w:t>
      </w:r>
    </w:p>
    <w:p w14:paraId="673E9625">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9.</w:t>
      </w:r>
      <w:r>
        <w:rPr>
          <w:rFonts w:hint="eastAsia" w:ascii="Times New Roman" w:hAnsi="Times New Roman" w:eastAsia="仿宋_GB2312"/>
          <w:sz w:val="32"/>
          <w:szCs w:val="32"/>
        </w:rPr>
        <w:t>区科工信局：负责全区规模以上工业企业生活垃圾分类的指导监管工作，负责产品包装物减量的监督管理工作。</w:t>
      </w:r>
    </w:p>
    <w:p w14:paraId="138A0FC6">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Times New Roman" w:hAnsi="Times New Roman" w:eastAsia="仿宋_GB2312"/>
          <w:snapToGrid w:val="0"/>
          <w:sz w:val="32"/>
          <w:szCs w:val="32"/>
        </w:rPr>
      </w:pPr>
      <w:r>
        <w:rPr>
          <w:rFonts w:ascii="Times New Roman" w:hAnsi="Times New Roman" w:eastAsia="仿宋_GB2312"/>
          <w:snapToGrid w:val="0"/>
          <w:sz w:val="32"/>
          <w:szCs w:val="32"/>
        </w:rPr>
        <w:t>10.</w:t>
      </w:r>
      <w:r>
        <w:rPr>
          <w:rFonts w:hint="eastAsia" w:ascii="Times New Roman" w:hAnsi="Times New Roman" w:eastAsia="仿宋_GB2312"/>
          <w:snapToGrid w:val="0"/>
          <w:sz w:val="32"/>
          <w:szCs w:val="32"/>
        </w:rPr>
        <w:t>区民政局：牵头做好养老机构及社会组织生活垃圾分类工作。</w:t>
      </w:r>
    </w:p>
    <w:p w14:paraId="6BA37D13">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11.</w:t>
      </w:r>
      <w:r>
        <w:rPr>
          <w:rFonts w:hint="eastAsia" w:ascii="Times New Roman" w:hAnsi="Times New Roman" w:eastAsia="仿宋_GB2312"/>
          <w:sz w:val="32"/>
          <w:szCs w:val="32"/>
        </w:rPr>
        <w:t>区司法局：为全区垃圾分类提供法律援助，指导街道、社区垃圾分类布点问题与纠纷。</w:t>
      </w:r>
    </w:p>
    <w:p w14:paraId="1286B29B">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12.</w:t>
      </w:r>
      <w:r>
        <w:rPr>
          <w:rFonts w:hint="eastAsia" w:ascii="Times New Roman" w:hAnsi="Times New Roman" w:eastAsia="仿宋_GB2312"/>
          <w:sz w:val="32"/>
          <w:szCs w:val="32"/>
        </w:rPr>
        <w:t>区财政局：落实生活垃圾分类工作经费和区级奖补经费。</w:t>
      </w:r>
    </w:p>
    <w:p w14:paraId="2991EA5A">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13.</w:t>
      </w:r>
      <w:r>
        <w:rPr>
          <w:rFonts w:hint="eastAsia" w:ascii="Times New Roman" w:hAnsi="Times New Roman" w:eastAsia="仿宋_GB2312"/>
          <w:sz w:val="32"/>
          <w:szCs w:val="32"/>
        </w:rPr>
        <w:t>区人力资源社会保障局：负责领导小组工作人员配备和保障。</w:t>
      </w:r>
    </w:p>
    <w:p w14:paraId="0F31CCC5">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14.</w:t>
      </w:r>
      <w:r>
        <w:rPr>
          <w:rFonts w:hint="eastAsia" w:ascii="Times New Roman" w:hAnsi="Times New Roman" w:eastAsia="仿宋_GB2312"/>
          <w:sz w:val="32"/>
          <w:szCs w:val="32"/>
        </w:rPr>
        <w:t>区自然资源局：指导垃圾终端处理设施建设规划。</w:t>
      </w:r>
    </w:p>
    <w:p w14:paraId="3DCA0CC5">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15.</w:t>
      </w:r>
      <w:r>
        <w:rPr>
          <w:rFonts w:hint="eastAsia" w:ascii="Times New Roman" w:hAnsi="Times New Roman" w:eastAsia="仿宋_GB2312"/>
          <w:sz w:val="32"/>
          <w:szCs w:val="32"/>
        </w:rPr>
        <w:t>区住房城乡建设局：负责全区新交付居民小区开展垃圾分类示范小区创建的监督工作，协助街道做好新建小区及楼盘、在建楼盘的生活垃圾分类区域站点规划工作。</w:t>
      </w:r>
    </w:p>
    <w:p w14:paraId="2B191621">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16.</w:t>
      </w:r>
      <w:r>
        <w:rPr>
          <w:rFonts w:hint="eastAsia" w:ascii="Times New Roman" w:hAnsi="Times New Roman" w:eastAsia="仿宋_GB2312"/>
          <w:sz w:val="32"/>
          <w:szCs w:val="32"/>
        </w:rPr>
        <w:t>区交通运输局：负责做好公路交通运输行业的生活垃圾分类工作。</w:t>
      </w:r>
    </w:p>
    <w:p w14:paraId="5170C49C">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17.</w:t>
      </w:r>
      <w:r>
        <w:rPr>
          <w:rFonts w:hint="eastAsia" w:ascii="Times New Roman" w:hAnsi="Times New Roman" w:eastAsia="仿宋_GB2312"/>
          <w:sz w:val="32"/>
          <w:szCs w:val="32"/>
        </w:rPr>
        <w:t>区商务粮食局：指导和督促已备案的农贸市场、大型商场、超市和购物中心的生活垃圾分类工作。</w:t>
      </w:r>
    </w:p>
    <w:p w14:paraId="0D30126D">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18.</w:t>
      </w:r>
      <w:r>
        <w:rPr>
          <w:rFonts w:hint="eastAsia" w:ascii="Times New Roman" w:hAnsi="Times New Roman" w:eastAsia="仿宋_GB2312"/>
          <w:sz w:val="32"/>
          <w:szCs w:val="32"/>
        </w:rPr>
        <w:t>区文旅体局：指导和督促饭店、景区、旅行社等单位做好生活垃圾分类工作。</w:t>
      </w:r>
    </w:p>
    <w:p w14:paraId="686C0260">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19.</w:t>
      </w:r>
      <w:r>
        <w:rPr>
          <w:rFonts w:hint="eastAsia" w:ascii="Times New Roman" w:hAnsi="Times New Roman" w:eastAsia="仿宋_GB2312"/>
          <w:sz w:val="32"/>
          <w:szCs w:val="32"/>
        </w:rPr>
        <w:t>区卫生健康局：牵头做好医疗卫生系统生活垃圾分类工作。</w:t>
      </w:r>
    </w:p>
    <w:p w14:paraId="5B15AD91">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20.</w:t>
      </w:r>
      <w:r>
        <w:rPr>
          <w:rFonts w:hint="eastAsia" w:ascii="Times New Roman" w:hAnsi="Times New Roman" w:eastAsia="仿宋_GB2312"/>
          <w:sz w:val="32"/>
          <w:szCs w:val="32"/>
        </w:rPr>
        <w:t>区城管局：牵头业务指导和督促推进全区生活垃圾分类工作。</w:t>
      </w:r>
    </w:p>
    <w:p w14:paraId="0B9362CF">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21.</w:t>
      </w:r>
      <w:r>
        <w:rPr>
          <w:rFonts w:hint="eastAsia" w:ascii="Times New Roman" w:hAnsi="Times New Roman" w:eastAsia="仿宋_GB2312"/>
          <w:sz w:val="32"/>
          <w:szCs w:val="32"/>
        </w:rPr>
        <w:t>区市场监管局：督促个体经营户的门店等做好生活垃圾分类工作。</w:t>
      </w:r>
    </w:p>
    <w:p w14:paraId="456E0A94">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22.</w:t>
      </w:r>
      <w:r>
        <w:rPr>
          <w:rFonts w:hint="eastAsia" w:ascii="Times New Roman" w:hAnsi="Times New Roman" w:eastAsia="仿宋_GB2312"/>
          <w:sz w:val="32"/>
          <w:szCs w:val="32"/>
        </w:rPr>
        <w:t>区行政审批局：负责生活垃圾分类治理信息项目技术审核和指导服务工作。</w:t>
      </w:r>
    </w:p>
    <w:p w14:paraId="13EE6FDD">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23.</w:t>
      </w:r>
      <w:r>
        <w:rPr>
          <w:rFonts w:hint="eastAsia" w:ascii="Times New Roman" w:hAnsi="Times New Roman" w:eastAsia="仿宋_GB2312"/>
          <w:sz w:val="32"/>
          <w:szCs w:val="32"/>
        </w:rPr>
        <w:t>区物业指导中心：牵头指导全区物业公司生活垃圾分类工作和台账建立。</w:t>
      </w:r>
    </w:p>
    <w:p w14:paraId="25BA0862">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24.</w:t>
      </w:r>
      <w:r>
        <w:rPr>
          <w:rFonts w:hint="eastAsia" w:ascii="Times New Roman" w:hAnsi="Times New Roman" w:eastAsia="仿宋_GB2312"/>
          <w:sz w:val="32"/>
          <w:szCs w:val="32"/>
        </w:rPr>
        <w:t>区市场服务中心：对接落实合泰地区服装加工场所的生活垃圾分类工作。</w:t>
      </w:r>
    </w:p>
    <w:p w14:paraId="78F58246">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25.</w:t>
      </w:r>
      <w:r>
        <w:rPr>
          <w:rFonts w:hint="eastAsia" w:ascii="Times New Roman" w:hAnsi="Times New Roman" w:eastAsia="仿宋_GB2312"/>
          <w:sz w:val="32"/>
          <w:szCs w:val="32"/>
        </w:rPr>
        <w:t>区机关事务中心：负责做好政府机关生活垃圾分类工作，指导督查镇、街道办公场所的生活垃圾分类工作。</w:t>
      </w:r>
    </w:p>
    <w:p w14:paraId="44B7CAFC">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26.</w:t>
      </w:r>
      <w:r>
        <w:rPr>
          <w:rFonts w:hint="eastAsia" w:ascii="Times New Roman" w:hAnsi="Times New Roman" w:eastAsia="仿宋_GB2312"/>
          <w:sz w:val="32"/>
          <w:szCs w:val="32"/>
        </w:rPr>
        <w:t>公安荷塘分局：协助生活垃圾分类工作开展。</w:t>
      </w:r>
    </w:p>
    <w:p w14:paraId="69A74E49">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27.</w:t>
      </w:r>
      <w:r>
        <w:rPr>
          <w:rFonts w:hint="eastAsia" w:ascii="Times New Roman" w:hAnsi="Times New Roman" w:eastAsia="仿宋_GB2312"/>
          <w:sz w:val="32"/>
          <w:szCs w:val="32"/>
        </w:rPr>
        <w:t>生态环境荷塘分局：牵头指导全区有害垃圾收运处置工作。</w:t>
      </w:r>
    </w:p>
    <w:p w14:paraId="68136D05">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28.</w:t>
      </w:r>
      <w:r>
        <w:rPr>
          <w:rFonts w:hint="eastAsia" w:ascii="Times New Roman" w:hAnsi="Times New Roman" w:eastAsia="仿宋_GB2312"/>
          <w:sz w:val="32"/>
          <w:szCs w:val="32"/>
        </w:rPr>
        <w:t>荷塘交警大队：协助生活垃圾分类运输工作的开展。</w:t>
      </w:r>
    </w:p>
    <w:p w14:paraId="425FD6FC">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29.</w:t>
      </w:r>
      <w:r>
        <w:rPr>
          <w:rFonts w:hint="eastAsia" w:ascii="Times New Roman" w:hAnsi="Times New Roman" w:eastAsia="仿宋_GB2312"/>
          <w:sz w:val="32"/>
          <w:szCs w:val="32"/>
        </w:rPr>
        <w:t>金山工业园管委会：对接落实园区内企业生活垃圾分类工作。</w:t>
      </w:r>
    </w:p>
    <w:p w14:paraId="0DDCEFFD">
      <w:pPr>
        <w:keepNext w:val="0"/>
        <w:keepLines w:val="0"/>
        <w:pageBreakBefore w:val="0"/>
        <w:widowControl w:val="0"/>
        <w:kinsoku/>
        <w:wordWrap/>
        <w:overflowPunct w:val="0"/>
        <w:topLinePunct w:val="0"/>
        <w:autoSpaceDE/>
        <w:autoSpaceDN/>
        <w:bidi w:val="0"/>
        <w:spacing w:line="620" w:lineRule="exact"/>
        <w:ind w:firstLine="640" w:firstLineChars="200"/>
        <w:textAlignment w:val="auto"/>
        <w:rPr>
          <w:rFonts w:hint="eastAsia" w:ascii="Times New Roman" w:hAnsi="Times New Roman" w:eastAsia="仿宋_GB2312"/>
          <w:sz w:val="32"/>
          <w:szCs w:val="32"/>
        </w:rPr>
      </w:pPr>
      <w:r>
        <w:rPr>
          <w:rFonts w:ascii="Times New Roman" w:hAnsi="Times New Roman" w:eastAsia="仿宋_GB2312"/>
          <w:sz w:val="32"/>
          <w:szCs w:val="32"/>
        </w:rPr>
        <w:t>30.</w:t>
      </w:r>
      <w:r>
        <w:rPr>
          <w:rFonts w:hint="eastAsia" w:ascii="Times New Roman" w:hAnsi="Times New Roman" w:eastAsia="仿宋_GB2312"/>
          <w:sz w:val="32"/>
          <w:szCs w:val="32"/>
        </w:rPr>
        <w:t>各街道：负责本街道范围内生活垃圾分类工作主体责任。制定并实施辖区生活垃圾分类工作方案和配套设施的建设；负责垃圾分类站点、收集容器配套建设，每个辖区要有一个垃圾分拣中心，建立垃圾分类队伍，多形式组织开展辖区范围内生活垃圾分类宣传教育活动；负责指导辖区内社区（村）完成生活垃圾分类容器投放、宣传指引牌设置，组织开展入户宣传、桶边督导等工作。监督、考核社区（村）生活垃圾分类工作。</w:t>
      </w:r>
    </w:p>
    <w:p w14:paraId="4AAB5F00">
      <w:pPr>
        <w:keepNext w:val="0"/>
        <w:keepLines w:val="0"/>
        <w:pageBreakBefore w:val="0"/>
        <w:widowControl w:val="0"/>
        <w:kinsoku/>
        <w:wordWrap/>
        <w:overflowPunct w:val="0"/>
        <w:topLinePunct w:val="0"/>
        <w:autoSpaceDE/>
        <w:autoSpaceDN/>
        <w:bidi w:val="0"/>
        <w:spacing w:line="620" w:lineRule="exact"/>
        <w:textAlignment w:val="auto"/>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br w:type="page"/>
      </w:r>
    </w:p>
    <w:p w14:paraId="431319F8">
      <w:pPr>
        <w:keepNext w:val="0"/>
        <w:keepLines w:val="0"/>
        <w:pageBreakBefore w:val="0"/>
        <w:widowControl w:val="0"/>
        <w:kinsoku/>
        <w:wordWrap/>
        <w:overflowPunct w:val="0"/>
        <w:topLinePunct w:val="0"/>
        <w:autoSpaceDE/>
        <w:autoSpaceDN/>
        <w:bidi w:val="0"/>
        <w:spacing w:line="620" w:lineRule="exact"/>
        <w:textAlignment w:val="auto"/>
        <w:rPr>
          <w:rFonts w:ascii="Times New Roman" w:hAnsi="Times New Roman" w:eastAsia="仿宋_GB2312"/>
          <w:color w:val="000000"/>
          <w:kern w:val="0"/>
          <w:sz w:val="32"/>
          <w:szCs w:val="32"/>
        </w:rPr>
      </w:pPr>
    </w:p>
    <w:p w14:paraId="502EBE0E">
      <w:pPr>
        <w:keepNext w:val="0"/>
        <w:keepLines w:val="0"/>
        <w:pageBreakBefore w:val="0"/>
        <w:widowControl w:val="0"/>
        <w:kinsoku/>
        <w:wordWrap/>
        <w:overflowPunct w:val="0"/>
        <w:topLinePunct w:val="0"/>
        <w:autoSpaceDE/>
        <w:autoSpaceDN/>
        <w:bidi w:val="0"/>
        <w:spacing w:line="620" w:lineRule="exact"/>
        <w:textAlignment w:val="auto"/>
        <w:rPr>
          <w:rFonts w:ascii="Times New Roman" w:hAnsi="Times New Roman" w:eastAsia="仿宋_GB2312"/>
          <w:color w:val="000000"/>
          <w:kern w:val="0"/>
          <w:sz w:val="32"/>
          <w:szCs w:val="32"/>
        </w:rPr>
      </w:pPr>
    </w:p>
    <w:p w14:paraId="3A5D13B9">
      <w:pPr>
        <w:overflowPunct w:val="0"/>
        <w:spacing w:line="600" w:lineRule="exact"/>
        <w:rPr>
          <w:rFonts w:ascii="Times New Roman" w:hAnsi="Times New Roman" w:eastAsia="仿宋_GB2312"/>
          <w:color w:val="000000"/>
          <w:kern w:val="0"/>
          <w:sz w:val="32"/>
          <w:szCs w:val="32"/>
        </w:rPr>
      </w:pPr>
    </w:p>
    <w:p w14:paraId="6A534F6A">
      <w:pPr>
        <w:overflowPunct w:val="0"/>
        <w:spacing w:line="600" w:lineRule="exact"/>
        <w:rPr>
          <w:rFonts w:ascii="Times New Roman" w:hAnsi="Times New Roman" w:eastAsia="仿宋_GB2312"/>
          <w:color w:val="000000"/>
          <w:kern w:val="0"/>
          <w:sz w:val="32"/>
          <w:szCs w:val="32"/>
        </w:rPr>
      </w:pPr>
    </w:p>
    <w:p w14:paraId="04ED04A1">
      <w:pPr>
        <w:overflowPunct w:val="0"/>
        <w:spacing w:line="600" w:lineRule="exact"/>
        <w:rPr>
          <w:rFonts w:ascii="Times New Roman" w:hAnsi="Times New Roman" w:eastAsia="仿宋_GB2312"/>
          <w:color w:val="000000"/>
          <w:kern w:val="0"/>
          <w:sz w:val="32"/>
          <w:szCs w:val="32"/>
        </w:rPr>
      </w:pPr>
    </w:p>
    <w:p w14:paraId="663375A5">
      <w:pPr>
        <w:overflowPunct w:val="0"/>
        <w:spacing w:line="600" w:lineRule="exact"/>
        <w:rPr>
          <w:rFonts w:ascii="Times New Roman" w:hAnsi="Times New Roman" w:eastAsia="仿宋_GB2312"/>
          <w:color w:val="000000"/>
          <w:kern w:val="0"/>
          <w:sz w:val="32"/>
          <w:szCs w:val="32"/>
        </w:rPr>
      </w:pPr>
    </w:p>
    <w:p w14:paraId="64BC8ACE">
      <w:pPr>
        <w:overflowPunct w:val="0"/>
        <w:spacing w:line="600" w:lineRule="exact"/>
        <w:rPr>
          <w:rFonts w:ascii="Times New Roman" w:hAnsi="Times New Roman" w:eastAsia="仿宋_GB2312"/>
          <w:color w:val="000000"/>
          <w:kern w:val="0"/>
          <w:sz w:val="32"/>
          <w:szCs w:val="32"/>
        </w:rPr>
      </w:pPr>
    </w:p>
    <w:p w14:paraId="484ECAE9">
      <w:pPr>
        <w:overflowPunct w:val="0"/>
        <w:spacing w:line="600" w:lineRule="exact"/>
        <w:rPr>
          <w:rFonts w:ascii="Times New Roman" w:hAnsi="Times New Roman" w:eastAsia="仿宋_GB2312"/>
          <w:color w:val="000000"/>
          <w:kern w:val="0"/>
          <w:sz w:val="32"/>
          <w:szCs w:val="32"/>
        </w:rPr>
      </w:pPr>
    </w:p>
    <w:p w14:paraId="28506883">
      <w:pPr>
        <w:overflowPunct w:val="0"/>
        <w:spacing w:line="600" w:lineRule="exact"/>
        <w:rPr>
          <w:rFonts w:ascii="Times New Roman" w:hAnsi="Times New Roman" w:eastAsia="仿宋_GB2312"/>
          <w:color w:val="000000"/>
          <w:kern w:val="0"/>
          <w:sz w:val="32"/>
          <w:szCs w:val="32"/>
        </w:rPr>
      </w:pPr>
    </w:p>
    <w:p w14:paraId="7C5BD11C">
      <w:pPr>
        <w:overflowPunct w:val="0"/>
        <w:spacing w:line="600" w:lineRule="exact"/>
        <w:rPr>
          <w:rFonts w:ascii="Times New Roman" w:hAnsi="Times New Roman" w:eastAsia="仿宋_GB2312"/>
          <w:color w:val="000000"/>
          <w:kern w:val="0"/>
          <w:sz w:val="32"/>
          <w:szCs w:val="32"/>
        </w:rPr>
      </w:pPr>
    </w:p>
    <w:p w14:paraId="236AC00A">
      <w:pPr>
        <w:overflowPunct w:val="0"/>
        <w:spacing w:line="600" w:lineRule="exact"/>
        <w:rPr>
          <w:rFonts w:ascii="Times New Roman" w:hAnsi="Times New Roman" w:eastAsia="仿宋_GB2312"/>
          <w:color w:val="000000"/>
          <w:kern w:val="0"/>
          <w:sz w:val="32"/>
          <w:szCs w:val="32"/>
        </w:rPr>
      </w:pPr>
    </w:p>
    <w:p w14:paraId="2FA8C7FD">
      <w:pPr>
        <w:overflowPunct w:val="0"/>
        <w:spacing w:line="600" w:lineRule="exact"/>
        <w:rPr>
          <w:rFonts w:ascii="Times New Roman" w:hAnsi="Times New Roman" w:eastAsia="仿宋_GB2312"/>
          <w:color w:val="000000"/>
          <w:kern w:val="0"/>
          <w:sz w:val="32"/>
          <w:szCs w:val="32"/>
        </w:rPr>
      </w:pPr>
    </w:p>
    <w:p w14:paraId="16977A38">
      <w:pPr>
        <w:overflowPunct w:val="0"/>
        <w:spacing w:line="600" w:lineRule="exact"/>
        <w:rPr>
          <w:rFonts w:ascii="Times New Roman" w:hAnsi="Times New Roman" w:eastAsia="仿宋_GB2312"/>
          <w:color w:val="000000"/>
          <w:kern w:val="0"/>
          <w:sz w:val="32"/>
          <w:szCs w:val="32"/>
        </w:rPr>
      </w:pPr>
    </w:p>
    <w:p w14:paraId="775536DA">
      <w:pPr>
        <w:overflowPunct w:val="0"/>
        <w:spacing w:line="600" w:lineRule="exact"/>
        <w:ind w:firstLine="640" w:firstLineChars="200"/>
        <w:rPr>
          <w:rFonts w:ascii="Times New Roman" w:hAnsi="Times New Roman" w:eastAsia="仿宋_GB2312"/>
          <w:color w:val="000000"/>
          <w:kern w:val="0"/>
          <w:sz w:val="32"/>
          <w:szCs w:val="32"/>
        </w:rPr>
      </w:pPr>
    </w:p>
    <w:p w14:paraId="05937D28">
      <w:pPr>
        <w:overflowPunct w:val="0"/>
        <w:spacing w:line="600" w:lineRule="exact"/>
        <w:ind w:firstLine="640" w:firstLineChars="200"/>
        <w:rPr>
          <w:rFonts w:ascii="Times New Roman" w:hAnsi="Times New Roman" w:eastAsia="仿宋_GB2312"/>
          <w:color w:val="000000"/>
          <w:kern w:val="0"/>
          <w:sz w:val="32"/>
          <w:szCs w:val="32"/>
        </w:rPr>
      </w:pPr>
    </w:p>
    <w:p w14:paraId="77DB01EB">
      <w:pPr>
        <w:overflowPunct w:val="0"/>
        <w:spacing w:line="600" w:lineRule="exact"/>
        <w:ind w:firstLine="640" w:firstLineChars="200"/>
        <w:rPr>
          <w:rFonts w:ascii="Times New Roman" w:hAnsi="Times New Roman" w:eastAsia="仿宋_GB2312"/>
          <w:color w:val="000000"/>
          <w:kern w:val="0"/>
          <w:sz w:val="32"/>
          <w:szCs w:val="32"/>
        </w:rPr>
      </w:pPr>
    </w:p>
    <w:p w14:paraId="26B872C4">
      <w:pPr>
        <w:overflowPunct w:val="0"/>
        <w:spacing w:line="600" w:lineRule="exact"/>
        <w:ind w:firstLine="640" w:firstLineChars="200"/>
        <w:rPr>
          <w:rFonts w:ascii="Times New Roman" w:hAnsi="Times New Roman" w:eastAsia="仿宋_GB2312"/>
          <w:color w:val="000000"/>
          <w:kern w:val="0"/>
          <w:sz w:val="32"/>
          <w:szCs w:val="32"/>
        </w:rPr>
      </w:pPr>
    </w:p>
    <w:p w14:paraId="5571BF0E">
      <w:pPr>
        <w:overflowPunct w:val="0"/>
        <w:spacing w:line="600" w:lineRule="exact"/>
        <w:ind w:firstLine="640" w:firstLineChars="200"/>
        <w:rPr>
          <w:rFonts w:ascii="Times New Roman" w:hAnsi="Times New Roman" w:eastAsia="仿宋_GB2312"/>
          <w:color w:val="000000"/>
          <w:kern w:val="0"/>
          <w:sz w:val="32"/>
          <w:szCs w:val="32"/>
        </w:rPr>
      </w:pPr>
    </w:p>
    <w:p w14:paraId="456D9295">
      <w:pPr>
        <w:overflowPunct w:val="0"/>
        <w:spacing w:line="600" w:lineRule="exact"/>
        <w:ind w:firstLine="640" w:firstLineChars="200"/>
        <w:rPr>
          <w:rFonts w:ascii="Times New Roman" w:hAnsi="Times New Roman" w:eastAsia="仿宋_GB2312"/>
          <w:color w:val="000000"/>
          <w:kern w:val="0"/>
          <w:sz w:val="32"/>
          <w:szCs w:val="32"/>
        </w:rPr>
      </w:pPr>
    </w:p>
    <w:p w14:paraId="03FFC535">
      <w:pPr>
        <w:overflowPunct w:val="0"/>
        <w:spacing w:line="600" w:lineRule="exact"/>
        <w:ind w:firstLine="640" w:firstLineChars="200"/>
        <w:rPr>
          <w:rFonts w:ascii="Times New Roman" w:hAnsi="Times New Roman" w:eastAsia="仿宋_GB2312"/>
          <w:color w:val="000000"/>
          <w:kern w:val="0"/>
          <w:sz w:val="32"/>
          <w:szCs w:val="32"/>
        </w:rPr>
      </w:pPr>
    </w:p>
    <w:p w14:paraId="2579DE01">
      <w:pPr>
        <w:overflowPunct w:val="0"/>
        <w:spacing w:line="600" w:lineRule="exact"/>
        <w:jc w:val="center"/>
        <w:rPr>
          <w:rFonts w:hint="eastAsia" w:ascii="Times New Roman" w:hAnsi="Times New Roman" w:eastAsia="仿宋_GB2312"/>
          <w:sz w:val="32"/>
          <w:szCs w:val="32"/>
        </w:rPr>
      </w:pPr>
      <w: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426720</wp:posOffset>
                </wp:positionV>
                <wp:extent cx="5683250" cy="635"/>
                <wp:effectExtent l="0" t="0" r="0" b="0"/>
                <wp:wrapNone/>
                <wp:docPr id="2" name="直线 2"/>
                <wp:cNvGraphicFramePr/>
                <a:graphic xmlns:a="http://schemas.openxmlformats.org/drawingml/2006/main">
                  <a:graphicData uri="http://schemas.microsoft.com/office/word/2010/wordprocessingShape">
                    <wps:wsp>
                      <wps:cNvCnPr/>
                      <wps:spPr>
                        <a:xfrm>
                          <a:off x="0" y="0"/>
                          <a:ext cx="5683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25pt;margin-top:33.6pt;height:0.05pt;width:447.5pt;z-index:251660288;mso-width-relative:page;mso-height-relative:page;" filled="f" stroked="t" coordsize="21600,21600" o:gfxdata="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KaUw9YA&#10;AAAIAQAADwAAAAAAAAABACAAAAAiAAAAZHJzL2Rvd25yZXYueG1sUEsBAhQAFAAAAAgAh07iQEoT&#10;y1LoAQAA3Q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35560</wp:posOffset>
                </wp:positionV>
                <wp:extent cx="5683250" cy="635"/>
                <wp:effectExtent l="0" t="0" r="0" b="0"/>
                <wp:wrapNone/>
                <wp:docPr id="1" name="直线 3"/>
                <wp:cNvGraphicFramePr/>
                <a:graphic xmlns:a="http://schemas.openxmlformats.org/drawingml/2006/main">
                  <a:graphicData uri="http://schemas.microsoft.com/office/word/2010/wordprocessingShape">
                    <wps:wsp>
                      <wps:cNvCnPr/>
                      <wps:spPr>
                        <a:xfrm>
                          <a:off x="0" y="0"/>
                          <a:ext cx="5683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25pt;margin-top:2.8pt;height:0.05pt;width:447.5pt;z-index:251659264;mso-width-relative:page;mso-height-relative:page;" filled="f" stroked="t" coordsize="21600,21600" o:gfxdata="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NnUPNMAAAAG&#10;AQAADwAAAAAAAAABACAAAAAiAAAAZHJzL2Rvd25yZXYueG1sUEsBAhQAFAAAAAgAh07iQFS/Ipro&#10;AQAA3QMAAA4AAAAAAAAAAQAgAAAAIgEAAGRycy9lMm9Eb2MueG1sUEsFBgAAAAAGAAYAWQEAAHwF&#10;AAAAAA==&#10;">
                <v:fill on="f" focussize="0,0"/>
                <v:stroke color="#000000" joinstyle="round"/>
                <v:imagedata o:title=""/>
                <o:lock v:ext="edit" aspectratio="f"/>
              </v:line>
            </w:pict>
          </mc:Fallback>
        </mc:AlternateContent>
      </w:r>
      <w:r>
        <w:rPr>
          <w:rFonts w:hint="eastAsia" w:ascii="Times New Roman" w:hAnsi="Times New Roman" w:eastAsia="仿宋_GB2312"/>
          <w:sz w:val="28"/>
          <w:szCs w:val="28"/>
        </w:rPr>
        <w:t>株洲市荷塘区人民政府办公室</w:t>
      </w:r>
      <w:r>
        <w:rPr>
          <w:rFonts w:ascii="Times New Roman" w:hAnsi="Times New Roman" w:eastAsia="仿宋_GB2312"/>
          <w:sz w:val="28"/>
          <w:szCs w:val="28"/>
        </w:rPr>
        <w:t xml:space="preserve">                202</w:t>
      </w:r>
      <w:r>
        <w:rPr>
          <w:rFonts w:hint="eastAsia" w:ascii="Times New Roman" w:hAnsi="Times New Roman" w:eastAsia="仿宋_GB2312"/>
          <w:sz w:val="28"/>
          <w:szCs w:val="28"/>
          <w:lang w:val="en-US" w:eastAsia="zh-CN"/>
        </w:rPr>
        <w:t>1</w:t>
      </w:r>
      <w:r>
        <w:rPr>
          <w:rFonts w:hint="eastAsia" w:ascii="Times New Roman" w:hAnsi="Times New Roman" w:eastAsia="仿宋_GB2312"/>
          <w:sz w:val="28"/>
          <w:szCs w:val="28"/>
        </w:rPr>
        <w:t>年</w:t>
      </w:r>
      <w:r>
        <w:rPr>
          <w:rFonts w:hint="eastAsia" w:ascii="Times New Roman" w:hAnsi="Times New Roman" w:eastAsia="仿宋_GB2312"/>
          <w:sz w:val="28"/>
          <w:szCs w:val="28"/>
          <w:lang w:val="en-US" w:eastAsia="zh-CN"/>
        </w:rPr>
        <w:t>5</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12</w:t>
      </w:r>
      <w:r>
        <w:rPr>
          <w:rFonts w:hint="eastAsia" w:ascii="Times New Roman" w:hAnsi="Times New Roman" w:eastAsia="仿宋_GB2312"/>
          <w:sz w:val="28"/>
          <w:szCs w:val="28"/>
        </w:rPr>
        <w:t>日印发</w:t>
      </w:r>
    </w:p>
    <w:sectPr>
      <w:footerReference r:id="rId3" w:type="default"/>
      <w:footerReference r:id="rId4" w:type="even"/>
      <w:pgSz w:w="11906" w:h="16838"/>
      <w:pgMar w:top="1701" w:right="1502" w:bottom="1701" w:left="1502"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0C325">
    <w:pPr>
      <w:pStyle w:val="2"/>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6AF6E9">
                          <w:pPr>
                            <w:pStyle w:val="2"/>
                            <w:rPr>
                              <w:rStyle w:val="6"/>
                              <w:rFonts w:ascii="宋体" w:cs="宋体"/>
                              <w:sz w:val="28"/>
                              <w:szCs w:val="28"/>
                            </w:rPr>
                          </w:pPr>
                          <w:r>
                            <w:rPr>
                              <w:rStyle w:val="6"/>
                              <w:rFonts w:ascii="宋体" w:hAnsi="宋体" w:cs="宋体"/>
                              <w:sz w:val="28"/>
                              <w:szCs w:val="28"/>
                            </w:rPr>
                            <w:t xml:space="preserve">— </w:t>
                          </w:r>
                          <w:r>
                            <w:rPr>
                              <w:rStyle w:val="6"/>
                              <w:rFonts w:ascii="宋体" w:hAnsi="宋体" w:cs="宋体"/>
                              <w:sz w:val="28"/>
                              <w:szCs w:val="28"/>
                            </w:rPr>
                            <w:fldChar w:fldCharType="begin"/>
                          </w:r>
                          <w:r>
                            <w:rPr>
                              <w:rStyle w:val="6"/>
                              <w:rFonts w:ascii="宋体" w:hAnsi="宋体" w:cs="宋体"/>
                              <w:sz w:val="28"/>
                              <w:szCs w:val="28"/>
                            </w:rPr>
                            <w:instrText xml:space="preserve">PAGE  </w:instrText>
                          </w:r>
                          <w:r>
                            <w:rPr>
                              <w:rStyle w:val="6"/>
                              <w:rFonts w:ascii="宋体" w:hAnsi="宋体" w:cs="宋体"/>
                              <w:sz w:val="28"/>
                              <w:szCs w:val="28"/>
                            </w:rPr>
                            <w:fldChar w:fldCharType="separate"/>
                          </w:r>
                          <w:r>
                            <w:rPr>
                              <w:rStyle w:val="6"/>
                              <w:rFonts w:ascii="宋体" w:hAnsi="宋体" w:cs="宋体"/>
                              <w:sz w:val="28"/>
                              <w:szCs w:val="28"/>
                            </w:rPr>
                            <w:t>21</w:t>
                          </w:r>
                          <w:r>
                            <w:rPr>
                              <w:rStyle w:val="6"/>
                              <w:rFonts w:ascii="宋体" w:hAnsi="宋体" w:cs="宋体"/>
                              <w:sz w:val="28"/>
                              <w:szCs w:val="28"/>
                            </w:rPr>
                            <w:fldChar w:fldCharType="end"/>
                          </w:r>
                          <w:r>
                            <w:rPr>
                              <w:rStyle w:val="6"/>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14:paraId="716AF6E9">
                    <w:pPr>
                      <w:pStyle w:val="2"/>
                      <w:rPr>
                        <w:rStyle w:val="6"/>
                        <w:rFonts w:ascii="宋体" w:cs="宋体"/>
                        <w:sz w:val="28"/>
                        <w:szCs w:val="28"/>
                      </w:rPr>
                    </w:pPr>
                    <w:r>
                      <w:rPr>
                        <w:rStyle w:val="6"/>
                        <w:rFonts w:ascii="宋体" w:hAnsi="宋体" w:cs="宋体"/>
                        <w:sz w:val="28"/>
                        <w:szCs w:val="28"/>
                      </w:rPr>
                      <w:t xml:space="preserve">— </w:t>
                    </w:r>
                    <w:r>
                      <w:rPr>
                        <w:rStyle w:val="6"/>
                        <w:rFonts w:ascii="宋体" w:hAnsi="宋体" w:cs="宋体"/>
                        <w:sz w:val="28"/>
                        <w:szCs w:val="28"/>
                      </w:rPr>
                      <w:fldChar w:fldCharType="begin"/>
                    </w:r>
                    <w:r>
                      <w:rPr>
                        <w:rStyle w:val="6"/>
                        <w:rFonts w:ascii="宋体" w:hAnsi="宋体" w:cs="宋体"/>
                        <w:sz w:val="28"/>
                        <w:szCs w:val="28"/>
                      </w:rPr>
                      <w:instrText xml:space="preserve">PAGE  </w:instrText>
                    </w:r>
                    <w:r>
                      <w:rPr>
                        <w:rStyle w:val="6"/>
                        <w:rFonts w:ascii="宋体" w:hAnsi="宋体" w:cs="宋体"/>
                        <w:sz w:val="28"/>
                        <w:szCs w:val="28"/>
                      </w:rPr>
                      <w:fldChar w:fldCharType="separate"/>
                    </w:r>
                    <w:r>
                      <w:rPr>
                        <w:rStyle w:val="6"/>
                        <w:rFonts w:ascii="宋体" w:hAnsi="宋体" w:cs="宋体"/>
                        <w:sz w:val="28"/>
                        <w:szCs w:val="28"/>
                      </w:rPr>
                      <w:t>21</w:t>
                    </w:r>
                    <w:r>
                      <w:rPr>
                        <w:rStyle w:val="6"/>
                        <w:rFonts w:ascii="宋体" w:hAnsi="宋体" w:cs="宋体"/>
                        <w:sz w:val="28"/>
                        <w:szCs w:val="28"/>
                      </w:rPr>
                      <w:fldChar w:fldCharType="end"/>
                    </w:r>
                    <w:r>
                      <w:rPr>
                        <w:rStyle w:val="6"/>
                        <w:rFonts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2B365">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14:paraId="7B912E7E">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F57579"/>
    <w:rsid w:val="000019C0"/>
    <w:rsid w:val="000333E8"/>
    <w:rsid w:val="000974BE"/>
    <w:rsid w:val="00171D78"/>
    <w:rsid w:val="001A035B"/>
    <w:rsid w:val="001B486E"/>
    <w:rsid w:val="001F08DD"/>
    <w:rsid w:val="001F7EFF"/>
    <w:rsid w:val="002279FA"/>
    <w:rsid w:val="00260299"/>
    <w:rsid w:val="00280E48"/>
    <w:rsid w:val="002858AD"/>
    <w:rsid w:val="002D509B"/>
    <w:rsid w:val="002F37C2"/>
    <w:rsid w:val="003759C6"/>
    <w:rsid w:val="003A2C34"/>
    <w:rsid w:val="003B008C"/>
    <w:rsid w:val="00417D4C"/>
    <w:rsid w:val="00426E67"/>
    <w:rsid w:val="00460AD7"/>
    <w:rsid w:val="00472B18"/>
    <w:rsid w:val="00483C9B"/>
    <w:rsid w:val="00487F2D"/>
    <w:rsid w:val="004A3200"/>
    <w:rsid w:val="004A770E"/>
    <w:rsid w:val="004B1263"/>
    <w:rsid w:val="00537282"/>
    <w:rsid w:val="00537890"/>
    <w:rsid w:val="00564F34"/>
    <w:rsid w:val="00590FF0"/>
    <w:rsid w:val="00611A9C"/>
    <w:rsid w:val="00636D7C"/>
    <w:rsid w:val="006710AB"/>
    <w:rsid w:val="007D356B"/>
    <w:rsid w:val="008C506A"/>
    <w:rsid w:val="008D374B"/>
    <w:rsid w:val="008D5BEC"/>
    <w:rsid w:val="00983E58"/>
    <w:rsid w:val="009F2EB5"/>
    <w:rsid w:val="00A22982"/>
    <w:rsid w:val="00A605C5"/>
    <w:rsid w:val="00A80108"/>
    <w:rsid w:val="00A9108B"/>
    <w:rsid w:val="00B85FA5"/>
    <w:rsid w:val="00B91F61"/>
    <w:rsid w:val="00C00B2F"/>
    <w:rsid w:val="00C073AB"/>
    <w:rsid w:val="00C20999"/>
    <w:rsid w:val="00C6618F"/>
    <w:rsid w:val="00C81F4B"/>
    <w:rsid w:val="00CE7512"/>
    <w:rsid w:val="00D12E6B"/>
    <w:rsid w:val="00D16FAA"/>
    <w:rsid w:val="00D51F52"/>
    <w:rsid w:val="00D958E2"/>
    <w:rsid w:val="00D97340"/>
    <w:rsid w:val="00DF64FE"/>
    <w:rsid w:val="00EC16AC"/>
    <w:rsid w:val="00F21CCD"/>
    <w:rsid w:val="00F333FE"/>
    <w:rsid w:val="00FB41FF"/>
    <w:rsid w:val="00FB6765"/>
    <w:rsid w:val="055B2C00"/>
    <w:rsid w:val="118676BE"/>
    <w:rsid w:val="16FD3FF6"/>
    <w:rsid w:val="176E1752"/>
    <w:rsid w:val="18EE05E0"/>
    <w:rsid w:val="19F57579"/>
    <w:rsid w:val="1AFD5444"/>
    <w:rsid w:val="225F2712"/>
    <w:rsid w:val="23DA6CA9"/>
    <w:rsid w:val="2798037B"/>
    <w:rsid w:val="29E02677"/>
    <w:rsid w:val="2B9E43BD"/>
    <w:rsid w:val="313A6416"/>
    <w:rsid w:val="343C20BB"/>
    <w:rsid w:val="360B20E7"/>
    <w:rsid w:val="37714929"/>
    <w:rsid w:val="396034A0"/>
    <w:rsid w:val="3EB728CD"/>
    <w:rsid w:val="476E474E"/>
    <w:rsid w:val="565D75EA"/>
    <w:rsid w:val="64DD7E2D"/>
    <w:rsid w:val="698056B8"/>
    <w:rsid w:val="70663C2E"/>
    <w:rsid w:val="719D314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99"/>
    <w:rPr>
      <w:rFonts w:cs="Times New Roman"/>
    </w:rPr>
  </w:style>
  <w:style w:type="character" w:customStyle="1" w:styleId="7">
    <w:name w:val="Footer Char"/>
    <w:basedOn w:val="5"/>
    <w:link w:val="2"/>
    <w:semiHidden/>
    <w:qFormat/>
    <w:locked/>
    <w:uiPriority w:val="99"/>
    <w:rPr>
      <w:rFonts w:cs="Times New Roman"/>
      <w:sz w:val="18"/>
      <w:szCs w:val="18"/>
    </w:rPr>
  </w:style>
  <w:style w:type="character" w:customStyle="1" w:styleId="8">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24</Pages>
  <Words>9278</Words>
  <Characters>9492</Characters>
  <Lines>0</Lines>
  <Paragraphs>0</Paragraphs>
  <TotalTime>164</TotalTime>
  <ScaleCrop>false</ScaleCrop>
  <LinksUpToDate>false</LinksUpToDate>
  <CharactersWithSpaces>9508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2021-01-03T01:20:00Z</dcterms:created>
  <dc:creator>天天</dc:creator>
  <cp:lastModifiedBy>李涛</cp:lastModifiedBy>
  <cp:lastPrinted>2021-05-13T06:57:00Z</cp:lastPrinted>
  <dcterms:modified xsi:type="dcterms:W3CDTF">2025-02-05T02:23:27Z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98113C19DC664EFBB77B9AA9713FB4D8</vt:lpwstr>
  </property>
  <property fmtid="{D5CDD505-2E9C-101B-9397-08002B2CF9AE}" pid="4" name="KSOTemplateDocerSaveRecord">
    <vt:lpwstr>eyJoZGlkIjoiYmJjMWNlZmEyMzAyZjZjZTFmZmQyZjM1ZDBhOGIyMGIiLCJ1c2VySWQiOiIyMTcyMzMwMzgifQ==</vt:lpwstr>
  </property>
</Properties>
</file>