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0E6F6">
      <w:pPr>
        <w:tabs>
          <w:tab w:val="left" w:pos="7560"/>
        </w:tabs>
        <w:adjustRightInd w:val="0"/>
        <w:snapToGrid w:val="0"/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1799412E">
      <w:pPr>
        <w:tabs>
          <w:tab w:val="left" w:pos="7560"/>
        </w:tabs>
        <w:adjustRightInd w:val="0"/>
        <w:snapToGrid w:val="0"/>
        <w:jc w:val="center"/>
        <w:rPr>
          <w:rFonts w:hint="eastAsia" w:eastAsia="方正小标宋简体"/>
          <w:bCs/>
          <w:sz w:val="44"/>
          <w:szCs w:val="44"/>
          <w:lang w:val="en-US" w:eastAsia="zh-CN"/>
        </w:rPr>
      </w:pPr>
      <w:r>
        <w:rPr>
          <w:rFonts w:hint="eastAsia" w:eastAsia="方正小标宋简体"/>
          <w:bCs/>
          <w:sz w:val="44"/>
          <w:szCs w:val="44"/>
          <w:lang w:val="en-US" w:eastAsia="zh-CN"/>
        </w:rPr>
        <w:t>株洲市动物疫病预防控制中心</w:t>
      </w:r>
    </w:p>
    <w:p w14:paraId="2D689704">
      <w:pPr>
        <w:tabs>
          <w:tab w:val="left" w:pos="7560"/>
        </w:tabs>
        <w:adjustRightInd w:val="0"/>
        <w:snapToGrid w:val="0"/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2025</w:t>
      </w:r>
      <w:r>
        <w:rPr>
          <w:rFonts w:eastAsia="方正小标宋简体"/>
          <w:bCs/>
          <w:sz w:val="44"/>
          <w:szCs w:val="44"/>
        </w:rPr>
        <w:t>年部门预算</w:t>
      </w:r>
    </w:p>
    <w:p w14:paraId="40DB1241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777AA9ED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bCs/>
          <w:sz w:val="32"/>
          <w:szCs w:val="32"/>
        </w:rPr>
      </w:pPr>
      <w:r>
        <w:rPr>
          <w:rFonts w:hAnsi="黑体" w:eastAsia="黑体"/>
          <w:bCs/>
          <w:sz w:val="32"/>
          <w:szCs w:val="32"/>
        </w:rPr>
        <w:t>目</w:t>
      </w:r>
      <w:r>
        <w:rPr>
          <w:rFonts w:eastAsia="黑体"/>
          <w:bCs/>
          <w:sz w:val="32"/>
          <w:szCs w:val="32"/>
        </w:rPr>
        <w:t xml:space="preserve">  </w:t>
      </w:r>
      <w:r>
        <w:rPr>
          <w:rFonts w:hAnsi="黑体" w:eastAsia="黑体"/>
          <w:bCs/>
          <w:sz w:val="32"/>
          <w:szCs w:val="32"/>
        </w:rPr>
        <w:t>录</w:t>
      </w:r>
    </w:p>
    <w:p w14:paraId="77B22F4D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b/>
          <w:bCs/>
          <w:sz w:val="32"/>
          <w:szCs w:val="32"/>
        </w:rPr>
        <w:t>第一部分</w:t>
      </w:r>
      <w:r>
        <w:rPr>
          <w:rFonts w:eastAsia="仿宋_GB2312"/>
          <w:b/>
          <w:bCs/>
          <w:sz w:val="32"/>
          <w:szCs w:val="32"/>
        </w:rPr>
        <w:t xml:space="preserve"> </w:t>
      </w:r>
      <w:r>
        <w:rPr>
          <w:rFonts w:hAnsi="仿宋_GB2312" w:eastAsia="仿宋_GB2312"/>
          <w:b/>
          <w:bCs/>
          <w:sz w:val="32"/>
          <w:szCs w:val="32"/>
        </w:rPr>
        <w:t>部门预算公开说明</w:t>
      </w:r>
    </w:p>
    <w:p w14:paraId="0F2A603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一、部门职能职责</w:t>
      </w:r>
    </w:p>
    <w:p w14:paraId="328B24C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二、机构设置</w:t>
      </w:r>
    </w:p>
    <w:p w14:paraId="4841795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三、部门预算单位构成</w:t>
      </w:r>
    </w:p>
    <w:p w14:paraId="6F3F19F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四、部门收支总体情况</w:t>
      </w:r>
    </w:p>
    <w:p w14:paraId="44F2D61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（一）收入预算</w:t>
      </w:r>
    </w:p>
    <w:p w14:paraId="58D76DD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（二）支出预算</w:t>
      </w:r>
    </w:p>
    <w:p w14:paraId="1EDDD29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hAnsi="仿宋_GB2312"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五、一般公共预算拨款支出预算</w:t>
      </w:r>
    </w:p>
    <w:p w14:paraId="57654FB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（一）</w:t>
      </w:r>
      <w:r>
        <w:rPr>
          <w:rFonts w:hint="eastAsia" w:hAnsi="仿宋_GB2312" w:eastAsia="仿宋_GB2312"/>
          <w:sz w:val="32"/>
          <w:szCs w:val="32"/>
        </w:rPr>
        <w:t>基本支出</w:t>
      </w:r>
    </w:p>
    <w:p w14:paraId="600AE99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（二）</w:t>
      </w:r>
      <w:r>
        <w:rPr>
          <w:rFonts w:hint="eastAsia" w:hAnsi="仿宋_GB2312" w:eastAsia="仿宋_GB2312"/>
          <w:sz w:val="32"/>
          <w:szCs w:val="32"/>
        </w:rPr>
        <w:t>项目支出</w:t>
      </w:r>
    </w:p>
    <w:p w14:paraId="08FB8A9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hAnsi="仿宋_GB2312" w:eastAsia="仿宋_GB2312"/>
          <w:sz w:val="32"/>
          <w:szCs w:val="32"/>
        </w:rPr>
        <w:t>六</w:t>
      </w:r>
      <w:r>
        <w:rPr>
          <w:rFonts w:hAnsi="仿宋_GB2312" w:eastAsia="仿宋_GB2312"/>
          <w:sz w:val="32"/>
          <w:szCs w:val="32"/>
        </w:rPr>
        <w:t>、政府性基金预算支出</w:t>
      </w:r>
    </w:p>
    <w:p w14:paraId="76E2BC8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hAnsi="仿宋_GB2312" w:eastAsia="仿宋_GB2312"/>
          <w:sz w:val="32"/>
          <w:szCs w:val="32"/>
        </w:rPr>
        <w:t>七</w:t>
      </w:r>
      <w:r>
        <w:rPr>
          <w:rFonts w:hAnsi="仿宋_GB2312" w:eastAsia="仿宋_GB2312"/>
          <w:sz w:val="32"/>
          <w:szCs w:val="32"/>
        </w:rPr>
        <w:t>、其他重要事项情况说明</w:t>
      </w:r>
    </w:p>
    <w:p w14:paraId="6FE3D818">
      <w:pPr>
        <w:tabs>
          <w:tab w:val="right" w:pos="8844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（一）机关运行经费</w:t>
      </w:r>
      <w:r>
        <w:rPr>
          <w:rFonts w:hAnsi="仿宋_GB2312" w:eastAsia="仿宋_GB2312"/>
          <w:sz w:val="32"/>
          <w:szCs w:val="32"/>
        </w:rPr>
        <w:tab/>
      </w:r>
    </w:p>
    <w:p w14:paraId="3A8A8A9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（二）政府采购预算</w:t>
      </w:r>
    </w:p>
    <w:p w14:paraId="04482C6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（三）国有资产占有情况</w:t>
      </w:r>
    </w:p>
    <w:p w14:paraId="0E48D7F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（四）</w:t>
      </w:r>
      <w:r>
        <w:rPr>
          <w:rFonts w:hint="eastAsia" w:hAnsi="仿宋_GB2312" w:eastAsia="仿宋_GB2312"/>
          <w:sz w:val="32"/>
          <w:szCs w:val="32"/>
        </w:rPr>
        <w:t>预算绩效目标说明</w:t>
      </w:r>
    </w:p>
    <w:p w14:paraId="493957CF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（五）</w:t>
      </w:r>
      <w:r>
        <w:rPr>
          <w:rFonts w:eastAsia="仿宋_GB2312"/>
          <w:sz w:val="32"/>
          <w:szCs w:val="32"/>
        </w:rPr>
        <w:t xml:space="preserve"> “</w:t>
      </w:r>
      <w:r>
        <w:rPr>
          <w:rFonts w:hAnsi="仿宋_GB2312" w:eastAsia="仿宋_GB2312"/>
          <w:sz w:val="32"/>
          <w:szCs w:val="32"/>
        </w:rPr>
        <w:t>三公</w:t>
      </w:r>
      <w:r>
        <w:rPr>
          <w:rFonts w:eastAsia="仿宋_GB2312"/>
          <w:sz w:val="32"/>
          <w:szCs w:val="32"/>
        </w:rPr>
        <w:t>”</w:t>
      </w:r>
      <w:r>
        <w:rPr>
          <w:rFonts w:hAnsi="仿宋_GB2312" w:eastAsia="仿宋_GB2312"/>
          <w:sz w:val="32"/>
          <w:szCs w:val="32"/>
        </w:rPr>
        <w:t>经费预算</w:t>
      </w:r>
    </w:p>
    <w:p w14:paraId="66EDFF5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（六）</w:t>
      </w:r>
      <w:r>
        <w:rPr>
          <w:rFonts w:hint="eastAsia" w:hAnsi="仿宋_GB2312" w:eastAsia="仿宋_GB2312"/>
          <w:sz w:val="32"/>
          <w:szCs w:val="32"/>
        </w:rPr>
        <w:t>一般性支出情况</w:t>
      </w:r>
    </w:p>
    <w:p w14:paraId="150554D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hAnsi="仿宋_GB2312" w:eastAsia="仿宋_GB2312"/>
          <w:sz w:val="32"/>
          <w:szCs w:val="32"/>
        </w:rPr>
        <w:t>八</w:t>
      </w:r>
      <w:r>
        <w:rPr>
          <w:rFonts w:hAnsi="仿宋_GB2312" w:eastAsia="仿宋_GB2312"/>
          <w:sz w:val="32"/>
          <w:szCs w:val="32"/>
        </w:rPr>
        <w:t>、名词解释</w:t>
      </w:r>
    </w:p>
    <w:p w14:paraId="5A530E5A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b/>
          <w:bCs/>
          <w:sz w:val="32"/>
          <w:szCs w:val="32"/>
        </w:rPr>
      </w:pPr>
      <w:r>
        <w:rPr>
          <w:rFonts w:hAnsi="仿宋_GB2312" w:eastAsia="仿宋_GB2312"/>
          <w:b/>
          <w:bCs/>
          <w:sz w:val="32"/>
          <w:szCs w:val="32"/>
        </w:rPr>
        <w:t>第二部分</w:t>
      </w:r>
      <w:r>
        <w:rPr>
          <w:rFonts w:eastAsia="仿宋_GB2312"/>
          <w:b/>
          <w:bCs/>
          <w:sz w:val="32"/>
          <w:szCs w:val="32"/>
        </w:rPr>
        <w:t xml:space="preserve"> </w:t>
      </w:r>
      <w:r>
        <w:rPr>
          <w:rFonts w:hAnsi="仿宋_GB2312" w:eastAsia="仿宋_GB2312"/>
          <w:b/>
          <w:bCs/>
          <w:sz w:val="32"/>
          <w:szCs w:val="32"/>
        </w:rPr>
        <w:t>部门预算公开表格</w:t>
      </w:r>
    </w:p>
    <w:p w14:paraId="26B0C8C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（一）部门收支总表</w:t>
      </w:r>
    </w:p>
    <w:p w14:paraId="21B3DB5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（二）部门收入总表</w:t>
      </w:r>
    </w:p>
    <w:p w14:paraId="40D47E9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（三）部门支出总表</w:t>
      </w:r>
    </w:p>
    <w:p w14:paraId="6C4F73D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（四）支出分类(政府预算)</w:t>
      </w:r>
    </w:p>
    <w:p w14:paraId="119031E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（五）支出分类(部门预算)</w:t>
      </w:r>
    </w:p>
    <w:p w14:paraId="27BDF7E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（六）财政拨款收支总表</w:t>
      </w:r>
    </w:p>
    <w:p w14:paraId="206B86E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（七）一般预算支出表</w:t>
      </w:r>
    </w:p>
    <w:p w14:paraId="5E3828C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（八）工资福利（政府预算）</w:t>
      </w:r>
    </w:p>
    <w:p w14:paraId="6B589F2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（九）工资福利</w:t>
      </w:r>
    </w:p>
    <w:p w14:paraId="51A52F4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（十）个人家庭(政府预算)</w:t>
      </w:r>
    </w:p>
    <w:p w14:paraId="61D82AD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（十一）个人家庭</w:t>
      </w:r>
    </w:p>
    <w:p w14:paraId="335A0CF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（十二）商品服务(政府预算)</w:t>
      </w:r>
    </w:p>
    <w:p w14:paraId="61B719B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（十三）商品服务</w:t>
      </w:r>
    </w:p>
    <w:p w14:paraId="1572B1B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（十四）三公经费</w:t>
      </w:r>
    </w:p>
    <w:p w14:paraId="25530DB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（十五）政府性基金</w:t>
      </w:r>
    </w:p>
    <w:p w14:paraId="6DEE1BA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（十六）政府性基金(政府预算)</w:t>
      </w:r>
    </w:p>
    <w:p w14:paraId="417C0EF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（十七）政府性基金(部门预算)</w:t>
      </w:r>
    </w:p>
    <w:p w14:paraId="3E486A1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（十八）国有资本经营预算</w:t>
      </w:r>
    </w:p>
    <w:p w14:paraId="4F2CF1C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（十九）财政专户管理资金</w:t>
      </w:r>
    </w:p>
    <w:p w14:paraId="2D9FAE4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（二十）专项清单</w:t>
      </w:r>
    </w:p>
    <w:p w14:paraId="59CA4C5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（二十一）项目支出绩效目标表</w:t>
      </w:r>
    </w:p>
    <w:p w14:paraId="273B8BF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（二十二）整体支出绩效目标表 </w:t>
      </w:r>
    </w:p>
    <w:p w14:paraId="63BA86C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注：以上部门预算报表中，空表表示本部门无相关收支情况</w:t>
      </w:r>
    </w:p>
    <w:p w14:paraId="3B9C697D">
      <w:pPr>
        <w:tabs>
          <w:tab w:val="left" w:pos="7560"/>
        </w:tabs>
        <w:adjustRightInd w:val="0"/>
        <w:snapToGrid w:val="0"/>
        <w:spacing w:line="560" w:lineRule="exact"/>
        <w:rPr>
          <w:rFonts w:hint="eastAsia" w:eastAsia="黑体"/>
          <w:sz w:val="32"/>
          <w:szCs w:val="32"/>
        </w:rPr>
      </w:pPr>
    </w:p>
    <w:p w14:paraId="56E36793">
      <w:pPr>
        <w:tabs>
          <w:tab w:val="left" w:pos="7560"/>
        </w:tabs>
        <w:adjustRightInd w:val="0"/>
        <w:snapToGrid w:val="0"/>
        <w:spacing w:line="560" w:lineRule="exact"/>
        <w:rPr>
          <w:rFonts w:hint="eastAsia" w:eastAsia="黑体"/>
          <w:sz w:val="32"/>
          <w:szCs w:val="32"/>
        </w:rPr>
      </w:pPr>
    </w:p>
    <w:p w14:paraId="76118E45">
      <w:pPr>
        <w:tabs>
          <w:tab w:val="left" w:pos="7560"/>
        </w:tabs>
        <w:adjustRightInd w:val="0"/>
        <w:snapToGrid w:val="0"/>
        <w:spacing w:line="560" w:lineRule="exact"/>
        <w:rPr>
          <w:rFonts w:hint="eastAsia" w:eastAsia="黑体"/>
          <w:sz w:val="32"/>
          <w:szCs w:val="32"/>
        </w:rPr>
      </w:pPr>
    </w:p>
    <w:p w14:paraId="4768CA3C">
      <w:pPr>
        <w:tabs>
          <w:tab w:val="left" w:pos="7560"/>
        </w:tabs>
        <w:adjustRightInd w:val="0"/>
        <w:snapToGrid w:val="0"/>
        <w:spacing w:line="560" w:lineRule="exact"/>
        <w:rPr>
          <w:rFonts w:hint="eastAsia" w:eastAsia="黑体"/>
          <w:sz w:val="32"/>
          <w:szCs w:val="32"/>
        </w:rPr>
      </w:pPr>
    </w:p>
    <w:p w14:paraId="7BD6AF6E">
      <w:pPr>
        <w:tabs>
          <w:tab w:val="left" w:pos="7560"/>
        </w:tabs>
        <w:adjustRightInd w:val="0"/>
        <w:snapToGrid w:val="0"/>
        <w:spacing w:line="560" w:lineRule="exact"/>
        <w:rPr>
          <w:rFonts w:hint="eastAsia" w:eastAsia="黑体"/>
          <w:sz w:val="32"/>
          <w:szCs w:val="32"/>
        </w:rPr>
      </w:pPr>
    </w:p>
    <w:p w14:paraId="40EBC87D">
      <w:pPr>
        <w:tabs>
          <w:tab w:val="left" w:pos="7560"/>
        </w:tabs>
        <w:adjustRightInd w:val="0"/>
        <w:snapToGrid w:val="0"/>
        <w:spacing w:line="560" w:lineRule="exact"/>
        <w:rPr>
          <w:rFonts w:hint="eastAsia" w:eastAsia="黑体"/>
          <w:sz w:val="32"/>
          <w:szCs w:val="32"/>
        </w:rPr>
      </w:pPr>
    </w:p>
    <w:p w14:paraId="1A00ADBF">
      <w:pPr>
        <w:tabs>
          <w:tab w:val="left" w:pos="7560"/>
        </w:tabs>
        <w:adjustRightInd w:val="0"/>
        <w:snapToGrid w:val="0"/>
        <w:spacing w:line="560" w:lineRule="exact"/>
        <w:rPr>
          <w:rFonts w:hint="eastAsia" w:eastAsia="黑体"/>
          <w:sz w:val="32"/>
          <w:szCs w:val="32"/>
        </w:rPr>
      </w:pPr>
    </w:p>
    <w:p w14:paraId="5A029CAF">
      <w:pPr>
        <w:tabs>
          <w:tab w:val="left" w:pos="7560"/>
        </w:tabs>
        <w:adjustRightInd w:val="0"/>
        <w:snapToGrid w:val="0"/>
        <w:spacing w:line="560" w:lineRule="exact"/>
        <w:rPr>
          <w:rFonts w:hint="eastAsia" w:eastAsia="黑体"/>
          <w:sz w:val="32"/>
          <w:szCs w:val="32"/>
        </w:rPr>
      </w:pPr>
    </w:p>
    <w:p w14:paraId="177A5279">
      <w:pPr>
        <w:tabs>
          <w:tab w:val="left" w:pos="7560"/>
        </w:tabs>
        <w:adjustRightInd w:val="0"/>
        <w:snapToGrid w:val="0"/>
        <w:spacing w:line="560" w:lineRule="exact"/>
        <w:rPr>
          <w:rFonts w:hint="eastAsia" w:eastAsia="黑体"/>
          <w:sz w:val="32"/>
          <w:szCs w:val="32"/>
        </w:rPr>
      </w:pPr>
    </w:p>
    <w:p w14:paraId="1E9CC3DD">
      <w:pPr>
        <w:tabs>
          <w:tab w:val="left" w:pos="7560"/>
        </w:tabs>
        <w:adjustRightInd w:val="0"/>
        <w:snapToGrid w:val="0"/>
        <w:spacing w:line="560" w:lineRule="exact"/>
        <w:rPr>
          <w:rFonts w:hint="eastAsia" w:eastAsia="黑体"/>
          <w:sz w:val="32"/>
          <w:szCs w:val="32"/>
        </w:rPr>
      </w:pPr>
    </w:p>
    <w:p w14:paraId="70A51F44">
      <w:pPr>
        <w:tabs>
          <w:tab w:val="left" w:pos="7560"/>
        </w:tabs>
        <w:adjustRightInd w:val="0"/>
        <w:snapToGrid w:val="0"/>
        <w:spacing w:line="560" w:lineRule="exact"/>
        <w:rPr>
          <w:rFonts w:hint="eastAsia" w:eastAsia="黑体"/>
          <w:sz w:val="32"/>
          <w:szCs w:val="32"/>
        </w:rPr>
      </w:pPr>
    </w:p>
    <w:p w14:paraId="0C40A0C0">
      <w:pPr>
        <w:tabs>
          <w:tab w:val="left" w:pos="7560"/>
        </w:tabs>
        <w:adjustRightInd w:val="0"/>
        <w:snapToGrid w:val="0"/>
        <w:spacing w:line="560" w:lineRule="exact"/>
        <w:rPr>
          <w:rFonts w:hint="eastAsia" w:eastAsia="黑体"/>
          <w:sz w:val="32"/>
          <w:szCs w:val="32"/>
        </w:rPr>
      </w:pPr>
    </w:p>
    <w:p w14:paraId="23E5411C">
      <w:pPr>
        <w:tabs>
          <w:tab w:val="left" w:pos="7560"/>
        </w:tabs>
        <w:adjustRightInd w:val="0"/>
        <w:snapToGrid w:val="0"/>
        <w:spacing w:line="560" w:lineRule="exact"/>
        <w:rPr>
          <w:rFonts w:hint="eastAsia" w:eastAsia="黑体"/>
          <w:sz w:val="32"/>
          <w:szCs w:val="32"/>
        </w:rPr>
      </w:pPr>
    </w:p>
    <w:p w14:paraId="39634937">
      <w:pPr>
        <w:tabs>
          <w:tab w:val="left" w:pos="7560"/>
        </w:tabs>
        <w:adjustRightInd w:val="0"/>
        <w:snapToGrid w:val="0"/>
        <w:spacing w:line="560" w:lineRule="exact"/>
        <w:rPr>
          <w:rFonts w:hint="eastAsia" w:eastAsia="黑体"/>
          <w:sz w:val="32"/>
          <w:szCs w:val="32"/>
        </w:rPr>
      </w:pPr>
    </w:p>
    <w:p w14:paraId="4A850E4E">
      <w:pPr>
        <w:tabs>
          <w:tab w:val="left" w:pos="7560"/>
        </w:tabs>
        <w:adjustRightInd w:val="0"/>
        <w:snapToGrid w:val="0"/>
        <w:spacing w:line="560" w:lineRule="exact"/>
        <w:rPr>
          <w:rFonts w:hint="eastAsia" w:eastAsia="黑体"/>
          <w:sz w:val="32"/>
          <w:szCs w:val="32"/>
        </w:rPr>
      </w:pPr>
    </w:p>
    <w:p w14:paraId="5D12C9AE">
      <w:pPr>
        <w:tabs>
          <w:tab w:val="left" w:pos="7560"/>
        </w:tabs>
        <w:adjustRightInd w:val="0"/>
        <w:snapToGrid w:val="0"/>
        <w:spacing w:line="560" w:lineRule="exact"/>
        <w:rPr>
          <w:rFonts w:hint="eastAsia" w:eastAsia="黑体"/>
          <w:sz w:val="32"/>
          <w:szCs w:val="32"/>
        </w:rPr>
      </w:pPr>
    </w:p>
    <w:p w14:paraId="1CFB883E">
      <w:pPr>
        <w:tabs>
          <w:tab w:val="left" w:pos="7560"/>
        </w:tabs>
        <w:adjustRightInd w:val="0"/>
        <w:snapToGrid w:val="0"/>
        <w:spacing w:line="560" w:lineRule="exact"/>
        <w:rPr>
          <w:rFonts w:hint="eastAsia" w:eastAsia="黑体"/>
          <w:sz w:val="32"/>
          <w:szCs w:val="32"/>
        </w:rPr>
      </w:pPr>
    </w:p>
    <w:p w14:paraId="3E6520B7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21FD5BF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Ansi="黑体" w:eastAsia="黑体"/>
          <w:sz w:val="32"/>
          <w:szCs w:val="32"/>
        </w:rPr>
      </w:pPr>
    </w:p>
    <w:p w14:paraId="0ABF327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第一部分：</w:t>
      </w:r>
    </w:p>
    <w:p w14:paraId="0E6A7929">
      <w:pPr>
        <w:tabs>
          <w:tab w:val="left" w:pos="7560"/>
        </w:tabs>
        <w:adjustRightInd w:val="0"/>
        <w:snapToGrid w:val="0"/>
        <w:spacing w:line="560" w:lineRule="exact"/>
        <w:rPr>
          <w:rFonts w:eastAsia="方正小标宋简体"/>
          <w:bCs/>
          <w:sz w:val="44"/>
          <w:szCs w:val="44"/>
        </w:rPr>
      </w:pPr>
    </w:p>
    <w:p w14:paraId="1AB9C400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hint="eastAsia" w:eastAsia="方正小标宋简体"/>
          <w:bCs/>
          <w:sz w:val="44"/>
          <w:szCs w:val="44"/>
          <w:lang w:val="en-US" w:eastAsia="zh-CN"/>
        </w:rPr>
      </w:pPr>
      <w:r>
        <w:rPr>
          <w:rFonts w:hint="eastAsia" w:eastAsia="方正小标宋简体"/>
          <w:bCs/>
          <w:sz w:val="44"/>
          <w:szCs w:val="44"/>
          <w:lang w:val="en-US" w:eastAsia="zh-CN"/>
        </w:rPr>
        <w:t>株洲市动物疫病预防控制中心</w:t>
      </w:r>
    </w:p>
    <w:p w14:paraId="32802148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sz w:val="32"/>
          <w:szCs w:val="32"/>
        </w:rPr>
      </w:pPr>
      <w:r>
        <w:rPr>
          <w:rFonts w:hint="eastAsia" w:eastAsia="方正小标宋简体"/>
          <w:bCs/>
          <w:sz w:val="44"/>
          <w:szCs w:val="44"/>
        </w:rPr>
        <w:t>2025</w:t>
      </w:r>
      <w:r>
        <w:rPr>
          <w:rFonts w:eastAsia="方正小标宋简体"/>
          <w:bCs/>
          <w:sz w:val="44"/>
          <w:szCs w:val="44"/>
        </w:rPr>
        <w:t>年部门预算说明</w:t>
      </w:r>
    </w:p>
    <w:p w14:paraId="45282A5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 w14:paraId="5A64797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一、</w:t>
      </w:r>
      <w:r>
        <w:rPr>
          <w:rFonts w:eastAsia="黑体"/>
          <w:sz w:val="32"/>
          <w:szCs w:val="32"/>
        </w:rPr>
        <w:t xml:space="preserve"> </w:t>
      </w:r>
      <w:r>
        <w:rPr>
          <w:rFonts w:hAnsi="黑体" w:eastAsia="黑体"/>
          <w:sz w:val="32"/>
          <w:szCs w:val="32"/>
        </w:rPr>
        <w:t>部门职能职责</w:t>
      </w:r>
    </w:p>
    <w:p w14:paraId="1EA8052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1.贯彻执行国家、省有关动物防疫、检疫、检测的法律法规；2.负责全市动物疫病疫情的监测、检测、检验，组织实施全市动物疫病的预防、控制和扑灭；3.负责动物流行病学调查、疫情追溯、风险评估和疫病普查；4.负责城区屠宰检疫；5.负责全市人畜共患病防治技术工作及动物血吸虫病防治工作</w:t>
      </w:r>
      <w:r>
        <w:rPr>
          <w:rFonts w:hint="eastAsia" w:eastAsia="仿宋_GB2312"/>
          <w:sz w:val="32"/>
          <w:szCs w:val="32"/>
          <w:lang w:eastAsia="zh-CN"/>
        </w:rPr>
        <w:t>；</w:t>
      </w:r>
      <w:r>
        <w:rPr>
          <w:rFonts w:hint="eastAsia" w:eastAsia="仿宋_GB2312"/>
          <w:sz w:val="32"/>
          <w:szCs w:val="32"/>
          <w:lang w:val="en-US" w:eastAsia="zh-CN"/>
        </w:rPr>
        <w:t>6.完成株洲市农业农村局交办的其他工作任务。</w:t>
      </w:r>
    </w:p>
    <w:p w14:paraId="13A023D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二、机构设置</w:t>
      </w:r>
    </w:p>
    <w:p w14:paraId="5400389F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（一）部门设置。根据编办核定，我单位内设科室6个，分别是：综合科、财务科、动物防疫科、动物检疫科、检测化验室和宠物免疫科。</w:t>
      </w:r>
    </w:p>
    <w:p w14:paraId="4CCDA35F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（二）人员情况。本部门编制数</w:t>
      </w:r>
      <w:r>
        <w:rPr>
          <w:rFonts w:hint="eastAsia" w:eastAsia="仿宋_GB2312"/>
          <w:sz w:val="32"/>
          <w:szCs w:val="32"/>
          <w:lang w:val="en-US" w:eastAsia="zh-CN"/>
        </w:rPr>
        <w:t>39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人，在职人数</w:t>
      </w:r>
      <w:r>
        <w:rPr>
          <w:rFonts w:hint="eastAsia" w:eastAsia="仿宋_GB2312"/>
          <w:sz w:val="32"/>
          <w:szCs w:val="32"/>
          <w:lang w:val="en-US" w:eastAsia="zh-CN"/>
        </w:rPr>
        <w:t>36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人，其中在岗人数</w:t>
      </w:r>
      <w:r>
        <w:rPr>
          <w:rFonts w:hint="eastAsia" w:eastAsia="仿宋_GB2312"/>
          <w:sz w:val="32"/>
          <w:szCs w:val="32"/>
          <w:lang w:val="en-US" w:eastAsia="zh-CN"/>
        </w:rPr>
        <w:t>36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人；离退休人数</w:t>
      </w:r>
      <w:r>
        <w:rPr>
          <w:rFonts w:hint="eastAsia" w:eastAsia="仿宋_GB2312"/>
          <w:sz w:val="32"/>
          <w:szCs w:val="32"/>
          <w:lang w:val="en-US" w:eastAsia="zh-CN"/>
        </w:rPr>
        <w:t>29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人，其中退休人员</w:t>
      </w:r>
      <w:r>
        <w:rPr>
          <w:rFonts w:hint="eastAsia" w:eastAsia="仿宋_GB2312"/>
          <w:sz w:val="32"/>
          <w:szCs w:val="32"/>
          <w:lang w:val="en-US" w:eastAsia="zh-CN"/>
        </w:rPr>
        <w:t>29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人。</w:t>
      </w:r>
    </w:p>
    <w:p w14:paraId="6443E3F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hAnsi="黑体"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三、部门预算单位构成</w:t>
      </w:r>
      <w:r>
        <w:rPr>
          <w:rFonts w:hint="eastAsia" w:hAnsi="黑体" w:eastAsia="黑体"/>
          <w:sz w:val="32"/>
          <w:szCs w:val="32"/>
        </w:rPr>
        <w:t xml:space="preserve">  </w:t>
      </w:r>
    </w:p>
    <w:p w14:paraId="55B3766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我单位只有本级，没有其他预算单位，因此纳入202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年度部门预算编制范围的为株洲市动物疫病预防控制中心。</w:t>
      </w:r>
    </w:p>
    <w:p w14:paraId="51FFA19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四、</w:t>
      </w:r>
      <w:r>
        <w:rPr>
          <w:rFonts w:eastAsia="黑体"/>
          <w:sz w:val="32"/>
          <w:szCs w:val="32"/>
        </w:rPr>
        <w:t xml:space="preserve"> </w:t>
      </w:r>
      <w:r>
        <w:rPr>
          <w:rFonts w:hAnsi="黑体" w:eastAsia="黑体"/>
          <w:sz w:val="32"/>
          <w:szCs w:val="32"/>
        </w:rPr>
        <w:t>部门收支总体情况</w:t>
      </w:r>
    </w:p>
    <w:p w14:paraId="4DAD9DB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楷体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（一）收入预算</w:t>
      </w:r>
    </w:p>
    <w:p w14:paraId="3336780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2025</w:t>
      </w:r>
      <w:r>
        <w:rPr>
          <w:rFonts w:eastAsia="仿宋_GB2312"/>
          <w:sz w:val="32"/>
          <w:szCs w:val="32"/>
        </w:rPr>
        <w:t>年年初</w:t>
      </w:r>
      <w:r>
        <w:rPr>
          <w:rFonts w:hint="eastAsia" w:eastAsia="仿宋_GB2312"/>
          <w:sz w:val="32"/>
          <w:szCs w:val="32"/>
        </w:rPr>
        <w:t>部门收入</w:t>
      </w:r>
      <w:r>
        <w:rPr>
          <w:rFonts w:eastAsia="仿宋_GB2312"/>
          <w:sz w:val="32"/>
          <w:szCs w:val="32"/>
        </w:rPr>
        <w:t>预算</w:t>
      </w:r>
      <w:r>
        <w:rPr>
          <w:rFonts w:hint="eastAsia" w:eastAsia="仿宋_GB2312"/>
          <w:sz w:val="32"/>
          <w:szCs w:val="32"/>
          <w:lang w:val="en-US" w:eastAsia="zh-CN"/>
        </w:rPr>
        <w:t>922.27</w:t>
      </w:r>
      <w:r>
        <w:rPr>
          <w:rFonts w:eastAsia="仿宋_GB2312"/>
          <w:sz w:val="32"/>
          <w:szCs w:val="32"/>
        </w:rPr>
        <w:t>万元，其中，一般公共预算拨款</w:t>
      </w:r>
      <w:r>
        <w:rPr>
          <w:rFonts w:hint="eastAsia" w:eastAsia="仿宋_GB2312"/>
          <w:sz w:val="32"/>
          <w:szCs w:val="32"/>
          <w:lang w:val="en-US" w:eastAsia="zh-CN"/>
        </w:rPr>
        <w:t>922.27</w:t>
      </w:r>
      <w:r>
        <w:rPr>
          <w:rFonts w:eastAsia="仿宋_GB2312"/>
          <w:sz w:val="32"/>
          <w:szCs w:val="32"/>
        </w:rPr>
        <w:t>万元；政府性基金拨款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万元；财政专户管理的非税收入拨款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万元；其他收入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</w:rPr>
        <w:t>。收入预算较上年</w:t>
      </w:r>
      <w:r>
        <w:rPr>
          <w:rFonts w:hint="eastAsia" w:eastAsia="仿宋_GB2312"/>
          <w:sz w:val="32"/>
          <w:szCs w:val="32"/>
          <w:lang w:val="en-US" w:eastAsia="zh-CN"/>
        </w:rPr>
        <w:t>增加27.45</w:t>
      </w:r>
      <w:r>
        <w:rPr>
          <w:rFonts w:hint="eastAsia" w:eastAsia="仿宋_GB2312"/>
          <w:sz w:val="32"/>
          <w:szCs w:val="32"/>
        </w:rPr>
        <w:t>万元，主要原因是：在职人数</w:t>
      </w:r>
      <w:r>
        <w:rPr>
          <w:rFonts w:hint="eastAsia" w:eastAsia="仿宋_GB2312"/>
          <w:sz w:val="32"/>
          <w:szCs w:val="32"/>
          <w:lang w:val="en-US" w:eastAsia="zh-CN"/>
        </w:rPr>
        <w:t>增加1</w:t>
      </w:r>
      <w:r>
        <w:rPr>
          <w:rFonts w:hint="eastAsia" w:eastAsia="仿宋_GB2312"/>
          <w:sz w:val="32"/>
          <w:szCs w:val="32"/>
        </w:rPr>
        <w:t>人，人员经费和</w:t>
      </w:r>
      <w:r>
        <w:rPr>
          <w:rFonts w:hint="eastAsia" w:eastAsia="仿宋_GB2312"/>
          <w:sz w:val="32"/>
          <w:szCs w:val="32"/>
          <w:lang w:val="en-US" w:eastAsia="zh-CN"/>
        </w:rPr>
        <w:t>按定额标准以及工资比例计提的公用经费增加。</w:t>
      </w:r>
    </w:p>
    <w:p w14:paraId="1DC3BBF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（二）支出预算</w:t>
      </w:r>
    </w:p>
    <w:p w14:paraId="4583D70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</w:rPr>
        <w:t>2025</w:t>
      </w:r>
      <w:r>
        <w:rPr>
          <w:rFonts w:eastAsia="仿宋_GB2312"/>
          <w:sz w:val="32"/>
          <w:szCs w:val="32"/>
        </w:rPr>
        <w:t>年年初</w:t>
      </w:r>
      <w:r>
        <w:rPr>
          <w:rFonts w:hint="eastAsia" w:eastAsia="仿宋_GB2312"/>
          <w:sz w:val="32"/>
          <w:szCs w:val="32"/>
        </w:rPr>
        <w:t>部门支出</w:t>
      </w:r>
      <w:r>
        <w:rPr>
          <w:rFonts w:eastAsia="仿宋_GB2312"/>
          <w:sz w:val="32"/>
          <w:szCs w:val="32"/>
        </w:rPr>
        <w:t>预算</w:t>
      </w:r>
      <w:r>
        <w:rPr>
          <w:rFonts w:hint="eastAsia" w:eastAsia="仿宋_GB2312"/>
          <w:sz w:val="32"/>
          <w:szCs w:val="32"/>
          <w:lang w:val="en-US" w:eastAsia="zh-CN"/>
        </w:rPr>
        <w:t>922.27</w:t>
      </w:r>
      <w:r>
        <w:rPr>
          <w:rFonts w:eastAsia="仿宋_GB2312"/>
          <w:sz w:val="32"/>
          <w:szCs w:val="32"/>
        </w:rPr>
        <w:t>万元，其中，</w:t>
      </w:r>
      <w:r>
        <w:rPr>
          <w:rFonts w:hint="eastAsia" w:eastAsia="仿宋_GB2312"/>
          <w:sz w:val="32"/>
          <w:szCs w:val="32"/>
          <w:highlight w:val="none"/>
        </w:rPr>
        <w:t>社会保障和</w:t>
      </w:r>
    </w:p>
    <w:p w14:paraId="1E738BDC">
      <w:pPr>
        <w:tabs>
          <w:tab w:val="left" w:pos="7560"/>
        </w:tabs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highlight w:val="none"/>
        </w:rPr>
        <w:t>就业支出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158.53</w:t>
      </w:r>
      <w:r>
        <w:rPr>
          <w:rFonts w:hint="eastAsia" w:eastAsia="仿宋_GB2312"/>
          <w:sz w:val="32"/>
          <w:szCs w:val="32"/>
          <w:highlight w:val="none"/>
        </w:rPr>
        <w:t>万元，卫生健康支出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84.18</w:t>
      </w:r>
      <w:r>
        <w:rPr>
          <w:rFonts w:hint="eastAsia" w:eastAsia="仿宋_GB2312"/>
          <w:sz w:val="32"/>
          <w:szCs w:val="32"/>
          <w:highlight w:val="none"/>
        </w:rPr>
        <w:t>万元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eastAsia="仿宋_GB2312"/>
          <w:sz w:val="32"/>
          <w:szCs w:val="32"/>
          <w:highlight w:val="none"/>
        </w:rPr>
        <w:t>农林水支出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626.21</w:t>
      </w:r>
      <w:r>
        <w:rPr>
          <w:rFonts w:hint="eastAsia" w:eastAsia="仿宋_GB2312"/>
          <w:sz w:val="32"/>
          <w:szCs w:val="32"/>
          <w:highlight w:val="none"/>
        </w:rPr>
        <w:t>万元，住房保障支出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53.35</w:t>
      </w:r>
      <w:r>
        <w:rPr>
          <w:rFonts w:hint="eastAsia" w:eastAsia="仿宋_GB2312"/>
          <w:sz w:val="32"/>
          <w:szCs w:val="32"/>
          <w:highlight w:val="none"/>
        </w:rPr>
        <w:t>万元</w:t>
      </w:r>
      <w:r>
        <w:rPr>
          <w:rFonts w:eastAsia="仿宋_GB2312"/>
          <w:sz w:val="32"/>
          <w:szCs w:val="32"/>
        </w:rPr>
        <w:t>。</w:t>
      </w:r>
      <w:r>
        <w:rPr>
          <w:rFonts w:hint="eastAsia" w:eastAsia="仿宋_GB2312"/>
          <w:sz w:val="32"/>
          <w:szCs w:val="32"/>
        </w:rPr>
        <w:t>支出预算较上年</w:t>
      </w:r>
      <w:r>
        <w:rPr>
          <w:rFonts w:hint="eastAsia" w:eastAsia="仿宋_GB2312"/>
          <w:sz w:val="32"/>
          <w:szCs w:val="32"/>
          <w:lang w:val="en-US" w:eastAsia="zh-CN"/>
        </w:rPr>
        <w:t>增加27.45</w:t>
      </w:r>
      <w:r>
        <w:rPr>
          <w:rFonts w:hint="eastAsia" w:eastAsia="仿宋_GB2312"/>
          <w:sz w:val="32"/>
          <w:szCs w:val="32"/>
        </w:rPr>
        <w:t>万元，主要原因是：在职人数</w:t>
      </w:r>
      <w:r>
        <w:rPr>
          <w:rFonts w:hint="eastAsia" w:eastAsia="仿宋_GB2312"/>
          <w:sz w:val="32"/>
          <w:szCs w:val="32"/>
          <w:lang w:val="en-US" w:eastAsia="zh-CN"/>
        </w:rPr>
        <w:t>增加1</w:t>
      </w:r>
      <w:r>
        <w:rPr>
          <w:rFonts w:hint="eastAsia" w:eastAsia="仿宋_GB2312"/>
          <w:sz w:val="32"/>
          <w:szCs w:val="32"/>
        </w:rPr>
        <w:t>人，人员经费和</w:t>
      </w:r>
      <w:r>
        <w:rPr>
          <w:rFonts w:hint="eastAsia" w:eastAsia="仿宋_GB2312"/>
          <w:sz w:val="32"/>
          <w:szCs w:val="32"/>
          <w:lang w:val="en-US" w:eastAsia="zh-CN"/>
        </w:rPr>
        <w:t>按定额标准以及工资比例计提的公用经费增加。</w:t>
      </w:r>
    </w:p>
    <w:p w14:paraId="1DBFF63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五、一般公共预算拨款支出预算</w:t>
      </w:r>
    </w:p>
    <w:p w14:paraId="48EE4B2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2025</w:t>
      </w:r>
      <w:r>
        <w:rPr>
          <w:rFonts w:eastAsia="仿宋_GB2312"/>
          <w:sz w:val="32"/>
          <w:szCs w:val="32"/>
        </w:rPr>
        <w:t>年本部门一般公共预算拨款</w:t>
      </w:r>
      <w:r>
        <w:rPr>
          <w:rFonts w:hint="eastAsia" w:eastAsia="仿宋_GB2312"/>
          <w:sz w:val="32"/>
          <w:szCs w:val="32"/>
        </w:rPr>
        <w:t>支出</w:t>
      </w:r>
      <w:r>
        <w:rPr>
          <w:rFonts w:hint="eastAsia" w:eastAsia="仿宋_GB2312"/>
          <w:sz w:val="32"/>
          <w:szCs w:val="32"/>
          <w:lang w:val="en-US" w:eastAsia="zh-CN"/>
        </w:rPr>
        <w:t>922.27</w:t>
      </w:r>
      <w:r>
        <w:rPr>
          <w:rFonts w:eastAsia="仿宋_GB2312"/>
          <w:sz w:val="32"/>
          <w:szCs w:val="32"/>
        </w:rPr>
        <w:t>万元，具体安排如下：</w:t>
      </w:r>
    </w:p>
    <w:p w14:paraId="5714F4C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</w:t>
      </w:r>
      <w:r>
        <w:rPr>
          <w:rFonts w:hint="eastAsia" w:eastAsia="楷体_GB2312"/>
          <w:bCs/>
          <w:sz w:val="32"/>
          <w:szCs w:val="32"/>
        </w:rPr>
        <w:t>基本</w:t>
      </w:r>
      <w:r>
        <w:rPr>
          <w:rFonts w:eastAsia="楷体_GB2312"/>
          <w:bCs/>
          <w:sz w:val="32"/>
          <w:szCs w:val="32"/>
        </w:rPr>
        <w:t>支出</w:t>
      </w:r>
      <w:r>
        <w:rPr>
          <w:rFonts w:hint="eastAsia" w:eastAsia="楷体_GB2312"/>
          <w:bCs/>
          <w:sz w:val="32"/>
          <w:szCs w:val="32"/>
        </w:rPr>
        <w:t>：</w:t>
      </w:r>
      <w:r>
        <w:rPr>
          <w:rFonts w:hint="eastAsia" w:eastAsia="仿宋_GB2312"/>
          <w:sz w:val="32"/>
          <w:szCs w:val="32"/>
        </w:rPr>
        <w:t>2025</w:t>
      </w:r>
      <w:r>
        <w:rPr>
          <w:rFonts w:eastAsia="仿宋_GB2312"/>
          <w:sz w:val="32"/>
          <w:szCs w:val="32"/>
        </w:rPr>
        <w:t>年年初预算为</w:t>
      </w:r>
      <w:r>
        <w:rPr>
          <w:rFonts w:hint="eastAsia" w:eastAsia="仿宋_GB2312"/>
          <w:sz w:val="32"/>
          <w:szCs w:val="32"/>
          <w:lang w:val="en-US" w:eastAsia="zh-CN"/>
        </w:rPr>
        <w:t>870.27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</w:rPr>
        <w:t>，占总支出比重为</w:t>
      </w:r>
      <w:r>
        <w:rPr>
          <w:rFonts w:hint="eastAsia" w:eastAsia="仿宋_GB2312"/>
          <w:sz w:val="32"/>
          <w:szCs w:val="32"/>
          <w:lang w:val="en-US" w:eastAsia="zh-CN"/>
        </w:rPr>
        <w:t>94.36</w:t>
      </w:r>
      <w:r>
        <w:rPr>
          <w:rFonts w:hint="eastAsia" w:eastAsia="仿宋_GB2312"/>
          <w:sz w:val="32"/>
          <w:szCs w:val="32"/>
        </w:rPr>
        <w:t>%；主要是为保障部门正常运转、完成日常工作任务而发生的各项支出，包括用于基本工资、津贴补贴等人员经费以及办公费、印刷费、水电费、办公设备购置等公用经费。</w:t>
      </w:r>
    </w:p>
    <w:p w14:paraId="43F05E3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</w:t>
      </w:r>
      <w:r>
        <w:rPr>
          <w:rFonts w:hint="eastAsia" w:eastAsia="楷体_GB2312"/>
          <w:bCs/>
          <w:sz w:val="32"/>
          <w:szCs w:val="32"/>
        </w:rPr>
        <w:t>二</w:t>
      </w:r>
      <w:r>
        <w:rPr>
          <w:rFonts w:eastAsia="楷体_GB2312"/>
          <w:bCs/>
          <w:sz w:val="32"/>
          <w:szCs w:val="32"/>
        </w:rPr>
        <w:t>）</w:t>
      </w:r>
      <w:r>
        <w:rPr>
          <w:rFonts w:hint="eastAsia" w:eastAsia="楷体_GB2312"/>
          <w:bCs/>
          <w:sz w:val="32"/>
          <w:szCs w:val="32"/>
        </w:rPr>
        <w:t>项目</w:t>
      </w:r>
      <w:r>
        <w:rPr>
          <w:rFonts w:eastAsia="楷体_GB2312"/>
          <w:bCs/>
          <w:sz w:val="32"/>
          <w:szCs w:val="32"/>
        </w:rPr>
        <w:t>支出</w:t>
      </w:r>
      <w:r>
        <w:rPr>
          <w:rFonts w:hint="eastAsia" w:eastAsia="楷体_GB2312"/>
          <w:bCs/>
          <w:sz w:val="32"/>
          <w:szCs w:val="32"/>
        </w:rPr>
        <w:t>：</w:t>
      </w:r>
      <w:r>
        <w:rPr>
          <w:rFonts w:hint="eastAsia" w:eastAsia="仿宋_GB2312"/>
          <w:sz w:val="32"/>
          <w:szCs w:val="32"/>
        </w:rPr>
        <w:t>2025</w:t>
      </w:r>
      <w:r>
        <w:rPr>
          <w:rFonts w:eastAsia="仿宋_GB2312"/>
          <w:sz w:val="32"/>
          <w:szCs w:val="32"/>
        </w:rPr>
        <w:t>年年初预算为</w:t>
      </w:r>
      <w:r>
        <w:rPr>
          <w:rFonts w:hint="eastAsia" w:eastAsia="仿宋_GB2312"/>
          <w:sz w:val="32"/>
          <w:szCs w:val="32"/>
          <w:lang w:val="en-US" w:eastAsia="zh-CN"/>
        </w:rPr>
        <w:t>52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</w:rPr>
        <w:t>，占总支出比重为</w:t>
      </w:r>
      <w:r>
        <w:rPr>
          <w:rFonts w:hint="eastAsia" w:eastAsia="仿宋_GB2312"/>
          <w:sz w:val="32"/>
          <w:szCs w:val="32"/>
          <w:lang w:val="en-US" w:eastAsia="zh-CN"/>
        </w:rPr>
        <w:t>5.64</w:t>
      </w:r>
      <w:r>
        <w:rPr>
          <w:rFonts w:hint="eastAsia" w:eastAsia="仿宋_GB2312"/>
          <w:sz w:val="32"/>
          <w:szCs w:val="32"/>
        </w:rPr>
        <w:t>%；是指部门为完成特定行政工作任务或事业发展目标而发生的支出。主要包括：2025年动物防疫事</w:t>
      </w:r>
      <w:r>
        <w:rPr>
          <w:rFonts w:hint="eastAsia" w:eastAsia="仿宋_GB2312"/>
          <w:sz w:val="32"/>
          <w:szCs w:val="32"/>
          <w:lang w:val="en-US" w:eastAsia="zh-CN"/>
        </w:rPr>
        <w:t>务</w:t>
      </w:r>
      <w:r>
        <w:rPr>
          <w:rFonts w:hint="eastAsia" w:eastAsia="仿宋_GB2312"/>
          <w:sz w:val="32"/>
          <w:szCs w:val="32"/>
        </w:rPr>
        <w:t>项目</w:t>
      </w:r>
      <w:r>
        <w:rPr>
          <w:rFonts w:hint="eastAsia" w:eastAsia="仿宋_GB2312"/>
          <w:sz w:val="32"/>
          <w:szCs w:val="32"/>
          <w:lang w:val="en-US" w:eastAsia="zh-CN"/>
        </w:rPr>
        <w:t>52</w:t>
      </w:r>
      <w:r>
        <w:rPr>
          <w:rFonts w:hint="eastAsia" w:eastAsia="仿宋_GB2312"/>
          <w:sz w:val="32"/>
          <w:szCs w:val="32"/>
        </w:rPr>
        <w:t>万元，主要用于动物疫病预防控制工作。</w:t>
      </w:r>
    </w:p>
    <w:p w14:paraId="1C932648">
      <w:pPr>
        <w:numPr>
          <w:ilvl w:val="0"/>
          <w:numId w:val="1"/>
        </w:num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政府性基金预算支出</w:t>
      </w:r>
    </w:p>
    <w:p w14:paraId="5DE0874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2025年本部门无政府性基金安排的支出。</w:t>
      </w:r>
    </w:p>
    <w:p w14:paraId="0CC6F45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七、其他重要事项情况说明</w:t>
      </w:r>
    </w:p>
    <w:p w14:paraId="05EA12A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（一）机关运行经费</w:t>
      </w:r>
    </w:p>
    <w:p w14:paraId="7BF44D3F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color w:val="FF0000"/>
          <w:sz w:val="32"/>
          <w:szCs w:val="32"/>
        </w:rPr>
      </w:pPr>
      <w:r>
        <w:rPr>
          <w:rFonts w:eastAsia="仿宋_GB2312"/>
          <w:sz w:val="32"/>
          <w:szCs w:val="32"/>
        </w:rPr>
        <w:t>本部门</w:t>
      </w:r>
      <w:r>
        <w:rPr>
          <w:rFonts w:hint="eastAsia" w:eastAsia="仿宋_GB2312"/>
          <w:sz w:val="32"/>
          <w:szCs w:val="32"/>
        </w:rPr>
        <w:t>2025</w:t>
      </w:r>
      <w:r>
        <w:rPr>
          <w:rFonts w:eastAsia="仿宋_GB2312"/>
          <w:sz w:val="32"/>
          <w:szCs w:val="32"/>
        </w:rPr>
        <w:t>年年初预算机关运行经费</w:t>
      </w:r>
      <w:r>
        <w:rPr>
          <w:rFonts w:hint="eastAsia" w:eastAsia="仿宋_GB2312"/>
          <w:sz w:val="32"/>
          <w:szCs w:val="32"/>
        </w:rPr>
        <w:t>（商品和服务支出+业务性专项)</w:t>
      </w:r>
      <w:r>
        <w:rPr>
          <w:rFonts w:eastAsia="仿宋_GB2312"/>
          <w:sz w:val="32"/>
          <w:szCs w:val="32"/>
        </w:rPr>
        <w:t>共安排</w:t>
      </w:r>
      <w:r>
        <w:rPr>
          <w:rFonts w:hint="eastAsia" w:eastAsia="仿宋_GB2312"/>
          <w:sz w:val="32"/>
          <w:szCs w:val="32"/>
          <w:lang w:val="en-US" w:eastAsia="zh-CN"/>
        </w:rPr>
        <w:t>181.62</w:t>
      </w:r>
      <w:r>
        <w:rPr>
          <w:rFonts w:eastAsia="仿宋_GB2312"/>
          <w:sz w:val="32"/>
          <w:szCs w:val="32"/>
        </w:rPr>
        <w:t>万元，比上年预算</w:t>
      </w:r>
      <w:r>
        <w:rPr>
          <w:rFonts w:hint="eastAsia" w:eastAsia="仿宋_GB2312"/>
          <w:sz w:val="32"/>
          <w:szCs w:val="32"/>
        </w:rPr>
        <w:t>增加</w:t>
      </w:r>
      <w:r>
        <w:rPr>
          <w:rFonts w:hint="eastAsia" w:eastAsia="仿宋_GB2312"/>
          <w:sz w:val="32"/>
          <w:szCs w:val="32"/>
          <w:lang w:val="en-US" w:eastAsia="zh-CN"/>
        </w:rPr>
        <w:t>4.08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  <w:lang w:val="en-US" w:eastAsia="zh-CN"/>
        </w:rPr>
        <w:t>上升2.30</w:t>
      </w:r>
      <w:r>
        <w:rPr>
          <w:rFonts w:hint="eastAsia" w:eastAsia="仿宋_GB2312"/>
          <w:sz w:val="32"/>
          <w:szCs w:val="32"/>
        </w:rPr>
        <w:t>%，</w:t>
      </w:r>
      <w:r>
        <w:rPr>
          <w:rFonts w:eastAsia="仿宋_GB2312"/>
          <w:sz w:val="32"/>
          <w:szCs w:val="32"/>
        </w:rPr>
        <w:t>主要原因是：</w:t>
      </w:r>
      <w:r>
        <w:rPr>
          <w:rFonts w:hint="eastAsia" w:eastAsia="仿宋_GB2312"/>
          <w:sz w:val="32"/>
          <w:szCs w:val="32"/>
          <w:lang w:val="en-US" w:eastAsia="zh-CN"/>
        </w:rPr>
        <w:t>在职人</w:t>
      </w:r>
      <w:r>
        <w:rPr>
          <w:rFonts w:hint="eastAsia" w:eastAsia="仿宋_GB2312"/>
          <w:sz w:val="32"/>
          <w:szCs w:val="32"/>
        </w:rPr>
        <w:t>员增加</w:t>
      </w:r>
      <w:r>
        <w:rPr>
          <w:rFonts w:hint="eastAsia" w:eastAsia="仿宋_GB2312"/>
          <w:sz w:val="32"/>
          <w:szCs w:val="32"/>
          <w:lang w:val="en-US" w:eastAsia="zh-CN"/>
        </w:rPr>
        <w:t>1人</w:t>
      </w:r>
      <w:r>
        <w:rPr>
          <w:rFonts w:hint="eastAsia"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  <w:lang w:val="en-US" w:eastAsia="zh-CN"/>
        </w:rPr>
        <w:t>按定额标准以及工资比例计提的公用经费增加</w:t>
      </w:r>
      <w:r>
        <w:rPr>
          <w:rFonts w:hint="eastAsia" w:eastAsia="仿宋_GB2312"/>
          <w:sz w:val="32"/>
          <w:szCs w:val="32"/>
        </w:rPr>
        <w:t>。</w:t>
      </w:r>
    </w:p>
    <w:p w14:paraId="030AEA9A">
      <w:pPr>
        <w:adjustRightInd w:val="0"/>
        <w:snapToGrid w:val="0"/>
        <w:spacing w:line="560" w:lineRule="exact"/>
        <w:ind w:firstLine="640" w:firstLineChars="200"/>
        <w:rPr>
          <w:rFonts w:hint="eastAsia" w:ascii="华文楷体" w:hAnsi="华文楷体" w:eastAsia="华文楷体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（二)</w:t>
      </w:r>
      <w:r>
        <w:rPr>
          <w:rFonts w:hint="eastAsia" w:eastAsia="楷体_GB2312"/>
          <w:bCs/>
          <w:sz w:val="32"/>
          <w:szCs w:val="32"/>
        </w:rPr>
        <w:t xml:space="preserve"> 政府采购预算</w:t>
      </w:r>
    </w:p>
    <w:p w14:paraId="07FA0319">
      <w:pPr>
        <w:adjustRightInd w:val="0"/>
        <w:snapToGrid w:val="0"/>
        <w:spacing w:line="560" w:lineRule="exact"/>
        <w:ind w:firstLine="640" w:firstLineChars="200"/>
        <w:rPr>
          <w:rFonts w:ascii="仿宋_GB2312" w:hAnsi="华文楷体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2025年部门政府采购预算为</w:t>
      </w:r>
      <w:r>
        <w:rPr>
          <w:rFonts w:hint="eastAsia" w:eastAsia="仿宋_GB2312"/>
          <w:sz w:val="32"/>
          <w:szCs w:val="32"/>
          <w:lang w:val="en-US" w:eastAsia="zh-CN"/>
        </w:rPr>
        <w:t>85.57</w:t>
      </w:r>
      <w:r>
        <w:rPr>
          <w:rFonts w:hint="eastAsia" w:eastAsia="仿宋_GB2312"/>
          <w:sz w:val="32"/>
          <w:szCs w:val="32"/>
        </w:rPr>
        <w:t>万元，其中：政府采购货物预算</w:t>
      </w:r>
      <w:r>
        <w:rPr>
          <w:rFonts w:hint="eastAsia" w:eastAsia="仿宋_GB2312"/>
          <w:sz w:val="32"/>
          <w:szCs w:val="32"/>
          <w:lang w:val="en-US" w:eastAsia="zh-CN"/>
        </w:rPr>
        <w:t>62.62</w:t>
      </w:r>
      <w:r>
        <w:rPr>
          <w:rFonts w:hint="eastAsia" w:eastAsia="仿宋_GB2312"/>
          <w:sz w:val="32"/>
          <w:szCs w:val="32"/>
        </w:rPr>
        <w:t>万元，政府采购工程预算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hint="eastAsia" w:eastAsia="仿宋_GB2312"/>
          <w:sz w:val="32"/>
          <w:szCs w:val="32"/>
        </w:rPr>
        <w:t>万元，政府采购服务预算</w:t>
      </w:r>
      <w:r>
        <w:rPr>
          <w:rFonts w:hint="eastAsia" w:eastAsia="仿宋_GB2312"/>
          <w:sz w:val="32"/>
          <w:szCs w:val="32"/>
          <w:lang w:val="en-US" w:eastAsia="zh-CN"/>
        </w:rPr>
        <w:t>22.95</w:t>
      </w:r>
      <w:r>
        <w:rPr>
          <w:rFonts w:hint="eastAsia" w:eastAsia="仿宋_GB2312"/>
          <w:sz w:val="32"/>
          <w:szCs w:val="32"/>
        </w:rPr>
        <w:t>万元</w:t>
      </w:r>
      <w:r>
        <w:rPr>
          <w:rFonts w:eastAsia="仿宋_GB2312"/>
          <w:sz w:val="32"/>
          <w:szCs w:val="32"/>
        </w:rPr>
        <w:t>。</w:t>
      </w:r>
    </w:p>
    <w:p w14:paraId="4572B65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（三）国有资产占有情况</w:t>
      </w:r>
    </w:p>
    <w:p w14:paraId="06E28E1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截止</w:t>
      </w:r>
      <w:r>
        <w:rPr>
          <w:rFonts w:hint="eastAsia" w:eastAsia="仿宋_GB2312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年12月</w:t>
      </w:r>
      <w:r>
        <w:rPr>
          <w:rFonts w:hint="eastAsia" w:eastAsia="仿宋_GB2312"/>
          <w:sz w:val="32"/>
          <w:szCs w:val="32"/>
        </w:rPr>
        <w:t>底</w:t>
      </w:r>
      <w:r>
        <w:rPr>
          <w:rFonts w:eastAsia="仿宋_GB2312"/>
          <w:sz w:val="32"/>
          <w:szCs w:val="32"/>
        </w:rPr>
        <w:t>，本部门共有</w:t>
      </w:r>
      <w:r>
        <w:rPr>
          <w:rFonts w:hint="eastAsia" w:eastAsia="仿宋_GB2312"/>
          <w:sz w:val="32"/>
          <w:szCs w:val="32"/>
        </w:rPr>
        <w:t>公务用车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辆，其中</w:t>
      </w:r>
      <w:r>
        <w:rPr>
          <w:rFonts w:hint="eastAsia" w:eastAsia="仿宋_GB2312"/>
          <w:sz w:val="32"/>
          <w:szCs w:val="32"/>
        </w:rPr>
        <w:t>，机要通信</w:t>
      </w:r>
      <w:r>
        <w:rPr>
          <w:rFonts w:eastAsia="仿宋_GB2312"/>
          <w:sz w:val="32"/>
          <w:szCs w:val="32"/>
        </w:rPr>
        <w:t>用车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辆</w:t>
      </w:r>
      <w:r>
        <w:rPr>
          <w:rFonts w:hint="eastAsia" w:eastAsia="仿宋_GB2312"/>
          <w:sz w:val="32"/>
          <w:szCs w:val="32"/>
        </w:rPr>
        <w:t>，应急保障</w:t>
      </w:r>
      <w:r>
        <w:rPr>
          <w:rFonts w:eastAsia="仿宋_GB2312"/>
          <w:sz w:val="32"/>
          <w:szCs w:val="32"/>
        </w:rPr>
        <w:t>用车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辆</w:t>
      </w:r>
      <w:r>
        <w:rPr>
          <w:rFonts w:hint="eastAsia" w:eastAsia="仿宋_GB2312"/>
          <w:sz w:val="32"/>
          <w:szCs w:val="32"/>
        </w:rPr>
        <w:t>，执法执勤用车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辆</w:t>
      </w:r>
      <w:r>
        <w:rPr>
          <w:rFonts w:hint="eastAsia" w:eastAsia="仿宋_GB2312"/>
          <w:sz w:val="32"/>
          <w:szCs w:val="32"/>
        </w:rPr>
        <w:t>，特种专业技术用车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辆</w:t>
      </w:r>
      <w:r>
        <w:rPr>
          <w:rFonts w:hint="eastAsia" w:eastAsia="仿宋_GB2312"/>
          <w:sz w:val="32"/>
          <w:szCs w:val="32"/>
        </w:rPr>
        <w:t>，其他按照规定配备的公务用车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辆；</w:t>
      </w:r>
      <w:r>
        <w:rPr>
          <w:rFonts w:hint="eastAsia" w:eastAsia="仿宋_GB2312"/>
          <w:sz w:val="32"/>
          <w:szCs w:val="32"/>
        </w:rPr>
        <w:t>2025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拟新增配置公务用车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辆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其中</w:t>
      </w:r>
      <w:r>
        <w:rPr>
          <w:rFonts w:hint="eastAsia" w:eastAsia="仿宋_GB2312"/>
          <w:sz w:val="32"/>
          <w:szCs w:val="32"/>
        </w:rPr>
        <w:t>，机要通信</w:t>
      </w:r>
      <w:r>
        <w:rPr>
          <w:rFonts w:eastAsia="仿宋_GB2312"/>
          <w:sz w:val="32"/>
          <w:szCs w:val="32"/>
        </w:rPr>
        <w:t>用车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辆</w:t>
      </w:r>
      <w:r>
        <w:rPr>
          <w:rFonts w:hint="eastAsia" w:eastAsia="仿宋_GB2312"/>
          <w:sz w:val="32"/>
          <w:szCs w:val="32"/>
        </w:rPr>
        <w:t>，应急保障</w:t>
      </w:r>
      <w:r>
        <w:rPr>
          <w:rFonts w:eastAsia="仿宋_GB2312"/>
          <w:sz w:val="32"/>
          <w:szCs w:val="32"/>
        </w:rPr>
        <w:t>用车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辆</w:t>
      </w:r>
      <w:r>
        <w:rPr>
          <w:rFonts w:hint="eastAsia" w:eastAsia="仿宋_GB2312"/>
          <w:sz w:val="32"/>
          <w:szCs w:val="32"/>
        </w:rPr>
        <w:t>，执法执勤用车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辆</w:t>
      </w:r>
      <w:r>
        <w:rPr>
          <w:rFonts w:hint="eastAsia" w:eastAsia="仿宋_GB2312"/>
          <w:sz w:val="32"/>
          <w:szCs w:val="32"/>
        </w:rPr>
        <w:t>，特种专业技术用车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辆</w:t>
      </w:r>
      <w:r>
        <w:rPr>
          <w:rFonts w:hint="eastAsia" w:eastAsia="仿宋_GB2312"/>
          <w:sz w:val="32"/>
          <w:szCs w:val="32"/>
        </w:rPr>
        <w:t>，其他按照规定配备的公务用车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辆</w:t>
      </w:r>
      <w:r>
        <w:rPr>
          <w:rFonts w:hint="eastAsia" w:eastAsia="仿宋_GB2312"/>
          <w:sz w:val="32"/>
          <w:szCs w:val="32"/>
        </w:rPr>
        <w:t>；新增配备</w:t>
      </w:r>
      <w:r>
        <w:rPr>
          <w:rFonts w:eastAsia="仿宋_GB2312"/>
          <w:sz w:val="32"/>
          <w:szCs w:val="32"/>
        </w:rPr>
        <w:t>单位价值</w:t>
      </w:r>
      <w:r>
        <w:rPr>
          <w:rFonts w:hint="eastAsia" w:eastAsia="仿宋_GB2312"/>
          <w:sz w:val="32"/>
          <w:szCs w:val="32"/>
        </w:rPr>
        <w:t>50</w:t>
      </w:r>
      <w:r>
        <w:rPr>
          <w:rFonts w:eastAsia="仿宋_GB2312"/>
          <w:sz w:val="32"/>
          <w:szCs w:val="32"/>
        </w:rPr>
        <w:t>万以上</w:t>
      </w:r>
      <w:r>
        <w:rPr>
          <w:rFonts w:hint="eastAsia" w:eastAsia="仿宋_GB2312"/>
          <w:sz w:val="32"/>
          <w:szCs w:val="32"/>
        </w:rPr>
        <w:t>通用</w:t>
      </w:r>
      <w:r>
        <w:rPr>
          <w:rFonts w:eastAsia="仿宋_GB2312"/>
          <w:sz w:val="32"/>
          <w:szCs w:val="32"/>
        </w:rPr>
        <w:t>设备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hint="eastAsia" w:eastAsia="仿宋_GB2312"/>
          <w:sz w:val="32"/>
          <w:szCs w:val="32"/>
        </w:rPr>
        <w:t>台，单位价值100万以上专用设备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hint="eastAsia" w:eastAsia="仿宋_GB2312"/>
          <w:sz w:val="32"/>
          <w:szCs w:val="32"/>
        </w:rPr>
        <w:t>台</w:t>
      </w:r>
      <w:r>
        <w:rPr>
          <w:rFonts w:eastAsia="仿宋_GB2312"/>
          <w:sz w:val="32"/>
          <w:szCs w:val="32"/>
        </w:rPr>
        <w:t>。</w:t>
      </w:r>
    </w:p>
    <w:p w14:paraId="3BC7493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（四）</w:t>
      </w:r>
      <w:r>
        <w:rPr>
          <w:rFonts w:hint="eastAsia" w:eastAsia="楷体_GB2312"/>
          <w:bCs/>
          <w:sz w:val="32"/>
          <w:szCs w:val="32"/>
        </w:rPr>
        <w:t>预算绩效目标说明</w:t>
      </w:r>
    </w:p>
    <w:p w14:paraId="0A8AF14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本部门</w:t>
      </w:r>
      <w:r>
        <w:rPr>
          <w:rFonts w:hint="eastAsia" w:eastAsia="仿宋_GB2312"/>
          <w:sz w:val="32"/>
          <w:szCs w:val="32"/>
        </w:rPr>
        <w:t>所有支出实行绩效目标管理。</w:t>
      </w:r>
      <w:r>
        <w:rPr>
          <w:rFonts w:eastAsia="仿宋_GB2312"/>
          <w:sz w:val="32"/>
          <w:szCs w:val="32"/>
        </w:rPr>
        <w:t>纳入</w:t>
      </w:r>
      <w:r>
        <w:rPr>
          <w:rFonts w:hint="eastAsia" w:eastAsia="仿宋_GB2312"/>
          <w:sz w:val="32"/>
          <w:szCs w:val="32"/>
        </w:rPr>
        <w:t>2025</w:t>
      </w:r>
      <w:r>
        <w:rPr>
          <w:rFonts w:eastAsia="仿宋_GB2312"/>
          <w:sz w:val="32"/>
          <w:szCs w:val="32"/>
        </w:rPr>
        <w:t>年部门整体支出绩效目标的金额为</w:t>
      </w:r>
      <w:r>
        <w:rPr>
          <w:rFonts w:hint="eastAsia" w:eastAsia="仿宋_GB2312"/>
          <w:sz w:val="32"/>
          <w:szCs w:val="32"/>
          <w:lang w:val="en-US" w:eastAsia="zh-CN"/>
        </w:rPr>
        <w:t>922.27</w:t>
      </w:r>
      <w:r>
        <w:rPr>
          <w:rFonts w:eastAsia="仿宋_GB2312"/>
          <w:sz w:val="32"/>
          <w:szCs w:val="32"/>
        </w:rPr>
        <w:t>万元，其中，基本支出</w:t>
      </w:r>
      <w:r>
        <w:rPr>
          <w:rFonts w:hint="eastAsia" w:eastAsia="仿宋_GB2312"/>
          <w:sz w:val="32"/>
          <w:szCs w:val="32"/>
          <w:lang w:val="en-US" w:eastAsia="zh-CN"/>
        </w:rPr>
        <w:t>870.27</w:t>
      </w:r>
      <w:r>
        <w:rPr>
          <w:rFonts w:eastAsia="仿宋_GB2312"/>
          <w:sz w:val="32"/>
          <w:szCs w:val="32"/>
        </w:rPr>
        <w:t>万元，项目支出</w:t>
      </w:r>
      <w:r>
        <w:rPr>
          <w:rFonts w:hint="eastAsia" w:eastAsia="仿宋_GB2312"/>
          <w:sz w:val="32"/>
          <w:szCs w:val="32"/>
          <w:lang w:val="en-US" w:eastAsia="zh-CN"/>
        </w:rPr>
        <w:t>52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</w:rPr>
        <w:t>，具体绩效目标详见报表</w:t>
      </w:r>
    </w:p>
    <w:p w14:paraId="6E02E99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（五）</w:t>
      </w:r>
      <w:r>
        <w:rPr>
          <w:rFonts w:hint="eastAsia" w:eastAsia="楷体_GB2312"/>
          <w:bCs/>
          <w:sz w:val="32"/>
          <w:szCs w:val="32"/>
        </w:rPr>
        <w:t>“三公”经费预算</w:t>
      </w:r>
    </w:p>
    <w:p w14:paraId="23A2B38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2025</w:t>
      </w:r>
      <w:r>
        <w:rPr>
          <w:rFonts w:hint="eastAsia" w:ascii="仿宋_GB2312" w:hAnsi="华文楷体" w:eastAsia="仿宋_GB2312"/>
          <w:sz w:val="32"/>
          <w:szCs w:val="32"/>
        </w:rPr>
        <w:t>年“三公”经费预算</w:t>
      </w:r>
      <w:r>
        <w:rPr>
          <w:rFonts w:hint="eastAsia" w:eastAsia="仿宋_GB2312"/>
          <w:sz w:val="32"/>
          <w:szCs w:val="32"/>
          <w:lang w:val="en-US" w:eastAsia="zh-CN"/>
        </w:rPr>
        <w:t>4.7</w:t>
      </w:r>
      <w:r>
        <w:rPr>
          <w:rFonts w:hint="eastAsia" w:ascii="仿宋_GB2312" w:hAnsi="华文楷体" w:eastAsia="仿宋_GB2312"/>
          <w:sz w:val="32"/>
          <w:szCs w:val="32"/>
        </w:rPr>
        <w:t>万元，其中：“因公出国（境）费”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华文楷体" w:eastAsia="仿宋_GB2312"/>
          <w:sz w:val="32"/>
          <w:szCs w:val="32"/>
        </w:rPr>
        <w:t>万元、“公务用车购置及运行费”</w:t>
      </w:r>
      <w:r>
        <w:rPr>
          <w:rFonts w:hint="eastAsia" w:eastAsia="仿宋_GB2312"/>
          <w:sz w:val="32"/>
          <w:szCs w:val="32"/>
          <w:lang w:val="en-US" w:eastAsia="zh-CN"/>
        </w:rPr>
        <w:t>3.5</w:t>
      </w:r>
      <w:r>
        <w:rPr>
          <w:rFonts w:hint="eastAsia" w:ascii="仿宋_GB2312" w:hAnsi="华文楷体" w:eastAsia="仿宋_GB2312"/>
          <w:sz w:val="32"/>
          <w:szCs w:val="32"/>
        </w:rPr>
        <w:t>万元（其中，公务用车购置费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华文楷体" w:eastAsia="仿宋_GB2312"/>
          <w:sz w:val="32"/>
          <w:szCs w:val="32"/>
        </w:rPr>
        <w:t>万元、公务用车运行费</w:t>
      </w:r>
      <w:r>
        <w:rPr>
          <w:rFonts w:hint="eastAsia" w:eastAsia="仿宋_GB2312"/>
          <w:sz w:val="32"/>
          <w:szCs w:val="32"/>
          <w:lang w:val="en-US" w:eastAsia="zh-CN"/>
        </w:rPr>
        <w:t>3.5</w:t>
      </w:r>
      <w:r>
        <w:rPr>
          <w:rFonts w:hint="eastAsia" w:ascii="仿宋_GB2312" w:hAnsi="华文楷体" w:eastAsia="仿宋_GB2312"/>
          <w:sz w:val="32"/>
          <w:szCs w:val="32"/>
        </w:rPr>
        <w:t>万元）、“公务接待费”</w:t>
      </w:r>
      <w:r>
        <w:rPr>
          <w:rFonts w:hint="eastAsia" w:eastAsia="仿宋_GB2312"/>
          <w:sz w:val="32"/>
          <w:szCs w:val="32"/>
          <w:lang w:val="en-US" w:eastAsia="zh-CN"/>
        </w:rPr>
        <w:t>1.2</w:t>
      </w:r>
      <w:r>
        <w:rPr>
          <w:rFonts w:hint="eastAsia" w:ascii="仿宋_GB2312" w:hAnsi="华文楷体" w:eastAsia="仿宋_GB2312"/>
          <w:sz w:val="32"/>
          <w:szCs w:val="32"/>
        </w:rPr>
        <w:t>万元。</w:t>
      </w:r>
      <w:r>
        <w:rPr>
          <w:rFonts w:hint="eastAsia" w:eastAsia="仿宋_GB2312"/>
          <w:sz w:val="32"/>
          <w:szCs w:val="32"/>
        </w:rPr>
        <w:t>2025</w:t>
      </w:r>
      <w:r>
        <w:rPr>
          <w:rFonts w:ascii="仿宋_GB2312" w:hAnsi="华文楷体" w:eastAsia="仿宋_GB2312"/>
          <w:sz w:val="32"/>
          <w:szCs w:val="32"/>
        </w:rPr>
        <w:t>年“三公”经费预算数比</w:t>
      </w:r>
      <w:r>
        <w:rPr>
          <w:rFonts w:hint="eastAsia" w:eastAsia="仿宋_GB2312"/>
          <w:sz w:val="32"/>
          <w:szCs w:val="32"/>
        </w:rPr>
        <w:t>2024</w:t>
      </w:r>
      <w:r>
        <w:rPr>
          <w:rFonts w:ascii="仿宋_GB2312" w:hAnsi="华文楷体" w:eastAsia="仿宋_GB2312"/>
          <w:sz w:val="32"/>
          <w:szCs w:val="32"/>
        </w:rPr>
        <w:t>年减少</w:t>
      </w:r>
      <w:r>
        <w:rPr>
          <w:rFonts w:hint="eastAsia" w:eastAsia="仿宋_GB2312"/>
          <w:sz w:val="32"/>
          <w:szCs w:val="32"/>
          <w:lang w:val="en-US" w:eastAsia="zh-CN"/>
        </w:rPr>
        <w:t>0.3</w:t>
      </w:r>
      <w:r>
        <w:rPr>
          <w:rFonts w:ascii="仿宋_GB2312" w:hAnsi="华文楷体" w:eastAsia="仿宋_GB2312"/>
          <w:sz w:val="32"/>
          <w:szCs w:val="32"/>
        </w:rPr>
        <w:t>万元，主要</w:t>
      </w:r>
      <w:r>
        <w:rPr>
          <w:rFonts w:hint="eastAsia" w:ascii="仿宋_GB2312" w:hAnsi="华文楷体" w:eastAsia="仿宋_GB2312"/>
          <w:sz w:val="32"/>
          <w:szCs w:val="32"/>
        </w:rPr>
        <w:t>原因：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华文楷体" w:eastAsia="仿宋_GB2312"/>
          <w:sz w:val="32"/>
          <w:szCs w:val="32"/>
        </w:rPr>
        <w:t>年公务接待费</w:t>
      </w:r>
      <w:r>
        <w:rPr>
          <w:rFonts w:hint="eastAsia" w:ascii="仿宋_GB2312" w:hAnsi="华文楷体" w:eastAsia="仿宋_GB2312"/>
          <w:sz w:val="32"/>
          <w:szCs w:val="32"/>
          <w:lang w:val="en-US" w:eastAsia="zh-CN"/>
        </w:rPr>
        <w:t>进</w:t>
      </w:r>
      <w:r>
        <w:rPr>
          <w:rFonts w:hint="eastAsia" w:ascii="仿宋_GB2312" w:hAnsi="华文楷体" w:eastAsia="仿宋_GB2312"/>
          <w:sz w:val="32"/>
          <w:szCs w:val="32"/>
        </w:rPr>
        <w:t>一步压减</w:t>
      </w:r>
      <w:r>
        <w:rPr>
          <w:rFonts w:ascii="仿宋_GB2312" w:hAnsi="华文楷体" w:eastAsia="仿宋_GB2312"/>
          <w:sz w:val="32"/>
          <w:szCs w:val="32"/>
        </w:rPr>
        <w:t>。</w:t>
      </w:r>
    </w:p>
    <w:p w14:paraId="7D3D21F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color w:val="auto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（六）</w:t>
      </w:r>
      <w:r>
        <w:rPr>
          <w:rFonts w:hint="eastAsia" w:eastAsia="楷体_GB2312"/>
          <w:bCs/>
          <w:sz w:val="32"/>
          <w:szCs w:val="32"/>
        </w:rPr>
        <w:t>一般性支出情况</w:t>
      </w:r>
    </w:p>
    <w:p w14:paraId="13306AAF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color w:val="auto"/>
          <w:sz w:val="32"/>
          <w:szCs w:val="32"/>
        </w:rPr>
        <w:t>2025</w:t>
      </w:r>
      <w:r>
        <w:rPr>
          <w:rFonts w:eastAsia="仿宋_GB2312"/>
          <w:color w:val="auto"/>
          <w:sz w:val="32"/>
          <w:szCs w:val="32"/>
        </w:rPr>
        <w:t>年预算安排会议费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</w:t>
      </w:r>
      <w:r>
        <w:rPr>
          <w:rFonts w:hint="eastAsia" w:eastAsia="仿宋_GB2312"/>
          <w:color w:val="auto"/>
          <w:sz w:val="32"/>
          <w:szCs w:val="32"/>
        </w:rPr>
        <w:t>；</w:t>
      </w:r>
      <w:r>
        <w:rPr>
          <w:rFonts w:eastAsia="仿宋_GB2312"/>
          <w:sz w:val="32"/>
          <w:szCs w:val="32"/>
        </w:rPr>
        <w:t>培训费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万元，主要包括</w:t>
      </w:r>
      <w:r>
        <w:rPr>
          <w:rFonts w:hint="eastAsia" w:eastAsia="仿宋_GB2312"/>
          <w:sz w:val="32"/>
          <w:szCs w:val="32"/>
          <w:lang w:val="en-US" w:eastAsia="zh-CN"/>
        </w:rPr>
        <w:t>（1）开展在职人员线上继续教育培训，参加人数36人，经费约1万元；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（2）</w:t>
      </w:r>
      <w:r>
        <w:rPr>
          <w:rFonts w:hint="eastAsia" w:eastAsia="仿宋_GB2312"/>
          <w:sz w:val="32"/>
          <w:szCs w:val="32"/>
        </w:rPr>
        <w:t>举办</w:t>
      </w:r>
      <w:r>
        <w:rPr>
          <w:rFonts w:hint="eastAsia" w:eastAsia="仿宋_GB2312"/>
          <w:sz w:val="32"/>
          <w:szCs w:val="32"/>
          <w:lang w:val="en-US" w:eastAsia="zh-CN"/>
        </w:rPr>
        <w:t>一次</w:t>
      </w:r>
      <w:r>
        <w:rPr>
          <w:rFonts w:hint="eastAsia" w:eastAsia="仿宋_GB2312"/>
          <w:sz w:val="32"/>
          <w:szCs w:val="32"/>
        </w:rPr>
        <w:t>全市动物疫病样品采集和检测能力培训班，参加人员约20人，时间3天，</w:t>
      </w:r>
      <w:r>
        <w:rPr>
          <w:rFonts w:hint="eastAsia" w:eastAsia="仿宋_GB2312"/>
          <w:sz w:val="32"/>
          <w:szCs w:val="32"/>
          <w:lang w:val="en-US" w:eastAsia="zh-CN"/>
        </w:rPr>
        <w:t>经费约2</w:t>
      </w:r>
      <w:r>
        <w:rPr>
          <w:rFonts w:hint="eastAsia"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  <w:lang w:eastAsia="zh-CN"/>
        </w:rPr>
        <w:t>；</w:t>
      </w:r>
      <w:r>
        <w:rPr>
          <w:rFonts w:hint="eastAsia" w:eastAsia="仿宋_GB2312"/>
          <w:sz w:val="32"/>
          <w:szCs w:val="32"/>
        </w:rPr>
        <w:t>2025年本单位未计划举办节庆、晚会、论坛、赛事活动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 w14:paraId="3CACADFD">
      <w:pPr>
        <w:numPr>
          <w:ilvl w:val="0"/>
          <w:numId w:val="2"/>
        </w:num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楷体_GB2312"/>
          <w:bCs/>
          <w:sz w:val="32"/>
          <w:szCs w:val="32"/>
          <w:highlight w:val="none"/>
        </w:rPr>
      </w:pPr>
      <w:r>
        <w:rPr>
          <w:rFonts w:hint="eastAsia" w:eastAsia="楷体_GB2312"/>
          <w:bCs/>
          <w:sz w:val="32"/>
          <w:szCs w:val="32"/>
          <w:highlight w:val="none"/>
        </w:rPr>
        <w:t>其他事项</w:t>
      </w:r>
    </w:p>
    <w:p w14:paraId="3E893B2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本单位2025年未安排政府性基金收支预算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、国有资本经营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收支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预算、财政专户管理资金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收支预算和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纳入专户管理的非税收入拨款预算。</w:t>
      </w:r>
    </w:p>
    <w:p w14:paraId="3803B8C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部门预算公开表格中以下表格为空表：</w:t>
      </w:r>
    </w:p>
    <w:p w14:paraId="7EAB1B7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15.政府性基金预算支出表</w:t>
      </w:r>
    </w:p>
    <w:p w14:paraId="538D312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16.政府性基金预算支出分类汇总表（按政府预算经济分类）</w:t>
      </w:r>
    </w:p>
    <w:p w14:paraId="2E7F935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17.政府性基金预算支出分类汇总表（按部门预算经济分类）</w:t>
      </w:r>
    </w:p>
    <w:p w14:paraId="2CC01B2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18.国有资本经营预算支出表</w:t>
      </w:r>
    </w:p>
    <w:p w14:paraId="738C624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楷体_GB2312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19.财政专户管理资金预算支出表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ab/>
      </w:r>
      <w:r>
        <w:rPr>
          <w:rFonts w:hint="eastAsia" w:eastAsia="楷体_GB2312"/>
          <w:bCs/>
          <w:sz w:val="32"/>
          <w:szCs w:val="32"/>
          <w:lang w:val="en-US" w:eastAsia="zh-CN"/>
        </w:rPr>
        <w:tab/>
      </w:r>
    </w:p>
    <w:p w14:paraId="4B04AF0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/>
          <w:bCs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八、名词解释</w:t>
      </w:r>
    </w:p>
    <w:p w14:paraId="554382FF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（一）</w:t>
      </w:r>
      <w:r>
        <w:rPr>
          <w:rFonts w:eastAsia="仿宋_GB2312"/>
          <w:b/>
          <w:sz w:val="32"/>
          <w:szCs w:val="32"/>
        </w:rPr>
        <w:t>一般公共预算:</w:t>
      </w:r>
      <w:r>
        <w:rPr>
          <w:rFonts w:eastAsia="仿宋_GB2312"/>
          <w:sz w:val="32"/>
          <w:szCs w:val="32"/>
        </w:rPr>
        <w:t xml:space="preserve"> 是对以税收为主体的财政收入，安排用于保障和改善民生、推动经济社会发展、维护国家安全、维持国家机构正常运转等方面的收支预算。一般公共预算收入即通常所指的“财政收入”，按照2015年1月1日起施行的新《预算法》，改称“一般公共预算收入”。全市一般公共预算收入由地方收入、上划中央收入、上划省级收入三部分构成。</w:t>
      </w:r>
    </w:p>
    <w:p w14:paraId="0EBEBBF6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（二）</w:t>
      </w:r>
      <w:r>
        <w:rPr>
          <w:rFonts w:eastAsia="仿宋_GB2312"/>
          <w:b/>
          <w:sz w:val="32"/>
          <w:szCs w:val="32"/>
        </w:rPr>
        <w:t>政府性基金预算:</w:t>
      </w:r>
      <w:r>
        <w:rPr>
          <w:rFonts w:eastAsia="仿宋_GB2312"/>
          <w:sz w:val="32"/>
          <w:szCs w:val="32"/>
        </w:rPr>
        <w:t xml:space="preserve"> 是对依照法律、行政法规的规定在一定期限内向特定对象征收、收取或者以其他方式筹集的资金，专项用于特定公共事业发展的收支预算。应当根据基金项目收入情况和实际支出需要，按基金项目编制，做到以收定支。</w:t>
      </w:r>
    </w:p>
    <w:p w14:paraId="4F5D9A41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（三）</w:t>
      </w:r>
      <w:r>
        <w:rPr>
          <w:rFonts w:eastAsia="仿宋_GB2312"/>
          <w:b/>
          <w:sz w:val="32"/>
          <w:szCs w:val="32"/>
        </w:rPr>
        <w:t xml:space="preserve">国有资本经营预算: </w:t>
      </w:r>
      <w:r>
        <w:rPr>
          <w:rFonts w:eastAsia="仿宋_GB2312"/>
          <w:sz w:val="32"/>
          <w:szCs w:val="32"/>
        </w:rPr>
        <w:t>是对国有资本收益作出支出安排的收支预算。应当按照收支平衡的原则编制，不列赤字，并安排资金调入一般公共预算。</w:t>
      </w:r>
    </w:p>
    <w:p w14:paraId="557AB477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（四）</w:t>
      </w:r>
      <w:r>
        <w:rPr>
          <w:rFonts w:eastAsia="仿宋_GB2312"/>
          <w:b/>
          <w:sz w:val="32"/>
          <w:szCs w:val="32"/>
        </w:rPr>
        <w:t>社会保险基金预算:</w:t>
      </w:r>
      <w:r>
        <w:rPr>
          <w:rFonts w:eastAsia="仿宋_GB2312"/>
          <w:sz w:val="32"/>
          <w:szCs w:val="32"/>
        </w:rPr>
        <w:t xml:space="preserve"> 是对社会保险缴款、一般公共预算安排和其他方式筹集的资金，专项用于社会保险的收支预算。应当按照统筹层次和社会保险项目分别编制，做到收支平衡。</w:t>
      </w:r>
    </w:p>
    <w:p w14:paraId="2062BD91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（五）</w:t>
      </w:r>
      <w:r>
        <w:rPr>
          <w:rFonts w:eastAsia="仿宋_GB2312"/>
          <w:b/>
          <w:sz w:val="32"/>
          <w:szCs w:val="32"/>
        </w:rPr>
        <w:t>“三公”经费：</w:t>
      </w:r>
      <w:r>
        <w:rPr>
          <w:rFonts w:eastAsia="仿宋_GB2312"/>
          <w:sz w:val="32"/>
          <w:szCs w:val="32"/>
        </w:rPr>
        <w:t>是指商品和服务支出中的因公出国（境）费用、公务用车购置及运行维护费和公务接待费。</w:t>
      </w:r>
      <w:r>
        <w:rPr>
          <w:rFonts w:eastAsia="仿宋_GB2312"/>
          <w:sz w:val="32"/>
          <w:szCs w:val="32"/>
        </w:rPr>
        <w:br w:type="textWrapping"/>
      </w:r>
      <w:r>
        <w:rPr>
          <w:rFonts w:hint="eastAsia" w:eastAsia="仿宋_GB2312"/>
          <w:b/>
          <w:sz w:val="32"/>
          <w:szCs w:val="32"/>
        </w:rPr>
        <w:t xml:space="preserve">    （六）</w:t>
      </w:r>
      <w:r>
        <w:rPr>
          <w:rFonts w:eastAsia="仿宋_GB2312"/>
          <w:b/>
          <w:sz w:val="32"/>
          <w:szCs w:val="32"/>
        </w:rPr>
        <w:t>机关运行经费：</w:t>
      </w:r>
      <w:r>
        <w:rPr>
          <w:rFonts w:eastAsia="仿宋_GB2312"/>
          <w:sz w:val="32"/>
          <w:szCs w:val="32"/>
        </w:rPr>
        <w:t>机关运行经费指为保障行政单位（包括参照公务员法管理的事业单位）运行，用于购买货物和服务的各项资金。包括办公及印刷费、邮电费、差旅费、会议费、福利费、日常维修费、专用材料费及一般设备购置费、办公用房水电费、公务用车运行维护费及其他费用。</w:t>
      </w:r>
    </w:p>
    <w:p w14:paraId="4FC5E70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531" w:bottom="1985" w:left="1531" w:header="851" w:footer="1588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altName w:val="黑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287" w:usb1="080F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37E5AA">
    <w:pPr>
      <w:pStyle w:val="8"/>
      <w:framePr w:wrap="around" w:vAnchor="text" w:hAnchor="margin" w:xAlign="outside" w:y="1"/>
      <w:rPr>
        <w:rStyle w:val="13"/>
        <w:rFonts w:hint="eastAsia" w:ascii="宋体"/>
        <w:sz w:val="28"/>
        <w:szCs w:val="28"/>
      </w:rPr>
    </w:pPr>
    <w:r>
      <w:rPr>
        <w:rStyle w:val="13"/>
        <w:rFonts w:hint="eastAsia" w:ascii="宋体"/>
        <w:color w:val="FFFFFF"/>
        <w:sz w:val="28"/>
        <w:szCs w:val="28"/>
      </w:rPr>
      <w:t>—</w:t>
    </w:r>
    <w:r>
      <w:rPr>
        <w:rStyle w:val="13"/>
        <w:rFonts w:hint="eastAsia" w:ascii="宋体"/>
        <w:sz w:val="28"/>
        <w:szCs w:val="28"/>
      </w:rPr>
      <w:t xml:space="preserve">— </w:t>
    </w:r>
    <w:r>
      <w:rPr>
        <w:rFonts w:hint="eastAsia" w:ascii="宋体"/>
        <w:sz w:val="28"/>
        <w:szCs w:val="28"/>
      </w:rPr>
      <w:fldChar w:fldCharType="begin"/>
    </w:r>
    <w:r>
      <w:rPr>
        <w:rStyle w:val="13"/>
        <w:rFonts w:hint="eastAsia" w:ascii="宋体"/>
        <w:sz w:val="28"/>
        <w:szCs w:val="28"/>
      </w:rPr>
      <w:instrText xml:space="preserve">PAGE  </w:instrText>
    </w:r>
    <w:r>
      <w:rPr>
        <w:rFonts w:hint="eastAsia" w:ascii="宋体"/>
        <w:sz w:val="28"/>
        <w:szCs w:val="28"/>
      </w:rPr>
      <w:fldChar w:fldCharType="separate"/>
    </w:r>
    <w:r>
      <w:rPr>
        <w:rStyle w:val="13"/>
        <w:rFonts w:ascii="宋体"/>
        <w:sz w:val="28"/>
        <w:szCs w:val="28"/>
        <w:lang/>
      </w:rPr>
      <w:t>8</w:t>
    </w:r>
    <w:r>
      <w:rPr>
        <w:rFonts w:hint="eastAsia" w:ascii="宋体"/>
        <w:sz w:val="28"/>
        <w:szCs w:val="28"/>
      </w:rPr>
      <w:fldChar w:fldCharType="end"/>
    </w:r>
    <w:r>
      <w:rPr>
        <w:rStyle w:val="13"/>
        <w:rFonts w:hint="eastAsia" w:ascii="宋体"/>
        <w:sz w:val="28"/>
        <w:szCs w:val="28"/>
      </w:rPr>
      <w:t xml:space="preserve"> —</w:t>
    </w:r>
    <w:r>
      <w:rPr>
        <w:rStyle w:val="13"/>
        <w:rFonts w:hint="eastAsia" w:ascii="宋体"/>
        <w:color w:val="FFFFFF"/>
        <w:sz w:val="28"/>
        <w:szCs w:val="28"/>
      </w:rPr>
      <w:t>—</w:t>
    </w:r>
  </w:p>
  <w:p w14:paraId="3E50D920">
    <w:pPr>
      <w:pStyle w:val="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DE9C48">
    <w:pPr>
      <w:pStyle w:val="8"/>
      <w:framePr w:wrap="around" w:vAnchor="text" w:hAnchor="margin" w:xAlign="outside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 xml:space="preserve"> </w:t>
    </w:r>
    <w:r>
      <w:fldChar w:fldCharType="end"/>
    </w:r>
  </w:p>
  <w:p w14:paraId="40192512">
    <w:pPr>
      <w:pStyle w:val="8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FE08EA"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9387F8"/>
    <w:multiLevelType w:val="singleLevel"/>
    <w:tmpl w:val="609387F8"/>
    <w:lvl w:ilvl="0" w:tentative="0">
      <w:start w:val="6"/>
      <w:numFmt w:val="chineseCounting"/>
      <w:suff w:val="nothing"/>
      <w:lvlText w:val="%1、"/>
      <w:lvlJc w:val="left"/>
    </w:lvl>
  </w:abstractNum>
  <w:abstractNum w:abstractNumId="1">
    <w:nsid w:val="671758C7"/>
    <w:multiLevelType w:val="singleLevel"/>
    <w:tmpl w:val="671758C7"/>
    <w:lvl w:ilvl="0" w:tentative="0">
      <w:start w:val="7"/>
      <w:numFmt w:val="chineseCounting"/>
      <w:suff w:val="nothing"/>
      <w:lvlText w:val="(%1)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597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B1B"/>
    <w:rsid w:val="0000195D"/>
    <w:rsid w:val="00010812"/>
    <w:rsid w:val="00027587"/>
    <w:rsid w:val="00030000"/>
    <w:rsid w:val="00031DF4"/>
    <w:rsid w:val="00037F1B"/>
    <w:rsid w:val="0004493F"/>
    <w:rsid w:val="000457A7"/>
    <w:rsid w:val="00066A5A"/>
    <w:rsid w:val="00076A38"/>
    <w:rsid w:val="000A792F"/>
    <w:rsid w:val="000C6820"/>
    <w:rsid w:val="000D06F4"/>
    <w:rsid w:val="000D45A1"/>
    <w:rsid w:val="000F5AB3"/>
    <w:rsid w:val="00113607"/>
    <w:rsid w:val="001457D5"/>
    <w:rsid w:val="001772EC"/>
    <w:rsid w:val="001A089A"/>
    <w:rsid w:val="001D3B4D"/>
    <w:rsid w:val="001F5ACF"/>
    <w:rsid w:val="00206F1B"/>
    <w:rsid w:val="0022719A"/>
    <w:rsid w:val="00231C79"/>
    <w:rsid w:val="002370E4"/>
    <w:rsid w:val="002466AF"/>
    <w:rsid w:val="002526B6"/>
    <w:rsid w:val="00260D91"/>
    <w:rsid w:val="002631BF"/>
    <w:rsid w:val="00265785"/>
    <w:rsid w:val="002714D1"/>
    <w:rsid w:val="002A26A6"/>
    <w:rsid w:val="002D3CE8"/>
    <w:rsid w:val="002E427F"/>
    <w:rsid w:val="002E7C3F"/>
    <w:rsid w:val="002F7AA3"/>
    <w:rsid w:val="003146F3"/>
    <w:rsid w:val="003212F1"/>
    <w:rsid w:val="003501B5"/>
    <w:rsid w:val="003504E8"/>
    <w:rsid w:val="00363614"/>
    <w:rsid w:val="00373BE7"/>
    <w:rsid w:val="003A1BB9"/>
    <w:rsid w:val="003C2973"/>
    <w:rsid w:val="00401FB6"/>
    <w:rsid w:val="00430A9C"/>
    <w:rsid w:val="00433ED6"/>
    <w:rsid w:val="00435B70"/>
    <w:rsid w:val="00445518"/>
    <w:rsid w:val="00445F8F"/>
    <w:rsid w:val="0045726B"/>
    <w:rsid w:val="00463F55"/>
    <w:rsid w:val="004670F6"/>
    <w:rsid w:val="00474F5A"/>
    <w:rsid w:val="00492977"/>
    <w:rsid w:val="004A19BD"/>
    <w:rsid w:val="004D786C"/>
    <w:rsid w:val="00500044"/>
    <w:rsid w:val="005010F2"/>
    <w:rsid w:val="005039CF"/>
    <w:rsid w:val="00503F68"/>
    <w:rsid w:val="005132D3"/>
    <w:rsid w:val="00534CE8"/>
    <w:rsid w:val="005534D4"/>
    <w:rsid w:val="005618F5"/>
    <w:rsid w:val="005642F6"/>
    <w:rsid w:val="00567389"/>
    <w:rsid w:val="00570537"/>
    <w:rsid w:val="005E5CA5"/>
    <w:rsid w:val="005F5B22"/>
    <w:rsid w:val="00607E1C"/>
    <w:rsid w:val="006169B1"/>
    <w:rsid w:val="006403BA"/>
    <w:rsid w:val="00644971"/>
    <w:rsid w:val="006C039F"/>
    <w:rsid w:val="006E40CD"/>
    <w:rsid w:val="006E6B10"/>
    <w:rsid w:val="006F4B30"/>
    <w:rsid w:val="00705275"/>
    <w:rsid w:val="00720A77"/>
    <w:rsid w:val="00724ADC"/>
    <w:rsid w:val="007257DA"/>
    <w:rsid w:val="00732E06"/>
    <w:rsid w:val="00750484"/>
    <w:rsid w:val="007A25E3"/>
    <w:rsid w:val="007B763B"/>
    <w:rsid w:val="007C73B3"/>
    <w:rsid w:val="007E091F"/>
    <w:rsid w:val="007E1371"/>
    <w:rsid w:val="007E32B0"/>
    <w:rsid w:val="007F1129"/>
    <w:rsid w:val="008655D2"/>
    <w:rsid w:val="008B57F4"/>
    <w:rsid w:val="008C209B"/>
    <w:rsid w:val="008E5844"/>
    <w:rsid w:val="008F6F39"/>
    <w:rsid w:val="0090015B"/>
    <w:rsid w:val="00921151"/>
    <w:rsid w:val="00964BEA"/>
    <w:rsid w:val="0097589D"/>
    <w:rsid w:val="009B79D0"/>
    <w:rsid w:val="009E3034"/>
    <w:rsid w:val="009E3264"/>
    <w:rsid w:val="009F6947"/>
    <w:rsid w:val="00A01ED1"/>
    <w:rsid w:val="00A2018C"/>
    <w:rsid w:val="00A31AFB"/>
    <w:rsid w:val="00A60651"/>
    <w:rsid w:val="00AA17FE"/>
    <w:rsid w:val="00AE4D18"/>
    <w:rsid w:val="00AE7532"/>
    <w:rsid w:val="00AF5641"/>
    <w:rsid w:val="00AF7DA3"/>
    <w:rsid w:val="00B10628"/>
    <w:rsid w:val="00B23E06"/>
    <w:rsid w:val="00B36429"/>
    <w:rsid w:val="00B52BE1"/>
    <w:rsid w:val="00B8481D"/>
    <w:rsid w:val="00BB5CCB"/>
    <w:rsid w:val="00BB788B"/>
    <w:rsid w:val="00BC1507"/>
    <w:rsid w:val="00BE3036"/>
    <w:rsid w:val="00C123F1"/>
    <w:rsid w:val="00C16E6F"/>
    <w:rsid w:val="00C351AF"/>
    <w:rsid w:val="00C759D0"/>
    <w:rsid w:val="00C810D3"/>
    <w:rsid w:val="00CA61A9"/>
    <w:rsid w:val="00CE7D68"/>
    <w:rsid w:val="00CF238D"/>
    <w:rsid w:val="00D06D76"/>
    <w:rsid w:val="00D11D99"/>
    <w:rsid w:val="00D2296D"/>
    <w:rsid w:val="00D22A06"/>
    <w:rsid w:val="00D53B9D"/>
    <w:rsid w:val="00D72B4C"/>
    <w:rsid w:val="00DA3F1E"/>
    <w:rsid w:val="00DA73AF"/>
    <w:rsid w:val="00DC3353"/>
    <w:rsid w:val="00DC3EE3"/>
    <w:rsid w:val="00DD6E0C"/>
    <w:rsid w:val="00E15E55"/>
    <w:rsid w:val="00E471F8"/>
    <w:rsid w:val="00E526F2"/>
    <w:rsid w:val="00E56809"/>
    <w:rsid w:val="00E57C2B"/>
    <w:rsid w:val="00E62B3D"/>
    <w:rsid w:val="00E70DF0"/>
    <w:rsid w:val="00E85D67"/>
    <w:rsid w:val="00EA3738"/>
    <w:rsid w:val="00EA4C52"/>
    <w:rsid w:val="00EC7158"/>
    <w:rsid w:val="00ED1218"/>
    <w:rsid w:val="00EE1656"/>
    <w:rsid w:val="00EF3194"/>
    <w:rsid w:val="00F01831"/>
    <w:rsid w:val="00F829D4"/>
    <w:rsid w:val="00F9083D"/>
    <w:rsid w:val="00F96C49"/>
    <w:rsid w:val="00FA3895"/>
    <w:rsid w:val="00FB5286"/>
    <w:rsid w:val="00FB7A2D"/>
    <w:rsid w:val="01046419"/>
    <w:rsid w:val="020D6941"/>
    <w:rsid w:val="13947AD3"/>
    <w:rsid w:val="158A2658"/>
    <w:rsid w:val="16B14386"/>
    <w:rsid w:val="1871248E"/>
    <w:rsid w:val="1AFD5B77"/>
    <w:rsid w:val="1C1C77F0"/>
    <w:rsid w:val="1D35335A"/>
    <w:rsid w:val="1D7F02EE"/>
    <w:rsid w:val="1D8F3C53"/>
    <w:rsid w:val="1E5932A8"/>
    <w:rsid w:val="2165505F"/>
    <w:rsid w:val="24227894"/>
    <w:rsid w:val="2B7537E8"/>
    <w:rsid w:val="2BA030C2"/>
    <w:rsid w:val="2BD433D6"/>
    <w:rsid w:val="2C1F17A8"/>
    <w:rsid w:val="2CDB3928"/>
    <w:rsid w:val="32A9256B"/>
    <w:rsid w:val="32AE6AA0"/>
    <w:rsid w:val="3330097C"/>
    <w:rsid w:val="36952654"/>
    <w:rsid w:val="36BB1984"/>
    <w:rsid w:val="37DA1C37"/>
    <w:rsid w:val="39E529B5"/>
    <w:rsid w:val="3A5510BC"/>
    <w:rsid w:val="3A55415D"/>
    <w:rsid w:val="3A5B093A"/>
    <w:rsid w:val="3BB2617C"/>
    <w:rsid w:val="3CF864FD"/>
    <w:rsid w:val="3D823F0E"/>
    <w:rsid w:val="3E1C4D32"/>
    <w:rsid w:val="40426D63"/>
    <w:rsid w:val="4060496F"/>
    <w:rsid w:val="42C4798B"/>
    <w:rsid w:val="4496707C"/>
    <w:rsid w:val="47FA2669"/>
    <w:rsid w:val="4A826893"/>
    <w:rsid w:val="4BAD15EE"/>
    <w:rsid w:val="4C1F1C7B"/>
    <w:rsid w:val="4CF55F1E"/>
    <w:rsid w:val="4D044353"/>
    <w:rsid w:val="4DA2133F"/>
    <w:rsid w:val="4E3F2145"/>
    <w:rsid w:val="4ED2128A"/>
    <w:rsid w:val="51593E0B"/>
    <w:rsid w:val="519B63B5"/>
    <w:rsid w:val="541A704A"/>
    <w:rsid w:val="54846CD3"/>
    <w:rsid w:val="58A30448"/>
    <w:rsid w:val="58F2629D"/>
    <w:rsid w:val="5C3F77E0"/>
    <w:rsid w:val="5C4200CE"/>
    <w:rsid w:val="5C79326A"/>
    <w:rsid w:val="5DFB707D"/>
    <w:rsid w:val="5FF57A8D"/>
    <w:rsid w:val="60871B15"/>
    <w:rsid w:val="60DD18E7"/>
    <w:rsid w:val="612A51A9"/>
    <w:rsid w:val="645E744B"/>
    <w:rsid w:val="67C577E1"/>
    <w:rsid w:val="680E1037"/>
    <w:rsid w:val="691F2659"/>
    <w:rsid w:val="6A2153AF"/>
    <w:rsid w:val="6AF66E49"/>
    <w:rsid w:val="6DE273CB"/>
    <w:rsid w:val="72481BB1"/>
    <w:rsid w:val="744F0E1F"/>
    <w:rsid w:val="74824FCD"/>
    <w:rsid w:val="7627167B"/>
    <w:rsid w:val="76E316D1"/>
    <w:rsid w:val="77F4611A"/>
    <w:rsid w:val="791752BB"/>
    <w:rsid w:val="7A033ECC"/>
    <w:rsid w:val="7BD80ACC"/>
    <w:rsid w:val="7C4C19A1"/>
    <w:rsid w:val="7E69341C"/>
    <w:rsid w:val="7E9755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uiPriority w:val="0"/>
  </w:style>
  <w:style w:type="table" w:default="1" w:styleId="11">
    <w:name w:val="Normal Table"/>
    <w:semiHidden/>
    <w:uiPriority w:val="0"/>
    <w:tblPr>
      <w:tblStyle w:val="11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Calibri" w:hAnsi="Calibri"/>
      <w:szCs w:val="20"/>
    </w:rPr>
  </w:style>
  <w:style w:type="paragraph" w:styleId="3">
    <w:name w:val="Body Text"/>
    <w:basedOn w:val="1"/>
    <w:uiPriority w:val="0"/>
    <w:pPr>
      <w:spacing w:line="400" w:lineRule="atLeast"/>
    </w:pPr>
    <w:rPr>
      <w:rFonts w:ascii="楷体_GB2312" w:eastAsia="楷体_GB2312"/>
      <w:sz w:val="32"/>
    </w:rPr>
  </w:style>
  <w:style w:type="paragraph" w:styleId="4">
    <w:name w:val="Body Text Indent"/>
    <w:basedOn w:val="1"/>
    <w:uiPriority w:val="0"/>
    <w:pPr>
      <w:spacing w:line="360" w:lineRule="auto"/>
      <w:ind w:firstLine="200" w:firstLineChars="200"/>
    </w:pPr>
    <w:rPr>
      <w:rFonts w:ascii="方正仿宋_GBK" w:eastAsia="方正仿宋_GBK"/>
      <w:sz w:val="30"/>
    </w:rPr>
  </w:style>
  <w:style w:type="paragraph" w:styleId="5">
    <w:name w:val="Plain Text"/>
    <w:basedOn w:val="1"/>
    <w:uiPriority w:val="0"/>
    <w:rPr>
      <w:rFonts w:ascii="宋体" w:hAnsi="Courier New"/>
    </w:rPr>
  </w:style>
  <w:style w:type="paragraph" w:styleId="6">
    <w:name w:val="Date"/>
    <w:basedOn w:val="1"/>
    <w:next w:val="1"/>
    <w:link w:val="14"/>
    <w:uiPriority w:val="0"/>
    <w:pPr>
      <w:ind w:left="100" w:leftChars="2500"/>
    </w:pPr>
  </w:style>
  <w:style w:type="paragraph" w:styleId="7">
    <w:name w:val="Balloon Text"/>
    <w:basedOn w:val="1"/>
    <w:uiPriority w:val="0"/>
    <w:rPr>
      <w:sz w:val="18"/>
      <w:szCs w:val="18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/>
      <w:color w:val="000000"/>
      <w:kern w:val="0"/>
      <w:sz w:val="24"/>
    </w:rPr>
  </w:style>
  <w:style w:type="character" w:styleId="13">
    <w:name w:val="page number"/>
    <w:basedOn w:val="12"/>
    <w:uiPriority w:val="0"/>
  </w:style>
  <w:style w:type="character" w:customStyle="1" w:styleId="14">
    <w:name w:val="日期 字符"/>
    <w:link w:val="6"/>
    <w:uiPriority w:val="0"/>
    <w:rPr>
      <w:rFonts w:eastAsia="宋体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</Company>
  <Pages>9</Pages>
  <Words>2836</Words>
  <Characters>3039</Characters>
  <Lines>20</Lines>
  <Paragraphs>5</Paragraphs>
  <TotalTime>11</TotalTime>
  <ScaleCrop>false</ScaleCrop>
  <LinksUpToDate>false</LinksUpToDate>
  <CharactersWithSpaces>3064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2021-05-06T09:40:00Z</dcterms:created>
  <dc:creator>lzlyc</dc:creator>
  <cp:lastModifiedBy>有</cp:lastModifiedBy>
  <cp:lastPrinted>2024-02-04T09:36:00Z</cp:lastPrinted>
  <dcterms:modified xsi:type="dcterms:W3CDTF">2025-01-23T00:51:29Z</dcterms:modified>
  <dc:title>此件拟比照国务院办公厅发文由省政府办公厅转发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eyJoZGlkIjoiMmE0MDNhMzAwZTQyYjFkYmM5NzUwYWQwNjU1MGE2MTEiLCJ1c2VySWQiOiIzMjUwMzkzMjIifQ==</vt:lpwstr>
  </property>
  <property fmtid="{D5CDD505-2E9C-101B-9397-08002B2CF9AE}" pid="4" name="ICV">
    <vt:lpwstr>706038685E7C45B795F3D8E2E51DE3B9_13</vt:lpwstr>
  </property>
</Properties>
</file>