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6A9F">
      <w:pPr>
        <w:pStyle w:val="10"/>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bookmarkStart w:id="0" w:name="_GoBack"/>
      <w:bookmarkEnd w:id="0"/>
      <w:r>
        <w:rPr>
          <w:rFonts w:hint="eastAsia" w:ascii="方正小标宋_GBK" w:hAnsi="方正小标宋_GBK" w:eastAsia="方正小标宋_GBK" w:cs="方正小标宋_GBK"/>
          <w:kern w:val="2"/>
          <w:sz w:val="44"/>
          <w:szCs w:val="44"/>
          <w:lang w:val="en-US" w:eastAsia="zh-CN" w:bidi="ar-SA"/>
        </w:rPr>
        <w:t>株洲市中药材产业全链条升级重点县（市、区）项目申报认定评价细则</w:t>
      </w:r>
    </w:p>
    <w:p w14:paraId="7DFFAF00">
      <w:pPr>
        <w:pStyle w:val="10"/>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tbl>
      <w:tblPr>
        <w:tblStyle w:val="8"/>
        <w:tblW w:w="14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01"/>
        <w:gridCol w:w="4692"/>
        <w:gridCol w:w="4994"/>
        <w:gridCol w:w="2134"/>
      </w:tblGrid>
      <w:tr w14:paraId="28B8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861" w:type="dxa"/>
            <w:noWrap w:val="0"/>
            <w:vAlign w:val="center"/>
          </w:tcPr>
          <w:p w14:paraId="5125331D">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kern w:val="2"/>
                <w:sz w:val="30"/>
                <w:szCs w:val="30"/>
                <w:vertAlign w:val="baseline"/>
                <w:lang w:val="en-US" w:eastAsia="zh-CN" w:bidi="ar-SA"/>
              </w:rPr>
              <w:t>序号</w:t>
            </w:r>
          </w:p>
        </w:tc>
        <w:tc>
          <w:tcPr>
            <w:tcW w:w="1601" w:type="dxa"/>
            <w:noWrap w:val="0"/>
            <w:vAlign w:val="center"/>
          </w:tcPr>
          <w:p w14:paraId="31CDC6F0">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kern w:val="2"/>
                <w:sz w:val="30"/>
                <w:szCs w:val="30"/>
                <w:vertAlign w:val="baseline"/>
                <w:lang w:val="en-US" w:eastAsia="zh-CN" w:bidi="ar-SA"/>
              </w:rPr>
              <w:t>指标内容</w:t>
            </w:r>
          </w:p>
        </w:tc>
        <w:tc>
          <w:tcPr>
            <w:tcW w:w="4692" w:type="dxa"/>
            <w:noWrap w:val="0"/>
            <w:vAlign w:val="center"/>
          </w:tcPr>
          <w:p w14:paraId="48CCAF48">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黑体" w:hAnsi="黑体" w:eastAsia="黑体" w:cs="黑体"/>
                <w:color w:val="000000"/>
                <w:kern w:val="2"/>
                <w:sz w:val="30"/>
                <w:szCs w:val="30"/>
                <w:vertAlign w:val="baseline"/>
                <w:lang w:val="en-US" w:eastAsia="zh-CN" w:bidi="ar-SA"/>
              </w:rPr>
            </w:pPr>
            <w:r>
              <w:rPr>
                <w:rFonts w:hint="eastAsia" w:ascii="黑体" w:hAnsi="黑体" w:eastAsia="黑体" w:cs="黑体"/>
                <w:kern w:val="2"/>
                <w:sz w:val="30"/>
                <w:szCs w:val="30"/>
                <w:vertAlign w:val="baseline"/>
                <w:lang w:val="en-US" w:eastAsia="zh-CN" w:bidi="ar-SA"/>
              </w:rPr>
              <w:t>指标评价细则</w:t>
            </w:r>
          </w:p>
        </w:tc>
        <w:tc>
          <w:tcPr>
            <w:tcW w:w="4994" w:type="dxa"/>
            <w:noWrap w:val="0"/>
            <w:vAlign w:val="center"/>
          </w:tcPr>
          <w:p w14:paraId="441C19BA">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黑体" w:hAnsi="黑体" w:eastAsia="黑体" w:cs="黑体"/>
                <w:kern w:val="2"/>
                <w:sz w:val="30"/>
                <w:szCs w:val="30"/>
                <w:vertAlign w:val="baseline"/>
                <w:lang w:val="en-US" w:eastAsia="zh-CN" w:bidi="ar-SA"/>
              </w:rPr>
            </w:pPr>
            <w:r>
              <w:rPr>
                <w:rFonts w:hint="eastAsia" w:ascii="黑体" w:hAnsi="黑体" w:eastAsia="黑体" w:cs="黑体"/>
                <w:kern w:val="2"/>
                <w:sz w:val="30"/>
                <w:szCs w:val="30"/>
                <w:vertAlign w:val="baseline"/>
                <w:lang w:val="en-US" w:eastAsia="zh-CN" w:bidi="ar-SA"/>
              </w:rPr>
              <w:t>计分标准</w:t>
            </w:r>
          </w:p>
        </w:tc>
        <w:tc>
          <w:tcPr>
            <w:tcW w:w="2134" w:type="dxa"/>
            <w:noWrap w:val="0"/>
            <w:vAlign w:val="center"/>
          </w:tcPr>
          <w:p w14:paraId="3A528FE7">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黑体" w:hAnsi="黑体" w:eastAsia="黑体" w:cs="黑体"/>
                <w:kern w:val="2"/>
                <w:sz w:val="30"/>
                <w:szCs w:val="30"/>
                <w:vertAlign w:val="baseline"/>
                <w:lang w:val="en-US" w:eastAsia="zh-CN" w:bidi="ar-SA"/>
              </w:rPr>
            </w:pPr>
            <w:r>
              <w:rPr>
                <w:rFonts w:hint="eastAsia" w:ascii="黑体" w:hAnsi="黑体" w:eastAsia="黑体" w:cs="黑体"/>
                <w:kern w:val="2"/>
                <w:sz w:val="30"/>
                <w:szCs w:val="30"/>
                <w:vertAlign w:val="baseline"/>
                <w:lang w:val="en-US" w:eastAsia="zh-CN" w:bidi="ar-SA"/>
              </w:rPr>
              <w:t>备注</w:t>
            </w:r>
          </w:p>
        </w:tc>
      </w:tr>
      <w:tr w14:paraId="5E91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61" w:type="dxa"/>
            <w:vMerge w:val="restart"/>
            <w:noWrap w:val="0"/>
            <w:vAlign w:val="center"/>
          </w:tcPr>
          <w:p w14:paraId="2A6BF1F0">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w:t>
            </w:r>
          </w:p>
        </w:tc>
        <w:tc>
          <w:tcPr>
            <w:tcW w:w="1601" w:type="dxa"/>
            <w:vMerge w:val="restart"/>
            <w:noWrap w:val="0"/>
            <w:vAlign w:val="center"/>
          </w:tcPr>
          <w:p w14:paraId="662A75D7">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高度重视</w:t>
            </w:r>
          </w:p>
          <w:p w14:paraId="6CEC04D8">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（20分）</w:t>
            </w:r>
          </w:p>
        </w:tc>
        <w:tc>
          <w:tcPr>
            <w:tcW w:w="4692" w:type="dxa"/>
            <w:noWrap w:val="0"/>
            <w:vAlign w:val="center"/>
          </w:tcPr>
          <w:p w14:paraId="7458F123">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color w:val="000000"/>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1.县级政府建立相应工作机制，成立领导小组，明确单位具体实施，有专班抓落实（4分）。</w:t>
            </w:r>
          </w:p>
        </w:tc>
        <w:tc>
          <w:tcPr>
            <w:tcW w:w="4994" w:type="dxa"/>
            <w:noWrap w:val="0"/>
            <w:vAlign w:val="center"/>
          </w:tcPr>
          <w:p w14:paraId="5CC63F6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每项工作达到目标计1分，未完成，不计分。</w:t>
            </w:r>
          </w:p>
        </w:tc>
        <w:tc>
          <w:tcPr>
            <w:tcW w:w="2134" w:type="dxa"/>
            <w:noWrap w:val="0"/>
            <w:vAlign w:val="center"/>
          </w:tcPr>
          <w:p w14:paraId="5482850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1078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61" w:type="dxa"/>
            <w:vMerge w:val="continue"/>
            <w:noWrap w:val="0"/>
            <w:vAlign w:val="center"/>
          </w:tcPr>
          <w:p w14:paraId="1DEDE131">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1601" w:type="dxa"/>
            <w:vMerge w:val="continue"/>
            <w:noWrap w:val="0"/>
            <w:vAlign w:val="center"/>
          </w:tcPr>
          <w:p w14:paraId="11914AC3">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4692" w:type="dxa"/>
            <w:noWrap w:val="0"/>
            <w:vAlign w:val="center"/>
          </w:tcPr>
          <w:p w14:paraId="1D38D33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2.以行业主管部门或县（市、区）委、政府名义制定中药材产业发展中长期规划或实施意见等指导性文件，且思路清晰、目标明确、措施可行、支持力度大（4分）。</w:t>
            </w:r>
          </w:p>
        </w:tc>
        <w:tc>
          <w:tcPr>
            <w:tcW w:w="4994" w:type="dxa"/>
            <w:noWrap w:val="0"/>
            <w:vAlign w:val="center"/>
          </w:tcPr>
          <w:p w14:paraId="061ED9E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已制定相关规划计4分，未制定，不计分。</w:t>
            </w:r>
          </w:p>
        </w:tc>
        <w:tc>
          <w:tcPr>
            <w:tcW w:w="2134" w:type="dxa"/>
            <w:noWrap w:val="0"/>
            <w:vAlign w:val="center"/>
          </w:tcPr>
          <w:p w14:paraId="753720B1">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172A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61" w:type="dxa"/>
            <w:vMerge w:val="continue"/>
            <w:noWrap w:val="0"/>
            <w:vAlign w:val="center"/>
          </w:tcPr>
          <w:p w14:paraId="7DB45963">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c>
          <w:tcPr>
            <w:tcW w:w="1601" w:type="dxa"/>
            <w:vMerge w:val="continue"/>
            <w:noWrap w:val="0"/>
            <w:vAlign w:val="center"/>
          </w:tcPr>
          <w:p w14:paraId="4FA938C2">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c>
          <w:tcPr>
            <w:tcW w:w="4692" w:type="dxa"/>
            <w:noWrap w:val="0"/>
            <w:vAlign w:val="center"/>
          </w:tcPr>
          <w:p w14:paraId="3ACCC38E">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3.安排或整合资金、出台倾斜政策用于支持中药材产业发展（6分）</w:t>
            </w:r>
          </w:p>
        </w:tc>
        <w:tc>
          <w:tcPr>
            <w:tcW w:w="4994" w:type="dxa"/>
            <w:noWrap w:val="0"/>
            <w:vAlign w:val="center"/>
          </w:tcPr>
          <w:p w14:paraId="5D40185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安排或整合资金用于中药材产业计3分，未安排或未整合不计分；出台倾斜政策计3分，未出台不计分。</w:t>
            </w:r>
          </w:p>
        </w:tc>
        <w:tc>
          <w:tcPr>
            <w:tcW w:w="2134" w:type="dxa"/>
            <w:noWrap w:val="0"/>
            <w:vAlign w:val="center"/>
          </w:tcPr>
          <w:p w14:paraId="2BF216F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1375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61" w:type="dxa"/>
            <w:vMerge w:val="continue"/>
            <w:noWrap w:val="0"/>
            <w:vAlign w:val="center"/>
          </w:tcPr>
          <w:p w14:paraId="267DD497">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1601" w:type="dxa"/>
            <w:vMerge w:val="continue"/>
            <w:noWrap w:val="0"/>
            <w:vAlign w:val="center"/>
          </w:tcPr>
          <w:p w14:paraId="2D60523E">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4692" w:type="dxa"/>
            <w:noWrap w:val="0"/>
            <w:vAlign w:val="center"/>
          </w:tcPr>
          <w:p w14:paraId="0EBB91F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4.市级扶持资金与撬动社会资本至少要达到1:3的比例（6分）。</w:t>
            </w:r>
          </w:p>
        </w:tc>
        <w:tc>
          <w:tcPr>
            <w:tcW w:w="4994" w:type="dxa"/>
            <w:noWrap w:val="0"/>
            <w:vAlign w:val="center"/>
          </w:tcPr>
          <w:p w14:paraId="4B554D6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项目方案中市级扶持资金与撬动社会资本达到1:3的比例计6分，未达到不计分。</w:t>
            </w:r>
          </w:p>
        </w:tc>
        <w:tc>
          <w:tcPr>
            <w:tcW w:w="2134" w:type="dxa"/>
            <w:noWrap w:val="0"/>
            <w:vAlign w:val="center"/>
          </w:tcPr>
          <w:p w14:paraId="2E31E42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6A23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61" w:type="dxa"/>
            <w:vMerge w:val="restart"/>
            <w:noWrap w:val="0"/>
            <w:vAlign w:val="center"/>
          </w:tcPr>
          <w:p w14:paraId="56CE7EF3">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w:t>
            </w:r>
          </w:p>
        </w:tc>
        <w:tc>
          <w:tcPr>
            <w:tcW w:w="1601" w:type="dxa"/>
            <w:vMerge w:val="restart"/>
            <w:noWrap w:val="0"/>
            <w:vAlign w:val="center"/>
          </w:tcPr>
          <w:p w14:paraId="6CE7E51A">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产业基础</w:t>
            </w:r>
          </w:p>
          <w:p w14:paraId="0A1368E6">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（30分）</w:t>
            </w:r>
          </w:p>
        </w:tc>
        <w:tc>
          <w:tcPr>
            <w:tcW w:w="4692" w:type="dxa"/>
            <w:noWrap w:val="0"/>
            <w:vAlign w:val="center"/>
          </w:tcPr>
          <w:p w14:paraId="2F7D58B3">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color w:val="000000"/>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1.中药材产业符合所在县（市、区）优势特色产业规划，产业优势明显，产业规模较大（6分）。</w:t>
            </w:r>
          </w:p>
        </w:tc>
        <w:tc>
          <w:tcPr>
            <w:tcW w:w="4994" w:type="dxa"/>
            <w:noWrap w:val="0"/>
            <w:vAlign w:val="center"/>
          </w:tcPr>
          <w:p w14:paraId="782DDBF5">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根据中药材产业在本地发展情况（发展规模、经营主体发展等），酌情计分（优秀等次计5-6分，良好等次计3-4分，合格等次计1-2分）。</w:t>
            </w:r>
          </w:p>
        </w:tc>
        <w:tc>
          <w:tcPr>
            <w:tcW w:w="2134" w:type="dxa"/>
            <w:noWrap w:val="0"/>
            <w:vAlign w:val="center"/>
          </w:tcPr>
          <w:p w14:paraId="76482F8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47DF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61" w:type="dxa"/>
            <w:vMerge w:val="continue"/>
            <w:noWrap w:val="0"/>
            <w:vAlign w:val="center"/>
          </w:tcPr>
          <w:p w14:paraId="00AB8DDF">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1601" w:type="dxa"/>
            <w:vMerge w:val="continue"/>
            <w:noWrap w:val="0"/>
            <w:vAlign w:val="center"/>
          </w:tcPr>
          <w:p w14:paraId="688A4233">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4692" w:type="dxa"/>
            <w:noWrap w:val="0"/>
            <w:vAlign w:val="center"/>
          </w:tcPr>
          <w:p w14:paraId="4E46760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2.中药材产业全产业链产值达到1.5亿元以上，县域中药材产业农产品加工总产值1.2亿元以上（12分）。</w:t>
            </w:r>
          </w:p>
        </w:tc>
        <w:tc>
          <w:tcPr>
            <w:tcW w:w="4994" w:type="dxa"/>
            <w:noWrap w:val="0"/>
            <w:vAlign w:val="center"/>
          </w:tcPr>
          <w:p w14:paraId="31C03FD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中药材产业全产业链产值达到1.5亿元，计2分，未达到不计分，每递增5000万加0.5分，最高计6分；中药材产业农产品加工总产值达到1.2亿元计2分，每递增1000万加0.5分，最高计6分。</w:t>
            </w:r>
          </w:p>
        </w:tc>
        <w:tc>
          <w:tcPr>
            <w:tcW w:w="2134" w:type="dxa"/>
            <w:noWrap w:val="0"/>
            <w:vAlign w:val="center"/>
          </w:tcPr>
          <w:p w14:paraId="719B165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605F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61" w:type="dxa"/>
            <w:vMerge w:val="continue"/>
            <w:noWrap w:val="0"/>
            <w:vAlign w:val="center"/>
          </w:tcPr>
          <w:p w14:paraId="08A22A39">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c>
          <w:tcPr>
            <w:tcW w:w="1601" w:type="dxa"/>
            <w:vMerge w:val="continue"/>
            <w:noWrap w:val="0"/>
            <w:vAlign w:val="center"/>
          </w:tcPr>
          <w:p w14:paraId="2388F480">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c>
          <w:tcPr>
            <w:tcW w:w="4692" w:type="dxa"/>
            <w:noWrap w:val="0"/>
            <w:vAlign w:val="center"/>
          </w:tcPr>
          <w:p w14:paraId="2A89111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3.中药材产业种植面积8000亩以上，中药材产业标准化种植基地产量1500吨以上（12分）。</w:t>
            </w:r>
          </w:p>
        </w:tc>
        <w:tc>
          <w:tcPr>
            <w:tcW w:w="4994" w:type="dxa"/>
            <w:noWrap w:val="0"/>
            <w:vAlign w:val="center"/>
          </w:tcPr>
          <w:p w14:paraId="19F2645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中药材产业种植面积达到8000亩计2分，每递增1000亩加0.5分，最高计6分；中药材产业标准化种植基地产量达到1500吨计2分，每递增1000吨加0.5分，最高计6分。</w:t>
            </w:r>
          </w:p>
        </w:tc>
        <w:tc>
          <w:tcPr>
            <w:tcW w:w="2134" w:type="dxa"/>
            <w:noWrap w:val="0"/>
            <w:vAlign w:val="center"/>
          </w:tcPr>
          <w:p w14:paraId="148B0DD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3D84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61" w:type="dxa"/>
            <w:vMerge w:val="restart"/>
            <w:noWrap w:val="0"/>
            <w:vAlign w:val="center"/>
          </w:tcPr>
          <w:p w14:paraId="64EE3C31">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3</w:t>
            </w:r>
          </w:p>
        </w:tc>
        <w:tc>
          <w:tcPr>
            <w:tcW w:w="1601" w:type="dxa"/>
            <w:vMerge w:val="restart"/>
            <w:noWrap w:val="0"/>
            <w:vAlign w:val="center"/>
          </w:tcPr>
          <w:p w14:paraId="0E009F08">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融合发展</w:t>
            </w:r>
          </w:p>
          <w:p w14:paraId="1CDE88C9">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（15分）</w:t>
            </w:r>
          </w:p>
        </w:tc>
        <w:tc>
          <w:tcPr>
            <w:tcW w:w="4692" w:type="dxa"/>
            <w:noWrap w:val="0"/>
            <w:vAlign w:val="center"/>
          </w:tcPr>
          <w:p w14:paraId="36CDDEF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color w:val="000000"/>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1.围绕中药材产业初步形成了农村一二三产业融合发展的格局，主体多元、业态多样、类型丰富（5分）。</w:t>
            </w:r>
          </w:p>
        </w:tc>
        <w:tc>
          <w:tcPr>
            <w:tcW w:w="4994" w:type="dxa"/>
            <w:noWrap w:val="0"/>
            <w:vAlign w:val="center"/>
          </w:tcPr>
          <w:p w14:paraId="13CCF6C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根据中药材产业一二三产业融合发展情况，酌情计分（优秀等次计4-5分，良好等次计3分，合格等次计1-2分）。</w:t>
            </w:r>
          </w:p>
        </w:tc>
        <w:tc>
          <w:tcPr>
            <w:tcW w:w="2134" w:type="dxa"/>
            <w:noWrap w:val="0"/>
            <w:vAlign w:val="center"/>
          </w:tcPr>
          <w:p w14:paraId="5429CA2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p>
        </w:tc>
      </w:tr>
      <w:tr w14:paraId="07ED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61" w:type="dxa"/>
            <w:vMerge w:val="continue"/>
            <w:noWrap w:val="0"/>
            <w:vAlign w:val="center"/>
          </w:tcPr>
          <w:p w14:paraId="7BBE14E3">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1601" w:type="dxa"/>
            <w:vMerge w:val="continue"/>
            <w:noWrap w:val="0"/>
            <w:vAlign w:val="center"/>
          </w:tcPr>
          <w:p w14:paraId="17061F89">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4692" w:type="dxa"/>
            <w:noWrap w:val="0"/>
            <w:vAlign w:val="center"/>
          </w:tcPr>
          <w:p w14:paraId="62041EC1">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2.县域内有2家市级以上（含）农业产业化龙头企业，龙头企业主营业务必须与中药材产业密切相关且有生产或加工环节在市域范围内（10分）。</w:t>
            </w:r>
          </w:p>
        </w:tc>
        <w:tc>
          <w:tcPr>
            <w:tcW w:w="4994" w:type="dxa"/>
            <w:noWrap w:val="0"/>
            <w:vAlign w:val="center"/>
          </w:tcPr>
          <w:p w14:paraId="308C986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县域内有2家市级以上（含）农业产业化龙头企业，计6分，每递增1家加0.5分，最高计10分。</w:t>
            </w:r>
          </w:p>
        </w:tc>
        <w:tc>
          <w:tcPr>
            <w:tcW w:w="2134" w:type="dxa"/>
            <w:noWrap w:val="0"/>
            <w:vAlign w:val="center"/>
          </w:tcPr>
          <w:p w14:paraId="42B816E3">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5413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861" w:type="dxa"/>
            <w:vMerge w:val="restart"/>
            <w:noWrap w:val="0"/>
            <w:vAlign w:val="center"/>
          </w:tcPr>
          <w:p w14:paraId="4BEDBD5A">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4</w:t>
            </w:r>
          </w:p>
        </w:tc>
        <w:tc>
          <w:tcPr>
            <w:tcW w:w="1601" w:type="dxa"/>
            <w:vMerge w:val="restart"/>
            <w:noWrap w:val="0"/>
            <w:vAlign w:val="center"/>
          </w:tcPr>
          <w:p w14:paraId="744A2D4B">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联农带农</w:t>
            </w:r>
          </w:p>
          <w:p w14:paraId="3401F4CB">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（20分）</w:t>
            </w:r>
          </w:p>
        </w:tc>
        <w:tc>
          <w:tcPr>
            <w:tcW w:w="4692" w:type="dxa"/>
            <w:noWrap w:val="0"/>
            <w:vAlign w:val="center"/>
          </w:tcPr>
          <w:p w14:paraId="1404740B">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color w:val="000000"/>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1.创新联农带农激励机制，推动村集体和家庭农场、农民合作社、农业产业化龙头企业等新型经营主体与农户建立了紧密利益联结机制，分享一二三产业增值收益（6分）。</w:t>
            </w:r>
          </w:p>
        </w:tc>
        <w:tc>
          <w:tcPr>
            <w:tcW w:w="4994" w:type="dxa"/>
            <w:noWrap w:val="0"/>
            <w:vAlign w:val="center"/>
          </w:tcPr>
          <w:p w14:paraId="772AF35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联农带农机制健全计2分；村集体和家庭农场、农民合作社、农业产业化龙头企业等新型经营主体与农户建立了紧密利益联结机制，计4分。</w:t>
            </w:r>
          </w:p>
        </w:tc>
        <w:tc>
          <w:tcPr>
            <w:tcW w:w="2134" w:type="dxa"/>
            <w:noWrap w:val="0"/>
            <w:vAlign w:val="center"/>
          </w:tcPr>
          <w:p w14:paraId="52E23E96">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2829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61" w:type="dxa"/>
            <w:vMerge w:val="continue"/>
            <w:noWrap w:val="0"/>
            <w:vAlign w:val="center"/>
          </w:tcPr>
          <w:p w14:paraId="2E9A021E">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1601" w:type="dxa"/>
            <w:vMerge w:val="continue"/>
            <w:noWrap w:val="0"/>
            <w:vAlign w:val="center"/>
          </w:tcPr>
          <w:p w14:paraId="07C567A2">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pPr>
          </w:p>
        </w:tc>
        <w:tc>
          <w:tcPr>
            <w:tcW w:w="4692" w:type="dxa"/>
            <w:noWrap w:val="0"/>
            <w:vAlign w:val="center"/>
          </w:tcPr>
          <w:p w14:paraId="7A3DEAA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w:t>
            </w:r>
            <w:r>
              <w:rPr>
                <w:rFonts w:hint="default" w:ascii="华文宋体" w:hAnsi="华文宋体" w:eastAsia="华文宋体" w:cs="华文宋体"/>
                <w:kern w:val="2"/>
                <w:sz w:val="24"/>
                <w:szCs w:val="24"/>
                <w:vertAlign w:val="baseline"/>
                <w:lang w:val="en-US" w:eastAsia="zh-CN" w:bidi="ar-SA"/>
              </w:rPr>
              <w:t>帮助小农户节本增效、对接市场、抵御风险、拓展增收空间等方面，采取了有针对性的措施，促进小农户和现代农业发展有机衔接</w:t>
            </w:r>
            <w:r>
              <w:rPr>
                <w:rFonts w:hint="eastAsia" w:ascii="华文宋体" w:hAnsi="华文宋体" w:eastAsia="华文宋体" w:cs="华文宋体"/>
                <w:kern w:val="2"/>
                <w:sz w:val="24"/>
                <w:szCs w:val="24"/>
                <w:vertAlign w:val="baseline"/>
                <w:lang w:val="en-US" w:eastAsia="zh-CN" w:bidi="ar-SA"/>
              </w:rPr>
              <w:t>（6分）。</w:t>
            </w:r>
          </w:p>
        </w:tc>
        <w:tc>
          <w:tcPr>
            <w:tcW w:w="4994" w:type="dxa"/>
            <w:noWrap w:val="0"/>
            <w:vAlign w:val="center"/>
          </w:tcPr>
          <w:p w14:paraId="317902E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根据龙头企业等中药材产业经营主体扶持帮助农户发展情况，酌情计分（优秀等次计5-6分，良好等次计3-4分，合格等次计1-2分）。</w:t>
            </w:r>
          </w:p>
        </w:tc>
        <w:tc>
          <w:tcPr>
            <w:tcW w:w="2134" w:type="dxa"/>
            <w:noWrap w:val="0"/>
            <w:vAlign w:val="center"/>
          </w:tcPr>
          <w:p w14:paraId="539F5D96">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16BD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61" w:type="dxa"/>
            <w:vMerge w:val="continue"/>
            <w:noWrap w:val="0"/>
            <w:vAlign w:val="center"/>
          </w:tcPr>
          <w:p w14:paraId="423CBBEE">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c>
          <w:tcPr>
            <w:tcW w:w="1601" w:type="dxa"/>
            <w:vMerge w:val="continue"/>
            <w:noWrap w:val="0"/>
            <w:vAlign w:val="center"/>
          </w:tcPr>
          <w:p w14:paraId="3DE37DC9">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c>
          <w:tcPr>
            <w:tcW w:w="4692" w:type="dxa"/>
            <w:noWrap w:val="0"/>
            <w:vAlign w:val="center"/>
          </w:tcPr>
          <w:p w14:paraId="3F0D202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3.带动从业农民增收，中药材产业从业农民人均可支配收入1.5万元以上（8分）</w:t>
            </w:r>
          </w:p>
        </w:tc>
        <w:tc>
          <w:tcPr>
            <w:tcW w:w="4994" w:type="dxa"/>
            <w:noWrap w:val="0"/>
            <w:vAlign w:val="center"/>
          </w:tcPr>
          <w:p w14:paraId="6406C56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中药材产业从业农民人均可支配收入达到1.5万元计4分，每递增0.1万加0.5分，最高计8分。</w:t>
            </w:r>
          </w:p>
        </w:tc>
        <w:tc>
          <w:tcPr>
            <w:tcW w:w="2134" w:type="dxa"/>
            <w:noWrap w:val="0"/>
            <w:vAlign w:val="center"/>
          </w:tcPr>
          <w:p w14:paraId="1A1BB690">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308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61" w:type="dxa"/>
            <w:vMerge w:val="restart"/>
            <w:noWrap w:val="0"/>
            <w:vAlign w:val="center"/>
          </w:tcPr>
          <w:p w14:paraId="1E5D6299">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5</w:t>
            </w:r>
          </w:p>
        </w:tc>
        <w:tc>
          <w:tcPr>
            <w:tcW w:w="1601" w:type="dxa"/>
            <w:vMerge w:val="restart"/>
            <w:noWrap w:val="0"/>
            <w:vAlign w:val="center"/>
          </w:tcPr>
          <w:p w14:paraId="686DDFB7">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资金使用</w:t>
            </w:r>
          </w:p>
          <w:p w14:paraId="581AD0EB">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（15分）</w:t>
            </w:r>
          </w:p>
        </w:tc>
        <w:tc>
          <w:tcPr>
            <w:tcW w:w="4692" w:type="dxa"/>
            <w:noWrap w:val="0"/>
            <w:vAlign w:val="center"/>
          </w:tcPr>
          <w:p w14:paraId="12486FE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1.结合中药材产业发展实际，重点支持中药材农产品加工业发展，支持农产品加工环节资金比例不低于25%（5分）。</w:t>
            </w:r>
          </w:p>
        </w:tc>
        <w:tc>
          <w:tcPr>
            <w:tcW w:w="4994" w:type="dxa"/>
            <w:noWrap w:val="0"/>
            <w:vAlign w:val="center"/>
          </w:tcPr>
          <w:p w14:paraId="21DED3A2">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支持农产品加工环节资金比例不低于25%计5分，低于25%不计分。</w:t>
            </w:r>
          </w:p>
        </w:tc>
        <w:tc>
          <w:tcPr>
            <w:tcW w:w="2134" w:type="dxa"/>
            <w:noWrap w:val="0"/>
            <w:vAlign w:val="center"/>
          </w:tcPr>
          <w:p w14:paraId="19DC8321">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4C1A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61" w:type="dxa"/>
            <w:vMerge w:val="continue"/>
            <w:noWrap w:val="0"/>
            <w:vAlign w:val="center"/>
          </w:tcPr>
          <w:p w14:paraId="6F818E3F">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both"/>
              <w:textAlignment w:val="auto"/>
            </w:pPr>
          </w:p>
        </w:tc>
        <w:tc>
          <w:tcPr>
            <w:tcW w:w="1601" w:type="dxa"/>
            <w:vMerge w:val="continue"/>
            <w:noWrap w:val="0"/>
            <w:vAlign w:val="center"/>
          </w:tcPr>
          <w:p w14:paraId="0479F5D9">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both"/>
              <w:textAlignment w:val="auto"/>
            </w:pPr>
          </w:p>
        </w:tc>
        <w:tc>
          <w:tcPr>
            <w:tcW w:w="4692" w:type="dxa"/>
            <w:noWrap w:val="0"/>
            <w:vAlign w:val="center"/>
          </w:tcPr>
          <w:p w14:paraId="1386ED7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2.优先扶持中药材产业市级以上（含市级）龙头企业参与项目建设（5分）。</w:t>
            </w:r>
          </w:p>
        </w:tc>
        <w:tc>
          <w:tcPr>
            <w:tcW w:w="4994" w:type="dxa"/>
            <w:noWrap w:val="0"/>
            <w:vAlign w:val="center"/>
          </w:tcPr>
          <w:p w14:paraId="6EE86F51">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参与项目的市级以上（含市级）龙头企业数量达到1家计3分，每增加1家加1分，最高计5分。</w:t>
            </w:r>
          </w:p>
        </w:tc>
        <w:tc>
          <w:tcPr>
            <w:tcW w:w="2134" w:type="dxa"/>
            <w:noWrap w:val="0"/>
            <w:vAlign w:val="center"/>
          </w:tcPr>
          <w:p w14:paraId="0DC8688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p>
        </w:tc>
      </w:tr>
      <w:tr w14:paraId="5900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61" w:type="dxa"/>
            <w:vMerge w:val="continue"/>
            <w:noWrap w:val="0"/>
            <w:vAlign w:val="center"/>
          </w:tcPr>
          <w:p w14:paraId="791C68A9">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p>
        </w:tc>
        <w:tc>
          <w:tcPr>
            <w:tcW w:w="1601" w:type="dxa"/>
            <w:vMerge w:val="continue"/>
            <w:noWrap w:val="0"/>
            <w:vAlign w:val="center"/>
          </w:tcPr>
          <w:p w14:paraId="1CD2DE5D">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p>
        </w:tc>
        <w:tc>
          <w:tcPr>
            <w:tcW w:w="4692" w:type="dxa"/>
            <w:noWrap w:val="0"/>
            <w:vAlign w:val="center"/>
          </w:tcPr>
          <w:p w14:paraId="0EBC19FF">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3.引导县（市、区）政府加大中药材产业投入力度（5分）。</w:t>
            </w:r>
          </w:p>
        </w:tc>
        <w:tc>
          <w:tcPr>
            <w:tcW w:w="4994" w:type="dxa"/>
            <w:noWrap w:val="0"/>
            <w:vAlign w:val="center"/>
          </w:tcPr>
          <w:p w14:paraId="11BE7D4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项目方案中，县级投入中药材产业资金达到200万计3分（未达到不计分），每增加100万加1分，最高计5分。</w:t>
            </w:r>
          </w:p>
        </w:tc>
        <w:tc>
          <w:tcPr>
            <w:tcW w:w="2134" w:type="dxa"/>
            <w:noWrap w:val="0"/>
            <w:vAlign w:val="center"/>
          </w:tcPr>
          <w:p w14:paraId="1CF6DB0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default" w:ascii="华文宋体" w:hAnsi="华文宋体" w:eastAsia="华文宋体" w:cs="华文宋体"/>
                <w:kern w:val="2"/>
                <w:sz w:val="24"/>
                <w:szCs w:val="24"/>
                <w:vertAlign w:val="baseline"/>
                <w:lang w:val="en-US" w:eastAsia="zh-CN" w:bidi="ar-SA"/>
              </w:rPr>
            </w:pPr>
          </w:p>
        </w:tc>
      </w:tr>
      <w:tr w14:paraId="188F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861" w:type="dxa"/>
            <w:noWrap w:val="0"/>
            <w:vAlign w:val="center"/>
          </w:tcPr>
          <w:p w14:paraId="3EBE2907">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6</w:t>
            </w:r>
          </w:p>
        </w:tc>
        <w:tc>
          <w:tcPr>
            <w:tcW w:w="1601" w:type="dxa"/>
            <w:noWrap w:val="0"/>
            <w:vAlign w:val="center"/>
          </w:tcPr>
          <w:p w14:paraId="45C5B6CE">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default"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否决项</w:t>
            </w:r>
          </w:p>
        </w:tc>
        <w:tc>
          <w:tcPr>
            <w:tcW w:w="4692" w:type="dxa"/>
            <w:noWrap w:val="0"/>
            <w:vAlign w:val="center"/>
          </w:tcPr>
          <w:p w14:paraId="422F0B9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近两年发生重大农业环境污染或生态破坏问题、重大农产品质量安全事件，均不得纳入申报范围。</w:t>
            </w:r>
          </w:p>
          <w:p w14:paraId="46804499">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c>
          <w:tcPr>
            <w:tcW w:w="4994" w:type="dxa"/>
            <w:noWrap w:val="0"/>
            <w:vAlign w:val="center"/>
          </w:tcPr>
          <w:p w14:paraId="1ED020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firstLine="0" w:firstLineChars="0"/>
              <w:jc w:val="both"/>
              <w:textAlignment w:val="auto"/>
              <w:rPr>
                <w:rFonts w:hint="eastAsia" w:ascii="华文宋体" w:hAnsi="华文宋体" w:eastAsia="华文宋体" w:cs="华文宋体"/>
                <w:kern w:val="2"/>
                <w:sz w:val="24"/>
                <w:szCs w:val="24"/>
                <w:vertAlign w:val="baseline"/>
                <w:lang w:val="en-US" w:eastAsia="zh-CN" w:bidi="ar-SA"/>
              </w:rPr>
            </w:pPr>
          </w:p>
        </w:tc>
        <w:tc>
          <w:tcPr>
            <w:tcW w:w="2134" w:type="dxa"/>
            <w:noWrap w:val="0"/>
            <w:vAlign w:val="center"/>
          </w:tcPr>
          <w:p w14:paraId="333185A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both"/>
              <w:textAlignment w:val="auto"/>
              <w:rPr>
                <w:rFonts w:hint="eastAsia" w:ascii="华文宋体" w:hAnsi="华文宋体" w:eastAsia="华文宋体" w:cs="华文宋体"/>
                <w:kern w:val="2"/>
                <w:sz w:val="24"/>
                <w:szCs w:val="24"/>
                <w:vertAlign w:val="baseline"/>
                <w:lang w:val="en-US" w:eastAsia="zh-CN" w:bidi="ar-SA"/>
              </w:rPr>
            </w:pPr>
          </w:p>
        </w:tc>
      </w:tr>
      <w:tr w14:paraId="179E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62" w:type="dxa"/>
            <w:gridSpan w:val="2"/>
            <w:noWrap w:val="0"/>
            <w:vAlign w:val="center"/>
          </w:tcPr>
          <w:p w14:paraId="58D50445">
            <w:pPr>
              <w:pStyle w:val="10"/>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合计：</w:t>
            </w:r>
          </w:p>
        </w:tc>
        <w:tc>
          <w:tcPr>
            <w:tcW w:w="4692" w:type="dxa"/>
            <w:noWrap w:val="0"/>
            <w:vAlign w:val="center"/>
          </w:tcPr>
          <w:p w14:paraId="6EC85B81">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firstLine="0" w:firstLineChars="0"/>
              <w:jc w:val="center"/>
              <w:textAlignment w:val="auto"/>
              <w:rPr>
                <w:rFonts w:hint="eastAsia" w:ascii="华文宋体" w:hAnsi="华文宋体" w:eastAsia="华文宋体" w:cs="华文宋体"/>
                <w:color w:val="000000"/>
                <w:kern w:val="2"/>
                <w:sz w:val="24"/>
                <w:szCs w:val="24"/>
                <w:vertAlign w:val="baseline"/>
                <w:lang w:val="en-US" w:eastAsia="zh-CN" w:bidi="ar-SA"/>
              </w:rPr>
            </w:pPr>
            <w:r>
              <w:rPr>
                <w:rFonts w:hint="eastAsia" w:ascii="华文宋体" w:hAnsi="华文宋体" w:eastAsia="华文宋体" w:cs="华文宋体"/>
                <w:kern w:val="2"/>
                <w:sz w:val="24"/>
                <w:szCs w:val="24"/>
                <w:vertAlign w:val="baseline"/>
                <w:lang w:val="en-US" w:eastAsia="zh-CN" w:bidi="ar-SA"/>
              </w:rPr>
              <w:t>100分</w:t>
            </w:r>
          </w:p>
        </w:tc>
        <w:tc>
          <w:tcPr>
            <w:tcW w:w="4994" w:type="dxa"/>
            <w:noWrap w:val="0"/>
            <w:vAlign w:val="center"/>
          </w:tcPr>
          <w:p w14:paraId="787D43C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c>
          <w:tcPr>
            <w:tcW w:w="2134" w:type="dxa"/>
            <w:noWrap w:val="0"/>
            <w:vAlign w:val="center"/>
          </w:tcPr>
          <w:p w14:paraId="4CAE8FAA">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华文宋体" w:hAnsi="华文宋体" w:eastAsia="华文宋体" w:cs="华文宋体"/>
                <w:kern w:val="2"/>
                <w:sz w:val="24"/>
                <w:szCs w:val="24"/>
                <w:vertAlign w:val="baseline"/>
                <w:lang w:val="en-US" w:eastAsia="zh-CN" w:bidi="ar-SA"/>
              </w:rPr>
            </w:pPr>
          </w:p>
        </w:tc>
      </w:tr>
    </w:tbl>
    <w:p w14:paraId="4A0337E9"/>
    <w:sectPr>
      <w:pgSz w:w="16838" w:h="11906" w:orient="landscape"/>
      <w:pgMar w:top="1417" w:right="1440" w:bottom="141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MzQ0NjA0YTY3MTc5OTA4ZDJlNmRjMmI3N2Y0NDIifQ=="/>
  </w:docVars>
  <w:rsids>
    <w:rsidRoot w:val="667F2D91"/>
    <w:rsid w:val="02593C26"/>
    <w:rsid w:val="093147B1"/>
    <w:rsid w:val="0ABB6AF5"/>
    <w:rsid w:val="0B065FC2"/>
    <w:rsid w:val="0B6554D6"/>
    <w:rsid w:val="0BEF163D"/>
    <w:rsid w:val="10637A13"/>
    <w:rsid w:val="173D081E"/>
    <w:rsid w:val="19AA66B3"/>
    <w:rsid w:val="1A1A55E6"/>
    <w:rsid w:val="1C673A4A"/>
    <w:rsid w:val="1D741997"/>
    <w:rsid w:val="21E161B6"/>
    <w:rsid w:val="231E77CA"/>
    <w:rsid w:val="24EF141E"/>
    <w:rsid w:val="28550131"/>
    <w:rsid w:val="299547EC"/>
    <w:rsid w:val="29B80978"/>
    <w:rsid w:val="2C25523E"/>
    <w:rsid w:val="2F5E0AD6"/>
    <w:rsid w:val="3162760C"/>
    <w:rsid w:val="37831B52"/>
    <w:rsid w:val="3AD33368"/>
    <w:rsid w:val="418E7861"/>
    <w:rsid w:val="434D2655"/>
    <w:rsid w:val="4454418A"/>
    <w:rsid w:val="4A2F6CCB"/>
    <w:rsid w:val="4C6F0F12"/>
    <w:rsid w:val="4CD3324F"/>
    <w:rsid w:val="4CF0534A"/>
    <w:rsid w:val="4D444572"/>
    <w:rsid w:val="4F691C49"/>
    <w:rsid w:val="54010E7A"/>
    <w:rsid w:val="54E6216B"/>
    <w:rsid w:val="5D263C24"/>
    <w:rsid w:val="621B4ABE"/>
    <w:rsid w:val="628D11A7"/>
    <w:rsid w:val="641C32D6"/>
    <w:rsid w:val="64F16511"/>
    <w:rsid w:val="667F2D91"/>
    <w:rsid w:val="66996E60"/>
    <w:rsid w:val="67424E02"/>
    <w:rsid w:val="69C978F1"/>
    <w:rsid w:val="6DB408D6"/>
    <w:rsid w:val="6F7A4353"/>
    <w:rsid w:val="6F7C10CD"/>
    <w:rsid w:val="6FD45FBC"/>
    <w:rsid w:val="73C05C6D"/>
    <w:rsid w:val="767842D3"/>
    <w:rsid w:val="79495F5D"/>
    <w:rsid w:val="79E53808"/>
    <w:rsid w:val="7AC04563"/>
    <w:rsid w:val="7DDB2618"/>
    <w:rsid w:val="7F6851CA"/>
    <w:rsid w:val="7FC06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outlineLvl w:val="3"/>
    </w:pPr>
    <w:rPr>
      <w:bCs/>
      <w:szCs w:val="28"/>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Calibri" w:hAnsi="Calibri"/>
      <w:szCs w:val="24"/>
    </w:rPr>
  </w:style>
  <w:style w:type="paragraph" w:styleId="4">
    <w:name w:val="index 8"/>
    <w:basedOn w:val="1"/>
    <w:next w:val="1"/>
    <w:qFormat/>
    <w:uiPriority w:val="99"/>
    <w:pPr>
      <w:spacing w:line="560" w:lineRule="exact"/>
      <w:ind w:firstLine="640" w:firstLineChars="200"/>
    </w:pPr>
    <w:rPr>
      <w:rFonts w:ascii="仿宋" w:hAnsi="仿宋" w:eastAsia="仿宋"/>
      <w:sz w:val="32"/>
      <w:szCs w:val="32"/>
    </w:rPr>
  </w:style>
  <w:style w:type="paragraph" w:styleId="5">
    <w:name w:val="Normal Indent"/>
    <w:basedOn w:val="1"/>
    <w:unhideWhenUsed/>
    <w:qFormat/>
    <w:uiPriority w:val="99"/>
    <w:pPr>
      <w:ind w:firstLine="420"/>
    </w:pPr>
    <w:rPr>
      <w:rFonts w:ascii="Times New Roman" w:hAnsi="Times New Roman"/>
      <w:szCs w:val="20"/>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章正文"/>
    <w:basedOn w:val="1"/>
    <w:qFormat/>
    <w:uiPriority w:val="0"/>
    <w:pPr>
      <w:adjustRightInd w:val="0"/>
      <w:snapToGrid w:val="0"/>
      <w:spacing w:line="360" w:lineRule="auto"/>
      <w:ind w:firstLine="600" w:firstLineChars="200"/>
    </w:pPr>
    <w:rPr>
      <w:rFonts w:eastAsia="仿宋_GB2312"/>
      <w:color w:val="00000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1538</Words>
  <Characters>1644</Characters>
  <Lines>0</Lines>
  <Paragraphs>0</Paragraphs>
  <TotalTime>9</TotalTime>
  <ScaleCrop>false</ScaleCrop>
  <LinksUpToDate>false</LinksUpToDate>
  <CharactersWithSpaces>1644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2024-10-16T16:44:00Z</dcterms:created>
  <dc:creator>greatwall</dc:creator>
  <cp:lastModifiedBy>WPS_1043734096</cp:lastModifiedBy>
  <cp:lastPrinted>2024-10-25T00:21:00Z</cp:lastPrinted>
  <dcterms:modified xsi:type="dcterms:W3CDTF">2025-01-16T02:41:19Z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CA113FB55E664946902900F25D15AB7A_13</vt:lpwstr>
  </property>
  <property fmtid="{D5CDD505-2E9C-101B-9397-08002B2CF9AE}" pid="4" name="KSOTemplateDocerSaveRecord">
    <vt:lpwstr>eyJoZGlkIjoiOTg0MzQ0NjA0YTY3MTc5OTA4ZDJlNmRjMmI3N2Y0NDIifQ==</vt:lpwstr>
  </property>
</Properties>
</file>