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/>
          <w:b/>
          <w:sz w:val="44"/>
          <w:szCs w:val="44"/>
        </w:rPr>
        <w:t>月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招牌</w:t>
      </w:r>
      <w:r>
        <w:rPr>
          <w:rFonts w:hint="eastAsia" w:ascii="黑体" w:hAnsi="黑体" w:eastAsia="黑体"/>
          <w:b/>
          <w:sz w:val="44"/>
          <w:szCs w:val="44"/>
        </w:rPr>
        <w:t>案件公示</w:t>
      </w: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rPr>
          <w:rFonts w:hint="eastAsia"/>
          <w:b/>
          <w:bCs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bookmarkStart w:id="0" w:name="_GoBack"/>
      <w:bookmarkEnd w:id="0"/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675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彭XX设置户外招牌不符合城市容貌标准一案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8"/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株（石）城行简罚决字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第20510001号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彭XX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彭XX设置户外招牌不符合城市容貌标准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《株洲市城市综合管理条例》第五十四条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2024年10月10日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D55208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352931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114207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3E4394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392</Words>
  <Characters>441</Characters>
  <Lines>24</Lines>
  <Paragraphs>7</Paragraphs>
  <ScaleCrop>false</ScaleCrop>
  <LinksUpToDate>false</LinksUpToDate>
  <CharactersWithSpaces>446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2025-01-08T02:36:37Z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