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A29D3E">
      <w:pPr>
        <w:pStyle w:val="16"/>
        <w:jc w:val="center"/>
        <w:rPr>
          <w:rFonts w:hint="eastAsia"/>
          <w:sz w:val="56"/>
          <w:szCs w:val="56"/>
        </w:rPr>
      </w:pPr>
    </w:p>
    <w:p w14:paraId="7F55A543">
      <w:pPr>
        <w:pStyle w:val="16"/>
        <w:jc w:val="center"/>
        <w:rPr>
          <w:sz w:val="84"/>
          <w:szCs w:val="84"/>
        </w:rPr>
      </w:pPr>
    </w:p>
    <w:p w14:paraId="391A44E3">
      <w:pPr>
        <w:pStyle w:val="16"/>
        <w:jc w:val="center"/>
        <w:rPr>
          <w:rFonts w:hint="eastAsia"/>
          <w:sz w:val="84"/>
          <w:szCs w:val="84"/>
        </w:rPr>
      </w:pPr>
    </w:p>
    <w:p w14:paraId="1FE59F02">
      <w:pPr>
        <w:pStyle w:val="16"/>
        <w:jc w:val="center"/>
        <w:rPr>
          <w:rFonts w:hint="eastAsia"/>
          <w:sz w:val="84"/>
          <w:szCs w:val="84"/>
        </w:rPr>
      </w:pPr>
    </w:p>
    <w:p w14:paraId="70986D73">
      <w:pPr>
        <w:pStyle w:val="16"/>
        <w:jc w:val="center"/>
        <w:rPr>
          <w:sz w:val="84"/>
          <w:szCs w:val="84"/>
        </w:rPr>
      </w:pPr>
    </w:p>
    <w:p w14:paraId="232FBAFC">
      <w:pPr>
        <w:pStyle w:val="16"/>
        <w:jc w:val="center"/>
        <w:rPr>
          <w:rFonts w:ascii="方正小标宋简体" w:eastAsia="方正小标宋简体"/>
          <w:sz w:val="72"/>
          <w:szCs w:val="84"/>
        </w:rPr>
      </w:pPr>
      <w:r>
        <w:rPr>
          <w:rFonts w:hint="eastAsia" w:ascii="方正小标宋简体" w:eastAsia="方正小标宋简体"/>
          <w:sz w:val="72"/>
          <w:szCs w:val="84"/>
        </w:rPr>
        <w:t>202</w:t>
      </w:r>
      <w:r>
        <w:rPr>
          <w:rFonts w:hint="eastAsia" w:ascii="方正小标宋简体" w:eastAsia="方正小标宋简体"/>
          <w:sz w:val="72"/>
          <w:szCs w:val="84"/>
          <w:lang w:val="en-US" w:eastAsia="zh-CN"/>
        </w:rPr>
        <w:t>3</w:t>
      </w:r>
      <w:r>
        <w:rPr>
          <w:rFonts w:hint="eastAsia" w:ascii="方正小标宋简体" w:eastAsia="方正小标宋简体"/>
          <w:sz w:val="72"/>
          <w:szCs w:val="84"/>
        </w:rPr>
        <w:t>年度</w:t>
      </w:r>
    </w:p>
    <w:p w14:paraId="75C777F2">
      <w:pPr>
        <w:pStyle w:val="16"/>
        <w:jc w:val="center"/>
        <w:rPr>
          <w:rFonts w:hint="eastAsia" w:ascii="方正小标宋简体" w:eastAsia="方正小标宋简体"/>
          <w:sz w:val="72"/>
          <w:szCs w:val="84"/>
        </w:rPr>
      </w:pPr>
      <w:r>
        <w:rPr>
          <w:rFonts w:hint="eastAsia" w:ascii="方正小标宋简体" w:eastAsia="方正小标宋简体"/>
          <w:sz w:val="72"/>
          <w:szCs w:val="84"/>
          <w:lang w:eastAsia="zh-CN"/>
        </w:rPr>
        <w:t>株洲市人民政府国有资产监督管理委员会</w:t>
      </w:r>
      <w:r>
        <w:rPr>
          <w:rFonts w:hint="eastAsia" w:ascii="方正小标宋简体" w:eastAsia="方正小标宋简体"/>
          <w:sz w:val="72"/>
          <w:szCs w:val="84"/>
        </w:rPr>
        <w:t>部门决算</w:t>
      </w:r>
    </w:p>
    <w:p w14:paraId="669CAE98">
      <w:pPr>
        <w:pStyle w:val="16"/>
        <w:jc w:val="center"/>
        <w:rPr>
          <w:rFonts w:hint="eastAsia" w:ascii="方正小标宋简体" w:eastAsia="方正小标宋简体"/>
          <w:sz w:val="72"/>
          <w:szCs w:val="84"/>
        </w:rPr>
      </w:pPr>
    </w:p>
    <w:p w14:paraId="023FBB8D">
      <w:pPr>
        <w:pStyle w:val="16"/>
        <w:jc w:val="center"/>
        <w:rPr>
          <w:rFonts w:hint="eastAsia" w:ascii="方正小标宋简体" w:eastAsia="方正小标宋简体"/>
          <w:sz w:val="72"/>
          <w:szCs w:val="84"/>
        </w:rPr>
      </w:pPr>
    </w:p>
    <w:p w14:paraId="01178540">
      <w:pPr>
        <w:tabs>
          <w:tab w:val="left" w:pos="7560"/>
        </w:tabs>
        <w:adjustRightInd w:val="0"/>
        <w:snapToGrid w:val="0"/>
        <w:spacing w:line="560" w:lineRule="exact"/>
        <w:jc w:val="center"/>
        <w:rPr>
          <w:b/>
          <w:sz w:val="44"/>
          <w:szCs w:val="44"/>
        </w:rPr>
      </w:pPr>
      <w:r>
        <w:rPr>
          <w:rFonts w:hint="eastAsia" w:ascii="方正小标宋简体" w:eastAsia="方正小标宋简体"/>
          <w:sz w:val="72"/>
          <w:szCs w:val="84"/>
        </w:rPr>
        <w:br w:type="page"/>
      </w:r>
      <w:r>
        <w:rPr>
          <w:rFonts w:hint="eastAsia"/>
          <w:b/>
          <w:sz w:val="44"/>
          <w:szCs w:val="44"/>
        </w:rPr>
        <w:t>目录</w:t>
      </w:r>
    </w:p>
    <w:p w14:paraId="7D78C081">
      <w:pPr>
        <w:pStyle w:val="16"/>
        <w:spacing w:line="560" w:lineRule="exact"/>
        <w:rPr>
          <w:rFonts w:hint="eastAsia" w:hAnsi="黑体" w:cs="仿宋_GB2312"/>
          <w:sz w:val="32"/>
          <w:szCs w:val="28"/>
        </w:rPr>
      </w:pPr>
      <w:r>
        <w:rPr>
          <w:rFonts w:hint="eastAsia" w:hAnsi="黑体"/>
          <w:sz w:val="32"/>
          <w:szCs w:val="28"/>
        </w:rPr>
        <w:t>第一部分</w:t>
      </w:r>
      <w:r>
        <w:rPr>
          <w:rFonts w:hint="eastAsia" w:hAnsi="黑体"/>
          <w:sz w:val="32"/>
          <w:szCs w:val="28"/>
          <w:lang w:eastAsia="zh-CN"/>
        </w:rPr>
        <w:t>株洲市人民政府国有资产监督管理委员会</w:t>
      </w:r>
      <w:r>
        <w:rPr>
          <w:rFonts w:hint="eastAsia" w:hAnsi="黑体"/>
          <w:sz w:val="32"/>
          <w:szCs w:val="28"/>
        </w:rPr>
        <w:t>单位概况</w:t>
      </w:r>
    </w:p>
    <w:p w14:paraId="175C38D3">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一、部门职责</w:t>
      </w:r>
    </w:p>
    <w:p w14:paraId="7016ED44">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二、机构设置</w:t>
      </w:r>
    </w:p>
    <w:p w14:paraId="12FDF611">
      <w:pPr>
        <w:pStyle w:val="16"/>
        <w:spacing w:line="560" w:lineRule="exact"/>
        <w:rPr>
          <w:rFonts w:hint="eastAsia" w:hAnsi="黑体"/>
          <w:sz w:val="32"/>
          <w:szCs w:val="28"/>
        </w:rPr>
      </w:pPr>
      <w:r>
        <w:rPr>
          <w:rFonts w:hint="eastAsia" w:hAnsi="黑体"/>
          <w:sz w:val="32"/>
          <w:szCs w:val="28"/>
        </w:rPr>
        <w:t>第二部分</w:t>
      </w:r>
      <w:r>
        <w:rPr>
          <w:rFonts w:hint="eastAsia" w:hAnsi="黑体"/>
          <w:sz w:val="32"/>
          <w:szCs w:val="28"/>
          <w:lang w:eastAsia="zh-CN"/>
        </w:rPr>
        <w:t>2023</w:t>
      </w:r>
      <w:r>
        <w:rPr>
          <w:rFonts w:hint="eastAsia" w:hAnsi="黑体"/>
          <w:sz w:val="32"/>
          <w:szCs w:val="28"/>
        </w:rPr>
        <w:t>年度部门决算表</w:t>
      </w:r>
    </w:p>
    <w:p w14:paraId="0B8A45F0">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一、收入支出决算总表</w:t>
      </w:r>
    </w:p>
    <w:p w14:paraId="7EF727B6">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二、收入决算表</w:t>
      </w:r>
    </w:p>
    <w:p w14:paraId="61D6C63C">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三、支出决算表</w:t>
      </w:r>
    </w:p>
    <w:p w14:paraId="73A7ED08">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四、财政拨款收入支出决算总表</w:t>
      </w:r>
    </w:p>
    <w:p w14:paraId="30ACE1A0">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五、一般公共预算财政拨款支出决算表</w:t>
      </w:r>
    </w:p>
    <w:p w14:paraId="7090FC67">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六、一般公共预算财政拨款基本支出决算表</w:t>
      </w:r>
    </w:p>
    <w:p w14:paraId="25410069">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七、一般公共预算财政拨款“三公”经费支出决算表</w:t>
      </w:r>
    </w:p>
    <w:p w14:paraId="2A9524BB">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八、政府性基金预算财政拨款收入支出决算表</w:t>
      </w:r>
    </w:p>
    <w:p w14:paraId="1854E3C8">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九、国有资本经营预算财政拨款支出决算表</w:t>
      </w:r>
    </w:p>
    <w:p w14:paraId="6C22B9B7">
      <w:pPr>
        <w:pStyle w:val="16"/>
        <w:spacing w:line="560" w:lineRule="exact"/>
        <w:rPr>
          <w:rFonts w:hint="eastAsia" w:hAnsi="黑体"/>
          <w:sz w:val="32"/>
          <w:szCs w:val="28"/>
        </w:rPr>
      </w:pPr>
      <w:r>
        <w:rPr>
          <w:rFonts w:hint="eastAsia" w:hAnsi="黑体"/>
          <w:sz w:val="32"/>
          <w:szCs w:val="28"/>
        </w:rPr>
        <w:t>第三部分</w:t>
      </w:r>
      <w:r>
        <w:rPr>
          <w:rFonts w:hint="eastAsia" w:hAnsi="黑体"/>
          <w:sz w:val="32"/>
          <w:szCs w:val="28"/>
          <w:lang w:eastAsia="zh-CN"/>
        </w:rPr>
        <w:t>2023</w:t>
      </w:r>
      <w:r>
        <w:rPr>
          <w:rFonts w:hint="eastAsia" w:hAnsi="黑体"/>
          <w:sz w:val="32"/>
          <w:szCs w:val="28"/>
        </w:rPr>
        <w:t>年度部门决算情况说明</w:t>
      </w:r>
    </w:p>
    <w:p w14:paraId="6605CF92">
      <w:pPr>
        <w:pStyle w:val="16"/>
        <w:spacing w:line="560" w:lineRule="exact"/>
        <w:ind w:firstLine="800" w:firstLineChars="250"/>
        <w:rPr>
          <w:rFonts w:hint="eastAsia" w:ascii="仿宋_GB2312" w:hAnsi="宋体" w:eastAsia="仿宋_GB2312" w:cs="仿宋_GB2312"/>
          <w:sz w:val="32"/>
          <w:szCs w:val="28"/>
        </w:rPr>
      </w:pPr>
      <w:r>
        <w:rPr>
          <w:rFonts w:hint="eastAsia" w:ascii="仿宋_GB2312" w:hAnsi="宋体" w:eastAsia="仿宋_GB2312" w:cs="仿宋_GB2312"/>
          <w:sz w:val="32"/>
          <w:szCs w:val="28"/>
        </w:rPr>
        <w:t>一、收入支出决算总体情况说明</w:t>
      </w:r>
    </w:p>
    <w:p w14:paraId="0D8D97A5">
      <w:pPr>
        <w:spacing w:line="560" w:lineRule="exact"/>
        <w:ind w:firstLine="800" w:firstLineChars="250"/>
        <w:jc w:val="left"/>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二、收入决算情况说明</w:t>
      </w:r>
    </w:p>
    <w:p w14:paraId="602F4F4B">
      <w:pPr>
        <w:autoSpaceDE w:val="0"/>
        <w:autoSpaceDN w:val="0"/>
        <w:adjustRightInd w:val="0"/>
        <w:spacing w:line="560" w:lineRule="exact"/>
        <w:ind w:firstLine="800" w:firstLineChars="250"/>
        <w:jc w:val="left"/>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三、支出决算情况说明</w:t>
      </w:r>
    </w:p>
    <w:p w14:paraId="3BB29E17">
      <w:pPr>
        <w:autoSpaceDE w:val="0"/>
        <w:autoSpaceDN w:val="0"/>
        <w:adjustRightInd w:val="0"/>
        <w:spacing w:line="560" w:lineRule="exact"/>
        <w:ind w:firstLine="800" w:firstLineChars="250"/>
        <w:jc w:val="left"/>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四、财政拨款收入支出决算总体情况说明</w:t>
      </w:r>
    </w:p>
    <w:p w14:paraId="1EB82226">
      <w:pPr>
        <w:autoSpaceDE w:val="0"/>
        <w:autoSpaceDN w:val="0"/>
        <w:adjustRightInd w:val="0"/>
        <w:spacing w:line="560" w:lineRule="exact"/>
        <w:ind w:firstLine="800" w:firstLineChars="250"/>
        <w:jc w:val="left"/>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五、一般公共预算财政拨款支出决算情况说明</w:t>
      </w:r>
    </w:p>
    <w:p w14:paraId="43D88AC5">
      <w:pPr>
        <w:autoSpaceDE w:val="0"/>
        <w:autoSpaceDN w:val="0"/>
        <w:adjustRightInd w:val="0"/>
        <w:spacing w:line="560" w:lineRule="exact"/>
        <w:ind w:firstLine="800" w:firstLineChars="250"/>
        <w:jc w:val="left"/>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六、一般公共预算财政拨款基本支出决算情况说明</w:t>
      </w:r>
    </w:p>
    <w:p w14:paraId="323B79B1">
      <w:pPr>
        <w:autoSpaceDE w:val="0"/>
        <w:autoSpaceDN w:val="0"/>
        <w:adjustRightInd w:val="0"/>
        <w:spacing w:line="560" w:lineRule="exact"/>
        <w:ind w:firstLine="800" w:firstLineChars="250"/>
        <w:jc w:val="left"/>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七、一般公共预算财政拨款三公经费支出决算情况说明</w:t>
      </w:r>
    </w:p>
    <w:p w14:paraId="16382B56">
      <w:pPr>
        <w:autoSpaceDE w:val="0"/>
        <w:autoSpaceDN w:val="0"/>
        <w:adjustRightInd w:val="0"/>
        <w:spacing w:line="560" w:lineRule="exact"/>
        <w:ind w:firstLine="800" w:firstLineChars="250"/>
        <w:jc w:val="left"/>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八、政府性基金预算收入支出决算情况说明</w:t>
      </w:r>
    </w:p>
    <w:p w14:paraId="02F5A14F">
      <w:pPr>
        <w:autoSpaceDE w:val="0"/>
        <w:autoSpaceDN w:val="0"/>
        <w:adjustRightInd w:val="0"/>
        <w:spacing w:line="560" w:lineRule="exact"/>
        <w:ind w:firstLine="800" w:firstLineChars="250"/>
        <w:jc w:val="left"/>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九、国有资本经营预算支出决算情况说明</w:t>
      </w:r>
    </w:p>
    <w:p w14:paraId="125CF40B">
      <w:pPr>
        <w:autoSpaceDE w:val="0"/>
        <w:autoSpaceDN w:val="0"/>
        <w:adjustRightInd w:val="0"/>
        <w:spacing w:line="560" w:lineRule="exact"/>
        <w:ind w:firstLine="800" w:firstLineChars="250"/>
        <w:jc w:val="left"/>
        <w:rPr>
          <w:rFonts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十、机关运行经费支出说明</w:t>
      </w:r>
    </w:p>
    <w:p w14:paraId="02A3BDEF">
      <w:pPr>
        <w:autoSpaceDE w:val="0"/>
        <w:autoSpaceDN w:val="0"/>
        <w:adjustRightInd w:val="0"/>
        <w:spacing w:line="560" w:lineRule="exact"/>
        <w:ind w:firstLine="800" w:firstLineChars="250"/>
        <w:jc w:val="left"/>
        <w:rPr>
          <w:rFonts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十一、一般性支出情况说明</w:t>
      </w:r>
    </w:p>
    <w:p w14:paraId="35FB9BBC">
      <w:pPr>
        <w:autoSpaceDE w:val="0"/>
        <w:autoSpaceDN w:val="0"/>
        <w:adjustRightInd w:val="0"/>
        <w:spacing w:line="560" w:lineRule="exact"/>
        <w:ind w:firstLine="800" w:firstLineChars="250"/>
        <w:jc w:val="left"/>
        <w:rPr>
          <w:rFonts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十二、政府采购支出说明</w:t>
      </w:r>
    </w:p>
    <w:p w14:paraId="4FF1B64A">
      <w:pPr>
        <w:autoSpaceDE w:val="0"/>
        <w:autoSpaceDN w:val="0"/>
        <w:adjustRightInd w:val="0"/>
        <w:spacing w:line="560" w:lineRule="exact"/>
        <w:ind w:firstLine="800" w:firstLineChars="250"/>
        <w:jc w:val="left"/>
        <w:rPr>
          <w:rFonts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十三、国有资产占用情况说明</w:t>
      </w:r>
    </w:p>
    <w:p w14:paraId="7BF04DF8">
      <w:pPr>
        <w:pStyle w:val="16"/>
        <w:spacing w:line="560" w:lineRule="exact"/>
        <w:ind w:firstLine="800" w:firstLineChars="25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十四、</w:t>
      </w:r>
      <w:r>
        <w:rPr>
          <w:rFonts w:hint="eastAsia" w:ascii="仿宋_GB2312" w:hAnsi="仿宋_GB2312" w:eastAsia="仿宋_GB2312" w:cs="仿宋_GB2312"/>
          <w:sz w:val="32"/>
          <w:szCs w:val="28"/>
          <w:lang w:eastAsia="zh-CN"/>
        </w:rPr>
        <w:t>2023</w:t>
      </w:r>
      <w:r>
        <w:rPr>
          <w:rFonts w:hint="eastAsia" w:ascii="仿宋_GB2312" w:hAnsi="仿宋_GB2312" w:eastAsia="仿宋_GB2312" w:cs="仿宋_GB2312"/>
          <w:sz w:val="32"/>
          <w:szCs w:val="28"/>
        </w:rPr>
        <w:t>年度预算绩效情况说明</w:t>
      </w:r>
    </w:p>
    <w:p w14:paraId="0DF6C4AC">
      <w:pPr>
        <w:pStyle w:val="16"/>
        <w:spacing w:line="560" w:lineRule="exact"/>
        <w:rPr>
          <w:rFonts w:hint="eastAsia" w:hAnsi="黑体"/>
          <w:sz w:val="32"/>
          <w:szCs w:val="28"/>
        </w:rPr>
      </w:pPr>
      <w:r>
        <w:rPr>
          <w:rFonts w:hint="eastAsia" w:hAnsi="黑体"/>
          <w:sz w:val="32"/>
          <w:szCs w:val="28"/>
        </w:rPr>
        <w:t>第四部分名词解释</w:t>
      </w:r>
    </w:p>
    <w:p w14:paraId="5FABC1BA">
      <w:pPr>
        <w:pStyle w:val="16"/>
        <w:spacing w:line="560" w:lineRule="exact"/>
        <w:rPr>
          <w:rFonts w:hint="eastAsia" w:hAnsi="黑体"/>
          <w:sz w:val="32"/>
          <w:szCs w:val="28"/>
        </w:rPr>
      </w:pPr>
      <w:r>
        <w:rPr>
          <w:rFonts w:hint="eastAsia" w:hAnsi="黑体"/>
          <w:sz w:val="32"/>
          <w:szCs w:val="28"/>
        </w:rPr>
        <w:t>第五部分附件</w:t>
      </w:r>
    </w:p>
    <w:p w14:paraId="6E6CBC53">
      <w:pPr>
        <w:jc w:val="center"/>
        <w:rPr>
          <w:sz w:val="72"/>
          <w:szCs w:val="72"/>
        </w:rPr>
      </w:pPr>
      <w:r>
        <w:rPr>
          <w:rFonts w:hint="eastAsia" w:hAnsi="黑体"/>
          <w:sz w:val="32"/>
          <w:szCs w:val="28"/>
        </w:rPr>
        <w:br w:type="page"/>
      </w:r>
    </w:p>
    <w:p w14:paraId="22BC32FE">
      <w:pPr>
        <w:jc w:val="center"/>
        <w:rPr>
          <w:sz w:val="72"/>
          <w:szCs w:val="72"/>
        </w:rPr>
      </w:pPr>
    </w:p>
    <w:p w14:paraId="6A9F551D">
      <w:pPr>
        <w:jc w:val="center"/>
        <w:rPr>
          <w:sz w:val="72"/>
          <w:szCs w:val="72"/>
        </w:rPr>
      </w:pPr>
    </w:p>
    <w:p w14:paraId="75CC837B">
      <w:pPr>
        <w:jc w:val="center"/>
        <w:rPr>
          <w:sz w:val="72"/>
          <w:szCs w:val="72"/>
        </w:rPr>
      </w:pPr>
    </w:p>
    <w:p w14:paraId="5E9FA8DA">
      <w:pPr>
        <w:rPr>
          <w:sz w:val="72"/>
          <w:szCs w:val="72"/>
        </w:rPr>
      </w:pPr>
    </w:p>
    <w:p w14:paraId="1239F8B0">
      <w:pPr>
        <w:pStyle w:val="16"/>
        <w:jc w:val="center"/>
        <w:rPr>
          <w:rFonts w:hint="eastAsia" w:ascii="方正小标宋简体" w:eastAsia="方正小标宋简体"/>
          <w:sz w:val="72"/>
          <w:szCs w:val="72"/>
        </w:rPr>
      </w:pPr>
      <w:r>
        <w:rPr>
          <w:rFonts w:hint="eastAsia" w:ascii="方正小标宋简体" w:eastAsia="方正小标宋简体"/>
          <w:sz w:val="72"/>
          <w:szCs w:val="72"/>
        </w:rPr>
        <w:t>第一部分</w:t>
      </w:r>
    </w:p>
    <w:p w14:paraId="343D8DB4">
      <w:pPr>
        <w:pStyle w:val="16"/>
        <w:jc w:val="center"/>
        <w:rPr>
          <w:rFonts w:hint="eastAsia" w:ascii="方正小标宋简体" w:eastAsia="方正小标宋简体"/>
          <w:sz w:val="72"/>
          <w:szCs w:val="72"/>
        </w:rPr>
      </w:pPr>
    </w:p>
    <w:p w14:paraId="7FCDC858">
      <w:pPr>
        <w:pStyle w:val="16"/>
        <w:jc w:val="center"/>
        <w:rPr>
          <w:rFonts w:hint="eastAsia" w:ascii="方正小标宋简体" w:eastAsia="方正小标宋简体"/>
          <w:sz w:val="72"/>
          <w:szCs w:val="72"/>
        </w:rPr>
      </w:pPr>
      <w:r>
        <w:rPr>
          <w:rFonts w:hint="eastAsia" w:ascii="方正小标宋简体" w:eastAsia="方正小标宋简体"/>
          <w:sz w:val="72"/>
          <w:szCs w:val="72"/>
          <w:lang w:eastAsia="zh-CN"/>
        </w:rPr>
        <w:t>株洲市人民政府国有资产监督管理委员会</w:t>
      </w:r>
      <w:r>
        <w:rPr>
          <w:rFonts w:hint="eastAsia" w:ascii="方正小标宋简体" w:eastAsia="方正小标宋简体"/>
          <w:sz w:val="72"/>
          <w:szCs w:val="72"/>
        </w:rPr>
        <w:t>单位概况</w:t>
      </w:r>
    </w:p>
    <w:p w14:paraId="27493B9D">
      <w:pPr>
        <w:pStyle w:val="16"/>
        <w:jc w:val="both"/>
        <w:rPr>
          <w:rFonts w:hint="eastAsia" w:ascii="方正小标宋简体" w:eastAsia="方正小标宋简体"/>
          <w:sz w:val="72"/>
          <w:szCs w:val="72"/>
        </w:rPr>
      </w:pPr>
    </w:p>
    <w:p w14:paraId="3E406FD3">
      <w:pPr>
        <w:pStyle w:val="3"/>
        <w:numPr>
          <w:ilvl w:val="0"/>
          <w:numId w:val="0"/>
        </w:numPr>
        <w:ind w:leftChars="0"/>
        <w:jc w:val="left"/>
        <w:rPr>
          <w:rFonts w:ascii="黑体" w:hAnsi="黑体" w:eastAsia="黑体"/>
          <w:sz w:val="32"/>
          <w:szCs w:val="32"/>
        </w:rPr>
      </w:pPr>
      <w:r>
        <w:rPr>
          <w:sz w:val="72"/>
          <w:szCs w:val="72"/>
        </w:rPr>
        <w:br w:type="page"/>
      </w:r>
      <w:r>
        <w:rPr>
          <w:rFonts w:hint="eastAsia"/>
          <w:sz w:val="72"/>
          <w:szCs w:val="72"/>
          <w:lang w:val="en-US" w:eastAsia="zh-CN"/>
        </w:rPr>
        <w:t xml:space="preserve">  </w:t>
      </w:r>
      <w:r>
        <w:rPr>
          <w:rFonts w:hint="eastAsia" w:ascii="黑体" w:hAnsi="黑体" w:eastAsia="黑体" w:cs="黑体"/>
          <w:color w:val="000000"/>
          <w:kern w:val="0"/>
          <w:sz w:val="32"/>
          <w:szCs w:val="28"/>
          <w:lang w:val="en-US" w:eastAsia="zh-CN" w:bidi="ar-SA"/>
        </w:rPr>
        <w:t>一</w:t>
      </w:r>
      <w:r>
        <w:rPr>
          <w:rFonts w:hint="eastAsia" w:hAnsi="黑体"/>
          <w:sz w:val="32"/>
          <w:szCs w:val="28"/>
        </w:rPr>
        <w:t>、</w:t>
      </w:r>
      <w:r>
        <w:rPr>
          <w:rFonts w:ascii="黑体" w:hAnsi="黑体" w:eastAsia="黑体"/>
          <w:sz w:val="32"/>
          <w:szCs w:val="32"/>
        </w:rPr>
        <w:t>部门职责</w:t>
      </w:r>
    </w:p>
    <w:p w14:paraId="6BA4D6A5">
      <w:pPr>
        <w:pStyle w:val="10"/>
        <w:widowControl/>
        <w:spacing w:beforeAutospacing="0" w:after="0" w:afterAutospacing="0" w:line="324" w:lineRule="atLeast"/>
        <w:ind w:left="0" w:right="0" w:firstLine="480"/>
        <w:jc w:val="left"/>
        <w:rPr>
          <w:rFonts w:hint="eastAsia" w:ascii="仿宋_GB2312" w:eastAsia="仿宋_GB2312"/>
          <w:bCs/>
          <w:color w:val="000000"/>
          <w:kern w:val="2"/>
          <w:sz w:val="32"/>
          <w:szCs w:val="32"/>
          <w:lang w:val="en-US" w:eastAsia="zh-CN" w:bidi="ar-SA"/>
        </w:rPr>
      </w:pPr>
      <w:r>
        <w:rPr>
          <w:rFonts w:hint="eastAsia" w:ascii="仿宋_GB2312" w:eastAsia="仿宋_GB2312"/>
          <w:bCs/>
          <w:color w:val="000000"/>
          <w:kern w:val="2"/>
          <w:sz w:val="32"/>
          <w:szCs w:val="32"/>
          <w:lang w:val="en-US" w:eastAsia="zh-CN" w:bidi="ar-SA"/>
        </w:rPr>
        <w:t>（一）贯彻执行国家、省有关国有资产监督管理的法律、法规和方针、政策；制定本市国有资产监督管理的有关制度及具体办法并组织实施。</w:t>
      </w:r>
    </w:p>
    <w:p w14:paraId="0189D3FC">
      <w:pPr>
        <w:pStyle w:val="10"/>
        <w:widowControl/>
        <w:spacing w:beforeAutospacing="0" w:after="0" w:afterAutospacing="0" w:line="324" w:lineRule="atLeast"/>
        <w:ind w:left="0" w:right="0" w:firstLine="480"/>
        <w:jc w:val="left"/>
        <w:rPr>
          <w:rFonts w:hint="default" w:ascii="仿宋_GB2312" w:eastAsia="仿宋_GB2312"/>
          <w:bCs/>
          <w:color w:val="000000"/>
          <w:kern w:val="2"/>
          <w:sz w:val="32"/>
          <w:szCs w:val="32"/>
          <w:lang w:val="en-US" w:eastAsia="zh-CN" w:bidi="ar-SA"/>
        </w:rPr>
      </w:pPr>
      <w:r>
        <w:rPr>
          <w:rFonts w:hint="default" w:ascii="仿宋_GB2312" w:eastAsia="仿宋_GB2312"/>
          <w:bCs/>
          <w:color w:val="000000"/>
          <w:kern w:val="2"/>
          <w:sz w:val="32"/>
          <w:szCs w:val="32"/>
          <w:lang w:val="en-US" w:eastAsia="zh-CN" w:bidi="ar-SA"/>
        </w:rPr>
        <w:t>（二）根据市人民政府授权，负责履行出资人职责，保障出资人权益，加强所监管企业的国有资产管理工作。</w:t>
      </w:r>
    </w:p>
    <w:p w14:paraId="553E6249">
      <w:pPr>
        <w:pStyle w:val="10"/>
        <w:widowControl/>
        <w:spacing w:beforeAutospacing="0" w:after="0" w:afterAutospacing="0" w:line="324" w:lineRule="atLeast"/>
        <w:ind w:left="0" w:right="0" w:firstLine="480"/>
        <w:jc w:val="left"/>
        <w:rPr>
          <w:rFonts w:hint="default" w:ascii="仿宋_GB2312" w:eastAsia="仿宋_GB2312"/>
          <w:bCs/>
          <w:color w:val="000000"/>
          <w:kern w:val="2"/>
          <w:sz w:val="32"/>
          <w:szCs w:val="32"/>
          <w:lang w:val="en-US" w:eastAsia="zh-CN" w:bidi="ar-SA"/>
        </w:rPr>
      </w:pPr>
      <w:r>
        <w:rPr>
          <w:rFonts w:hint="default" w:ascii="仿宋_GB2312" w:eastAsia="仿宋_GB2312"/>
          <w:bCs/>
          <w:color w:val="000000"/>
          <w:kern w:val="2"/>
          <w:sz w:val="32"/>
          <w:szCs w:val="32"/>
          <w:lang w:val="en-US" w:eastAsia="zh-CN" w:bidi="ar-SA"/>
        </w:rPr>
        <w:t>（三）建立和完善国有资产保值增值考核和责任追究制度，拟订考核标准，对重大财务事项实施监督，通过预决算、审计、统计、稽核等方法对所监管企业国有资产的保值增值情况进行监管；落实国有资产保值增值责任；会同有关部门做好所监管企业工资分配管理工作，拟订所监管企业负责人收入分配政策并组织实施。</w:t>
      </w:r>
    </w:p>
    <w:p w14:paraId="05E86327">
      <w:pPr>
        <w:pStyle w:val="10"/>
        <w:widowControl/>
        <w:spacing w:beforeAutospacing="0" w:after="0" w:afterAutospacing="0" w:line="324" w:lineRule="atLeast"/>
        <w:ind w:left="0" w:right="0" w:firstLine="480"/>
        <w:jc w:val="left"/>
        <w:rPr>
          <w:rFonts w:hint="default" w:ascii="仿宋_GB2312" w:eastAsia="仿宋_GB2312"/>
          <w:bCs/>
          <w:color w:val="000000"/>
          <w:kern w:val="2"/>
          <w:sz w:val="32"/>
          <w:szCs w:val="32"/>
          <w:lang w:val="en-US" w:eastAsia="zh-CN" w:bidi="ar-SA"/>
        </w:rPr>
      </w:pPr>
      <w:r>
        <w:rPr>
          <w:rFonts w:hint="default" w:ascii="仿宋_GB2312" w:eastAsia="仿宋_GB2312"/>
          <w:bCs/>
          <w:color w:val="000000"/>
          <w:kern w:val="2"/>
          <w:sz w:val="32"/>
          <w:szCs w:val="32"/>
          <w:lang w:val="en-US" w:eastAsia="zh-CN" w:bidi="ar-SA"/>
        </w:rPr>
        <w:t>（四）指导推进国有企业改革和重组，推进国有企业现代企业制度建设，完善公司治理结构；推动国有经济布局和结构战略性调整；指导所监管企业引进战略投资者与产权（股权）招商引资和资本合作；加强与中央、省属企业对接合作；负责归口组织协调与中央、省属企业对接合作。</w:t>
      </w:r>
    </w:p>
    <w:p w14:paraId="122E169B">
      <w:pPr>
        <w:pStyle w:val="10"/>
        <w:widowControl/>
        <w:spacing w:beforeAutospacing="0" w:after="0" w:afterAutospacing="0" w:line="324" w:lineRule="atLeast"/>
        <w:ind w:left="0" w:right="0" w:firstLine="480"/>
        <w:jc w:val="left"/>
        <w:rPr>
          <w:rFonts w:hint="default" w:ascii="仿宋_GB2312" w:eastAsia="仿宋_GB2312"/>
          <w:bCs/>
          <w:color w:val="000000"/>
          <w:kern w:val="2"/>
          <w:sz w:val="32"/>
          <w:szCs w:val="32"/>
          <w:lang w:val="en-US" w:eastAsia="zh-CN" w:bidi="ar-SA"/>
        </w:rPr>
      </w:pPr>
      <w:r>
        <w:rPr>
          <w:rFonts w:hint="default" w:ascii="仿宋_GB2312" w:eastAsia="仿宋_GB2312"/>
          <w:bCs/>
          <w:color w:val="000000"/>
          <w:kern w:val="2"/>
          <w:sz w:val="32"/>
          <w:szCs w:val="32"/>
          <w:lang w:val="en-US" w:eastAsia="zh-CN" w:bidi="ar-SA"/>
        </w:rPr>
        <w:t>（五）负责市属国有企业党组织建设、党员管理和领导班子、企业经营管理者队伍建设；负责所监管企业的企业负责人进行考核、奖惩工作。</w:t>
      </w:r>
    </w:p>
    <w:p w14:paraId="4921C8EC">
      <w:pPr>
        <w:pStyle w:val="10"/>
        <w:widowControl/>
        <w:spacing w:beforeAutospacing="0" w:after="0" w:afterAutospacing="0" w:line="324" w:lineRule="atLeast"/>
        <w:ind w:left="0" w:right="0" w:firstLine="480"/>
        <w:jc w:val="left"/>
        <w:rPr>
          <w:rFonts w:hint="default" w:ascii="仿宋_GB2312" w:eastAsia="仿宋_GB2312"/>
          <w:bCs/>
          <w:color w:val="000000"/>
          <w:kern w:val="2"/>
          <w:sz w:val="32"/>
          <w:szCs w:val="32"/>
          <w:lang w:val="en-US" w:eastAsia="zh-CN" w:bidi="ar-SA"/>
        </w:rPr>
      </w:pPr>
      <w:r>
        <w:rPr>
          <w:rFonts w:hint="default" w:ascii="仿宋_GB2312" w:eastAsia="仿宋_GB2312"/>
          <w:bCs/>
          <w:color w:val="000000"/>
          <w:kern w:val="2"/>
          <w:sz w:val="32"/>
          <w:szCs w:val="32"/>
          <w:lang w:val="en-US" w:eastAsia="zh-CN" w:bidi="ar-SA"/>
        </w:rPr>
        <w:t>（六）代表市人民政府向所监管企业派出监事；负责监事会的日常管理工作。</w:t>
      </w:r>
    </w:p>
    <w:p w14:paraId="0817F1C2">
      <w:pPr>
        <w:pStyle w:val="10"/>
        <w:widowControl/>
        <w:spacing w:beforeAutospacing="0" w:after="0" w:afterAutospacing="0" w:line="324" w:lineRule="atLeast"/>
        <w:ind w:left="0" w:right="0" w:firstLine="480"/>
        <w:jc w:val="left"/>
        <w:rPr>
          <w:rFonts w:hint="default" w:ascii="仿宋_GB2312" w:eastAsia="仿宋_GB2312"/>
          <w:bCs/>
          <w:color w:val="000000"/>
          <w:kern w:val="2"/>
          <w:sz w:val="32"/>
          <w:szCs w:val="32"/>
          <w:lang w:val="en-US" w:eastAsia="zh-CN" w:bidi="ar-SA"/>
        </w:rPr>
      </w:pPr>
      <w:r>
        <w:rPr>
          <w:rFonts w:hint="default" w:ascii="仿宋_GB2312" w:eastAsia="仿宋_GB2312"/>
          <w:bCs/>
          <w:color w:val="000000"/>
          <w:kern w:val="2"/>
          <w:sz w:val="32"/>
          <w:szCs w:val="32"/>
          <w:lang w:val="en-US" w:eastAsia="zh-CN" w:bidi="ar-SA"/>
        </w:rPr>
        <w:t>（七）负责组织所监管企业上交国有资本收益；参与制定国有资本经营预算有关管理制度，提出并编制年度国有资本经营预、决算建议草案和预算调整方案建议草案，组织和监督国有资本经营预算的执行。</w:t>
      </w:r>
    </w:p>
    <w:p w14:paraId="6541B0E0">
      <w:pPr>
        <w:pStyle w:val="10"/>
        <w:widowControl/>
        <w:spacing w:beforeAutospacing="0" w:after="0" w:afterAutospacing="0" w:line="324" w:lineRule="atLeast"/>
        <w:ind w:left="0" w:right="0" w:firstLine="480"/>
        <w:jc w:val="left"/>
        <w:rPr>
          <w:rFonts w:hint="default" w:ascii="仿宋_GB2312" w:eastAsia="仿宋_GB2312"/>
          <w:bCs/>
          <w:color w:val="000000"/>
          <w:kern w:val="2"/>
          <w:sz w:val="32"/>
          <w:szCs w:val="32"/>
          <w:lang w:val="en-US" w:eastAsia="zh-CN" w:bidi="ar-SA"/>
        </w:rPr>
      </w:pPr>
      <w:r>
        <w:rPr>
          <w:rFonts w:hint="default" w:ascii="仿宋_GB2312" w:eastAsia="仿宋_GB2312"/>
          <w:bCs/>
          <w:color w:val="000000"/>
          <w:kern w:val="2"/>
          <w:sz w:val="32"/>
          <w:szCs w:val="32"/>
          <w:lang w:val="en-US" w:eastAsia="zh-CN" w:bidi="ar-SA"/>
        </w:rPr>
        <w:t>（八）负责指导全市国有企业法律工作制度建设和企业法律顾问管理工作。</w:t>
      </w:r>
    </w:p>
    <w:p w14:paraId="76BA99E1">
      <w:pPr>
        <w:pStyle w:val="10"/>
        <w:widowControl/>
        <w:spacing w:beforeAutospacing="0" w:after="0" w:afterAutospacing="0" w:line="324" w:lineRule="atLeast"/>
        <w:ind w:left="0" w:right="0" w:firstLine="480"/>
        <w:jc w:val="left"/>
        <w:rPr>
          <w:rFonts w:eastAsia="仿宋_GB2312"/>
          <w:sz w:val="32"/>
          <w:szCs w:val="32"/>
        </w:rPr>
      </w:pPr>
      <w:r>
        <w:rPr>
          <w:rFonts w:hint="default" w:ascii="仿宋_GB2312" w:eastAsia="仿宋_GB2312"/>
          <w:bCs/>
          <w:color w:val="000000"/>
          <w:kern w:val="2"/>
          <w:sz w:val="32"/>
          <w:szCs w:val="32"/>
          <w:lang w:val="en-US" w:eastAsia="zh-CN" w:bidi="ar-SA"/>
        </w:rPr>
        <w:t>（九）负责指导监督县市区国有资产管理工作。</w:t>
      </w:r>
    </w:p>
    <w:p w14:paraId="796854FE">
      <w:pPr>
        <w:pStyle w:val="16"/>
        <w:spacing w:line="560" w:lineRule="exact"/>
        <w:ind w:firstLine="640" w:firstLineChars="200"/>
        <w:rPr>
          <w:rFonts w:hAnsi="黑体"/>
          <w:sz w:val="32"/>
          <w:szCs w:val="28"/>
        </w:rPr>
      </w:pPr>
      <w:r>
        <w:rPr>
          <w:rFonts w:hint="eastAsia" w:hAnsi="黑体"/>
          <w:sz w:val="32"/>
          <w:szCs w:val="28"/>
        </w:rPr>
        <w:t>二、机构设置</w:t>
      </w:r>
    </w:p>
    <w:p w14:paraId="47A4F6DD">
      <w:pPr>
        <w:widowControl/>
        <w:spacing w:line="600" w:lineRule="exact"/>
        <w:ind w:firstLine="640" w:firstLineChars="200"/>
        <w:rPr>
          <w:rFonts w:hint="eastAsia" w:ascii="楷体_GB2312" w:hAnsi="宋体" w:eastAsia="楷体_GB2312"/>
          <w:bCs/>
          <w:kern w:val="0"/>
          <w:sz w:val="32"/>
          <w:szCs w:val="32"/>
        </w:rPr>
      </w:pPr>
      <w:r>
        <w:rPr>
          <w:rFonts w:hint="eastAsia" w:ascii="楷体_GB2312" w:hAnsi="宋体" w:eastAsia="楷体_GB2312"/>
          <w:bCs/>
          <w:kern w:val="0"/>
          <w:sz w:val="32"/>
          <w:szCs w:val="32"/>
        </w:rPr>
        <w:t>（一）内设机构设置。</w:t>
      </w:r>
    </w:p>
    <w:p w14:paraId="2FEEF5DE">
      <w:pPr>
        <w:widowControl/>
        <w:spacing w:line="600" w:lineRule="exact"/>
        <w:ind w:firstLine="640" w:firstLineChars="200"/>
        <w:rPr>
          <w:rFonts w:ascii="仿宋_GB2312" w:hAnsi="宋体" w:eastAsia="仿宋_GB2312"/>
          <w:bCs/>
          <w:color w:val="000000"/>
          <w:kern w:val="0"/>
          <w:sz w:val="32"/>
          <w:szCs w:val="32"/>
        </w:rPr>
      </w:pPr>
      <w:r>
        <w:rPr>
          <w:rFonts w:hint="eastAsia" w:ascii="仿宋_GB2312" w:hAnsi="宋体" w:eastAsia="仿宋_GB2312"/>
          <w:bCs/>
          <w:color w:val="000000"/>
          <w:kern w:val="0"/>
          <w:sz w:val="32"/>
          <w:szCs w:val="32"/>
        </w:rPr>
        <w:t>株洲市人民政府国有资产监督管理委员会内设机构包括：共有编制人数</w:t>
      </w:r>
      <w:r>
        <w:rPr>
          <w:rFonts w:hint="eastAsia" w:ascii="仿宋_GB2312" w:hAnsi="宋体" w:eastAsia="仿宋_GB2312"/>
          <w:bCs/>
          <w:color w:val="000000"/>
          <w:kern w:val="0"/>
          <w:sz w:val="32"/>
          <w:szCs w:val="32"/>
          <w:lang w:val="en-US" w:eastAsia="zh-CN"/>
        </w:rPr>
        <w:t>50</w:t>
      </w:r>
      <w:r>
        <w:rPr>
          <w:rFonts w:hint="eastAsia" w:ascii="仿宋_GB2312" w:hAnsi="宋体" w:eastAsia="仿宋_GB2312"/>
          <w:bCs/>
          <w:color w:val="000000"/>
          <w:kern w:val="0"/>
          <w:sz w:val="32"/>
          <w:szCs w:val="32"/>
        </w:rPr>
        <w:t>人，实有人数</w:t>
      </w:r>
      <w:r>
        <w:rPr>
          <w:rFonts w:hint="eastAsia" w:ascii="仿宋_GB2312" w:hAnsi="宋体" w:eastAsia="仿宋_GB2312"/>
          <w:bCs/>
          <w:color w:val="000000"/>
          <w:kern w:val="0"/>
          <w:sz w:val="32"/>
          <w:szCs w:val="32"/>
          <w:lang w:val="en-US" w:eastAsia="zh-CN"/>
        </w:rPr>
        <w:t>42</w:t>
      </w:r>
      <w:r>
        <w:rPr>
          <w:rFonts w:hint="eastAsia" w:ascii="仿宋_GB2312" w:hAnsi="宋体" w:eastAsia="仿宋_GB2312"/>
          <w:bCs/>
          <w:color w:val="000000"/>
          <w:kern w:val="0"/>
          <w:sz w:val="32"/>
          <w:szCs w:val="32"/>
        </w:rPr>
        <w:t>人（根据报送要求，截至时间为202</w:t>
      </w:r>
      <w:r>
        <w:rPr>
          <w:rFonts w:hint="eastAsia" w:ascii="仿宋_GB2312" w:hAnsi="宋体" w:eastAsia="仿宋_GB2312"/>
          <w:bCs/>
          <w:color w:val="000000"/>
          <w:kern w:val="0"/>
          <w:sz w:val="32"/>
          <w:szCs w:val="32"/>
          <w:lang w:val="en-US" w:eastAsia="zh-CN"/>
        </w:rPr>
        <w:t>3</w:t>
      </w:r>
      <w:r>
        <w:rPr>
          <w:rFonts w:hint="eastAsia" w:ascii="仿宋_GB2312" w:hAnsi="宋体" w:eastAsia="仿宋_GB2312"/>
          <w:bCs/>
          <w:color w:val="000000"/>
          <w:kern w:val="0"/>
          <w:sz w:val="32"/>
          <w:szCs w:val="32"/>
        </w:rPr>
        <w:t>年</w:t>
      </w:r>
      <w:r>
        <w:rPr>
          <w:rFonts w:hint="eastAsia" w:ascii="仿宋_GB2312" w:hAnsi="宋体" w:eastAsia="仿宋_GB2312"/>
          <w:bCs/>
          <w:color w:val="000000"/>
          <w:kern w:val="0"/>
          <w:sz w:val="32"/>
          <w:szCs w:val="32"/>
          <w:lang w:val="en-US" w:eastAsia="zh-CN"/>
        </w:rPr>
        <w:t>12</w:t>
      </w:r>
      <w:r>
        <w:rPr>
          <w:rFonts w:hint="eastAsia" w:ascii="仿宋_GB2312" w:hAnsi="宋体" w:eastAsia="仿宋_GB2312"/>
          <w:bCs/>
          <w:color w:val="000000"/>
          <w:kern w:val="0"/>
          <w:sz w:val="32"/>
          <w:szCs w:val="32"/>
        </w:rPr>
        <w:t>月）。人员变化的主要原因是：我委202</w:t>
      </w:r>
      <w:r>
        <w:rPr>
          <w:rFonts w:hint="eastAsia" w:ascii="仿宋_GB2312" w:hAnsi="宋体" w:eastAsia="仿宋_GB2312"/>
          <w:bCs/>
          <w:color w:val="000000"/>
          <w:kern w:val="0"/>
          <w:sz w:val="32"/>
          <w:szCs w:val="32"/>
          <w:lang w:val="en-US" w:eastAsia="zh-CN"/>
        </w:rPr>
        <w:t>3</w:t>
      </w:r>
      <w:r>
        <w:rPr>
          <w:rFonts w:hint="eastAsia" w:ascii="仿宋_GB2312" w:hAnsi="宋体" w:eastAsia="仿宋_GB2312"/>
          <w:bCs/>
          <w:color w:val="000000"/>
          <w:kern w:val="0"/>
          <w:sz w:val="32"/>
          <w:szCs w:val="32"/>
        </w:rPr>
        <w:t>年</w:t>
      </w:r>
      <w:r>
        <w:rPr>
          <w:rFonts w:hint="eastAsia" w:ascii="仿宋_GB2312" w:hAnsi="宋体" w:eastAsia="仿宋_GB2312"/>
          <w:bCs/>
          <w:color w:val="000000"/>
          <w:kern w:val="0"/>
          <w:sz w:val="32"/>
          <w:szCs w:val="32"/>
          <w:lang w:val="en-US" w:eastAsia="zh-CN"/>
        </w:rPr>
        <w:t>退休2名同志，调进1名同志</w:t>
      </w:r>
      <w:r>
        <w:rPr>
          <w:rFonts w:hint="eastAsia" w:ascii="仿宋_GB2312" w:hAnsi="宋体" w:eastAsia="仿宋_GB2312"/>
          <w:bCs/>
          <w:color w:val="000000"/>
          <w:kern w:val="0"/>
          <w:sz w:val="32"/>
          <w:szCs w:val="32"/>
        </w:rPr>
        <w:t>。依据《中共株洲市委办公室、株洲市人民政府办公室关于株洲市人民政府国有资产监督管理委员会职责和机构编制调整的通知》（株办[2019]35 号），本部门内设科室 8 个，分别为：办公室、业绩考核与分配科、国有资本经营预算科、产权管理与规划发展科、政策法规与改革改组科、董事会工作科、监督科和党建科工作科，另设机关党委。本部门包含下属二级预算单位 1 个，即</w:t>
      </w:r>
      <w:r>
        <w:rPr>
          <w:rFonts w:hint="eastAsia" w:ascii="仿宋_GB2312" w:hAnsi="仿宋_GB2312" w:eastAsia="仿宋_GB2312" w:cs="仿宋_GB2312"/>
          <w:bCs/>
          <w:color w:val="000000"/>
          <w:sz w:val="32"/>
          <w:szCs w:val="32"/>
        </w:rPr>
        <w:t>株洲市机械工业研究所</w:t>
      </w:r>
      <w:r>
        <w:rPr>
          <w:rFonts w:hint="eastAsia" w:ascii="仿宋_GB2312" w:hAnsi="宋体" w:eastAsia="仿宋_GB2312"/>
          <w:bCs/>
          <w:color w:val="000000"/>
          <w:kern w:val="0"/>
          <w:sz w:val="32"/>
          <w:szCs w:val="32"/>
        </w:rPr>
        <w:t>。</w:t>
      </w:r>
    </w:p>
    <w:p w14:paraId="48BDABCB">
      <w:pPr>
        <w:widowControl/>
        <w:spacing w:line="600" w:lineRule="exact"/>
        <w:ind w:firstLine="640" w:firstLineChars="200"/>
        <w:rPr>
          <w:rFonts w:hint="eastAsia" w:ascii="仿宋_GB2312" w:hAnsi="宋体" w:eastAsia="仿宋_GB2312"/>
          <w:bCs/>
          <w:color w:val="FF0000"/>
          <w:kern w:val="0"/>
          <w:sz w:val="32"/>
          <w:szCs w:val="32"/>
        </w:rPr>
      </w:pPr>
      <w:r>
        <w:rPr>
          <w:rFonts w:hint="eastAsia" w:ascii="楷体_GB2312" w:hAnsi="宋体" w:eastAsia="楷体_GB2312"/>
          <w:bCs/>
          <w:kern w:val="0"/>
          <w:sz w:val="32"/>
          <w:szCs w:val="32"/>
        </w:rPr>
        <w:t>（二）决算单位构成。</w:t>
      </w:r>
      <w:r>
        <w:rPr>
          <w:rFonts w:hint="eastAsia" w:ascii="仿宋_GB2312" w:hAnsi="宋体" w:eastAsia="仿宋_GB2312"/>
          <w:bCs/>
          <w:color w:val="000000"/>
          <w:kern w:val="0"/>
          <w:sz w:val="32"/>
          <w:szCs w:val="32"/>
        </w:rPr>
        <w:t>株洲市人民政府国有资产监督管理委员会202</w:t>
      </w:r>
      <w:r>
        <w:rPr>
          <w:rFonts w:hint="eastAsia" w:ascii="仿宋_GB2312" w:hAnsi="宋体" w:eastAsia="仿宋_GB2312"/>
          <w:bCs/>
          <w:color w:val="000000"/>
          <w:kern w:val="0"/>
          <w:sz w:val="32"/>
          <w:szCs w:val="32"/>
          <w:lang w:val="en-US" w:eastAsia="zh-CN"/>
        </w:rPr>
        <w:t>3</w:t>
      </w:r>
      <w:r>
        <w:rPr>
          <w:rFonts w:hint="eastAsia" w:ascii="仿宋_GB2312" w:hAnsi="宋体" w:eastAsia="仿宋_GB2312"/>
          <w:bCs/>
          <w:color w:val="000000"/>
          <w:kern w:val="0"/>
          <w:sz w:val="32"/>
          <w:szCs w:val="32"/>
        </w:rPr>
        <w:t>年部门决算汇总公开单位构成包括：株洲市国有资产监督管理委员会本级</w:t>
      </w:r>
      <w:r>
        <w:rPr>
          <w:rFonts w:hint="eastAsia" w:ascii="仿宋_GB2312" w:hAnsi="宋体" w:eastAsia="仿宋_GB2312"/>
          <w:bCs/>
          <w:color w:val="000000"/>
          <w:kern w:val="0"/>
          <w:sz w:val="32"/>
          <w:szCs w:val="32"/>
          <w:lang w:eastAsia="zh-CN"/>
        </w:rPr>
        <w:t>。</w:t>
      </w:r>
      <w:r>
        <w:rPr>
          <w:rFonts w:hint="eastAsia" w:ascii="仿宋_GB2312" w:hAnsi="宋体" w:eastAsia="仿宋_GB2312"/>
          <w:bCs/>
          <w:color w:val="FF0000"/>
          <w:kern w:val="0"/>
          <w:sz w:val="32"/>
          <w:szCs w:val="32"/>
        </w:rPr>
        <w:br w:type="page"/>
      </w:r>
    </w:p>
    <w:p w14:paraId="37085986">
      <w:pPr>
        <w:widowControl/>
        <w:spacing w:line="600" w:lineRule="exact"/>
        <w:rPr>
          <w:rFonts w:hint="eastAsia" w:ascii="仿宋_GB2312" w:eastAsia="仿宋_GB2312"/>
          <w:sz w:val="28"/>
          <w:szCs w:val="28"/>
        </w:rPr>
      </w:pPr>
    </w:p>
    <w:p w14:paraId="15D30434">
      <w:pPr>
        <w:rPr>
          <w:sz w:val="72"/>
          <w:szCs w:val="72"/>
        </w:rPr>
      </w:pPr>
    </w:p>
    <w:p w14:paraId="484CD2BD">
      <w:pPr>
        <w:jc w:val="center"/>
        <w:rPr>
          <w:sz w:val="72"/>
          <w:szCs w:val="72"/>
        </w:rPr>
      </w:pPr>
    </w:p>
    <w:p w14:paraId="795F5B7E">
      <w:pPr>
        <w:jc w:val="center"/>
        <w:rPr>
          <w:sz w:val="72"/>
          <w:szCs w:val="72"/>
        </w:rPr>
      </w:pPr>
    </w:p>
    <w:p w14:paraId="5DAF5DCC">
      <w:pPr>
        <w:pStyle w:val="16"/>
        <w:jc w:val="center"/>
        <w:rPr>
          <w:rFonts w:hint="eastAsia" w:ascii="方正小标宋简体" w:eastAsia="方正小标宋简体"/>
          <w:sz w:val="72"/>
          <w:szCs w:val="72"/>
        </w:rPr>
      </w:pPr>
      <w:r>
        <w:rPr>
          <w:rFonts w:hint="eastAsia" w:ascii="方正小标宋简体" w:eastAsia="方正小标宋简体"/>
          <w:sz w:val="72"/>
          <w:szCs w:val="72"/>
        </w:rPr>
        <w:t>第二部分</w:t>
      </w:r>
    </w:p>
    <w:p w14:paraId="2FAB3DFC">
      <w:pPr>
        <w:jc w:val="center"/>
        <w:rPr>
          <w:rFonts w:hint="eastAsia" w:ascii="方正小标宋简体" w:eastAsia="方正小标宋简体"/>
          <w:sz w:val="72"/>
          <w:szCs w:val="72"/>
        </w:rPr>
      </w:pPr>
    </w:p>
    <w:p w14:paraId="57E5FCEF">
      <w:pPr>
        <w:pStyle w:val="16"/>
        <w:jc w:val="center"/>
        <w:rPr>
          <w:rFonts w:hint="eastAsia" w:ascii="方正小标宋简体" w:eastAsia="方正小标宋简体"/>
          <w:sz w:val="72"/>
          <w:szCs w:val="72"/>
        </w:rPr>
      </w:pPr>
      <w:r>
        <w:rPr>
          <w:rFonts w:hint="eastAsia" w:ascii="方正小标宋简体" w:eastAsia="方正小标宋简体"/>
          <w:sz w:val="72"/>
          <w:szCs w:val="72"/>
        </w:rPr>
        <w:t>部门决算表</w:t>
      </w:r>
    </w:p>
    <w:p w14:paraId="174F4B4D">
      <w:pPr>
        <w:jc w:val="center"/>
        <w:rPr>
          <w:sz w:val="72"/>
          <w:szCs w:val="72"/>
        </w:rPr>
      </w:pPr>
    </w:p>
    <w:p w14:paraId="449B8302">
      <w:pPr>
        <w:jc w:val="center"/>
        <w:rPr>
          <w:sz w:val="72"/>
          <w:szCs w:val="72"/>
        </w:rPr>
      </w:pPr>
    </w:p>
    <w:p w14:paraId="24D5E779">
      <w:pPr>
        <w:tabs>
          <w:tab w:val="left" w:pos="7560"/>
        </w:tabs>
        <w:adjustRightInd w:val="0"/>
        <w:snapToGrid w:val="0"/>
        <w:spacing w:line="560" w:lineRule="exact"/>
        <w:jc w:val="left"/>
        <w:rPr>
          <w:rFonts w:ascii="仿宋_GB2312" w:eastAsia="仿宋_GB2312"/>
          <w:sz w:val="28"/>
          <w:szCs w:val="28"/>
        </w:rPr>
        <w:sectPr>
          <w:footerReference r:id="rId3" w:type="default"/>
          <w:footerReference r:id="rId4" w:type="even"/>
          <w:pgSz w:w="11906" w:h="16838"/>
          <w:pgMar w:top="2098" w:right="1531" w:bottom="1985" w:left="1531" w:header="851" w:footer="1588" w:gutter="0"/>
          <w:cols w:space="720" w:num="1"/>
          <w:titlePg/>
          <w:docGrid w:linePitch="312" w:charSpace="0"/>
        </w:sectPr>
      </w:pPr>
    </w:p>
    <w:p w14:paraId="07CBFD05">
      <w:pPr>
        <w:jc w:val="center"/>
        <w:rPr>
          <w:rFonts w:hint="eastAsia" w:ascii="黑体" w:hAnsi="宋体" w:eastAsia="黑体" w:cs="黑体"/>
          <w:color w:val="000000"/>
          <w:kern w:val="0"/>
          <w:sz w:val="30"/>
          <w:szCs w:val="30"/>
        </w:rPr>
      </w:pPr>
      <w:r>
        <w:rPr>
          <w:rFonts w:hint="eastAsia" w:ascii="黑体" w:hAnsi="宋体" w:eastAsia="黑体" w:cs="黑体"/>
          <w:color w:val="000000"/>
          <w:kern w:val="0"/>
          <w:sz w:val="30"/>
          <w:szCs w:val="30"/>
        </w:rPr>
        <w:t>收入支出决算总表</w:t>
      </w:r>
    </w:p>
    <w:p w14:paraId="7C451803">
      <w:pPr>
        <w:widowControl/>
        <w:jc w:val="left"/>
        <w:rPr>
          <w:rFonts w:hint="eastAsia" w:ascii="黑体" w:hAnsi="宋体" w:eastAsia="黑体" w:cs="黑体"/>
          <w:color w:val="000000"/>
          <w:kern w:val="0"/>
          <w:sz w:val="30"/>
          <w:szCs w:val="30"/>
        </w:rPr>
      </w:pPr>
      <w:r>
        <w:rPr>
          <w:rFonts w:hint="eastAsia" w:eastAsia="仿宋_GB2312" w:cs="Times New Roman"/>
          <w:color w:val="000000"/>
          <w:kern w:val="0"/>
          <w:szCs w:val="21"/>
          <w:lang w:val="en-US" w:eastAsia="zh-CN"/>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公开0</w:t>
      </w:r>
      <w:r>
        <w:rPr>
          <w:rFonts w:hint="eastAsia" w:eastAsia="仿宋_GB2312" w:cs="Times New Roman"/>
          <w:color w:val="000000"/>
          <w:kern w:val="0"/>
          <w:szCs w:val="21"/>
          <w:lang w:val="en-US" w:eastAsia="zh-CN"/>
        </w:rPr>
        <w:t>1</w:t>
      </w:r>
      <w:r>
        <w:rPr>
          <w:rFonts w:ascii="Times New Roman" w:hAnsi="Times New Roman" w:eastAsia="仿宋_GB2312" w:cs="Times New Roman"/>
          <w:color w:val="000000"/>
          <w:kern w:val="0"/>
          <w:szCs w:val="21"/>
        </w:rPr>
        <w:t>表</w:t>
      </w: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单位：万元</w:t>
      </w:r>
      <w:r>
        <w:rPr>
          <w:rFonts w:hint="eastAsia" w:ascii="Times New Roman" w:hAnsi="Times New Roman" w:eastAsia="仿宋_GB2312" w:cs="Times New Roman"/>
          <w:color w:val="000000"/>
          <w:kern w:val="0"/>
          <w:szCs w:val="21"/>
        </w:rPr>
        <w:t xml:space="preserve">  </w:t>
      </w:r>
      <w:r>
        <w:rPr>
          <w:rFonts w:hint="eastAsia" w:ascii="黑体" w:hAnsi="宋体" w:eastAsia="黑体" w:cs="黑体"/>
          <w:color w:val="000000"/>
          <w:kern w:val="0"/>
          <w:sz w:val="30"/>
          <w:szCs w:val="30"/>
          <w:lang w:eastAsia="zh-CN"/>
        </w:rPr>
        <w:pict>
          <v:shape id="_x0000_i1025" o:spt="75" alt="总表" type="#_x0000_t75" style="height:334.25pt;width:671.35pt;" filled="f" o:preferrelative="t" stroked="f" coordsize="21600,21600">
            <v:path/>
            <v:fill on="f" focussize="0,0"/>
            <v:stroke on="f"/>
            <v:imagedata r:id="rId6" o:title="总表"/>
            <o:lock v:ext="edit" aspectratio="t"/>
            <w10:wrap type="none"/>
            <w10:anchorlock/>
          </v:shape>
        </w:pict>
      </w:r>
      <w:r>
        <w:rPr>
          <w:rFonts w:hint="eastAsia" w:eastAsia="仿宋_GB2312" w:cs="Times New Roman"/>
          <w:color w:val="000000"/>
          <w:kern w:val="0"/>
          <w:szCs w:val="21"/>
          <w:lang w:val="en-US" w:eastAsia="zh-CN"/>
        </w:rPr>
        <w:t xml:space="preserve">                                                              </w:t>
      </w:r>
      <w:r>
        <w:rPr>
          <w:rFonts w:hint="eastAsia" w:ascii="Times New Roman" w:hAnsi="Times New Roman" w:eastAsia="仿宋_GB2312" w:cs="Times New Roman"/>
          <w:color w:val="000000"/>
          <w:kern w:val="0"/>
          <w:szCs w:val="21"/>
        </w:rPr>
        <w:t xml:space="preserve">                                                                             </w:t>
      </w:r>
    </w:p>
    <w:p w14:paraId="7E2139E7">
      <w:pPr>
        <w:jc w:val="center"/>
        <w:rPr>
          <w:rFonts w:hint="eastAsia" w:ascii="黑体" w:hAnsi="宋体" w:eastAsia="黑体" w:cs="黑体"/>
          <w:color w:val="000000"/>
          <w:kern w:val="0"/>
          <w:sz w:val="30"/>
          <w:szCs w:val="30"/>
        </w:rPr>
        <w:sectPr>
          <w:pgSz w:w="16838" w:h="11906" w:orient="landscape"/>
          <w:pgMar w:top="1797" w:right="1440" w:bottom="1797" w:left="1440" w:header="851" w:footer="992" w:gutter="0"/>
          <w:cols w:space="720" w:num="1"/>
          <w:docGrid w:type="linesAndChars" w:linePitch="312" w:charSpace="0"/>
        </w:sectPr>
      </w:pPr>
    </w:p>
    <w:p w14:paraId="75038959">
      <w:pPr>
        <w:widowControl/>
        <w:jc w:val="left"/>
      </w:pPr>
    </w:p>
    <w:p w14:paraId="68502A34">
      <w:pPr>
        <w:widowControl/>
        <w:jc w:val="left"/>
      </w:pPr>
    </w:p>
    <w:p w14:paraId="237C7802">
      <w:pPr>
        <w:jc w:val="center"/>
        <w:rPr>
          <w:rFonts w:hint="eastAsia" w:ascii="黑体" w:hAnsi="宋体" w:eastAsia="黑体" w:cs="黑体"/>
          <w:color w:val="000000"/>
          <w:kern w:val="0"/>
          <w:sz w:val="30"/>
          <w:szCs w:val="30"/>
        </w:rPr>
      </w:pPr>
      <w:r>
        <w:rPr>
          <w:rFonts w:hint="eastAsia" w:ascii="黑体" w:hAnsi="宋体" w:eastAsia="黑体" w:cs="黑体"/>
          <w:color w:val="000000"/>
          <w:kern w:val="0"/>
          <w:sz w:val="30"/>
          <w:szCs w:val="30"/>
        </w:rPr>
        <w:t>收入决算表</w:t>
      </w:r>
    </w:p>
    <w:p w14:paraId="79A30B91">
      <w:pPr>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公开0</w:t>
      </w:r>
      <w:r>
        <w:rPr>
          <w:rFonts w:hint="eastAsia" w:eastAsia="仿宋_GB2312" w:cs="Times New Roman"/>
          <w:color w:val="000000"/>
          <w:kern w:val="0"/>
          <w:szCs w:val="21"/>
          <w:lang w:val="en-US" w:eastAsia="zh-CN"/>
        </w:rPr>
        <w:t>2</w:t>
      </w:r>
      <w:r>
        <w:rPr>
          <w:rFonts w:ascii="Times New Roman" w:hAnsi="Times New Roman" w:eastAsia="仿宋_GB2312" w:cs="Times New Roman"/>
          <w:color w:val="000000"/>
          <w:kern w:val="0"/>
          <w:szCs w:val="21"/>
        </w:rPr>
        <w:t>表</w:t>
      </w:r>
    </w:p>
    <w:p w14:paraId="65B373E7">
      <w:pPr>
        <w:jc w:val="left"/>
        <w:rPr>
          <w:rFonts w:hint="eastAsia" w:ascii="黑体" w:hAnsi="宋体" w:eastAsia="黑体" w:cs="黑体"/>
          <w:color w:val="000000"/>
          <w:kern w:val="0"/>
          <w:sz w:val="30"/>
          <w:szCs w:val="30"/>
        </w:rPr>
      </w:pP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单位：万元</w:t>
      </w:r>
      <w:r>
        <w:rPr>
          <w:rFonts w:hint="eastAsia" w:ascii="Times New Roman" w:hAnsi="Times New Roman" w:eastAsia="仿宋_GB2312" w:cs="Times New Roman"/>
          <w:color w:val="000000"/>
          <w:kern w:val="0"/>
          <w:szCs w:val="21"/>
        </w:rPr>
        <w:t xml:space="preserve">  </w:t>
      </w:r>
    </w:p>
    <w:p w14:paraId="1E05BD94">
      <w:pPr>
        <w:widowControl/>
        <w:jc w:val="center"/>
        <w:rPr>
          <w:rFonts w:ascii="Times New Roman" w:hAnsi="Times New Roman" w:eastAsia="黑体" w:cs="Times New Roman"/>
          <w:bCs/>
          <w:color w:val="000000"/>
          <w:kern w:val="0"/>
          <w:sz w:val="32"/>
          <w:szCs w:val="32"/>
        </w:rPr>
      </w:pPr>
      <w:r>
        <w:rPr>
          <w:rFonts w:ascii="Times New Roman" w:hAnsi="Times New Roman" w:eastAsia="黑体" w:cs="Times New Roman"/>
          <w:bCs/>
          <w:color w:val="000000"/>
          <w:kern w:val="0"/>
          <w:sz w:val="32"/>
          <w:szCs w:val="32"/>
        </w:rPr>
        <w:pict>
          <v:shape id="_x0000_i1026" o:spt="75" alt="收入决算表" type="#_x0000_t75" style="height:293.55pt;width:769.25pt;" filled="f" o:preferrelative="t" stroked="f" coordsize="21600,21600">
            <v:path/>
            <v:fill on="f" focussize="0,0"/>
            <v:stroke on="f"/>
            <v:imagedata r:id="rId7" o:title="收入决算表"/>
            <o:lock v:ext="edit" aspectratio="t"/>
            <w10:wrap type="none"/>
            <w10:anchorlock/>
          </v:shape>
        </w:pict>
      </w:r>
    </w:p>
    <w:p w14:paraId="20866031">
      <w:pPr>
        <w:widowControl/>
        <w:jc w:val="left"/>
        <w:rPr>
          <w:rFonts w:hint="eastAsia" w:ascii="黑体" w:hAnsi="黑体" w:eastAsia="黑体" w:cs="Arial"/>
          <w:color w:val="000000"/>
          <w:kern w:val="0"/>
          <w:sz w:val="30"/>
          <w:szCs w:val="30"/>
        </w:rPr>
      </w:pPr>
      <w:r>
        <w:rPr>
          <w:rFonts w:hint="eastAsia" w:ascii="宋体" w:hAnsi="宋体" w:eastAsia="宋体" w:cs="宋体"/>
          <w:color w:val="000000"/>
          <w:kern w:val="0"/>
          <w:sz w:val="20"/>
          <w:szCs w:val="20"/>
        </w:rPr>
        <w:t>注：本表反映部门本年度取得的各项收入情况。</w:t>
      </w:r>
      <w:r>
        <w:rPr>
          <w:rFonts w:ascii="Times New Roman" w:hAnsi="Times New Roman" w:eastAsia="黑体" w:cs="Times New Roman"/>
          <w:bCs/>
          <w:color w:val="000000"/>
          <w:kern w:val="0"/>
          <w:sz w:val="32"/>
          <w:szCs w:val="32"/>
        </w:rPr>
        <w:br w:type="page"/>
      </w:r>
      <w:r>
        <w:rPr>
          <w:rFonts w:hint="eastAsia" w:ascii="黑体" w:hAnsi="黑体" w:eastAsia="黑体" w:cs="Arial"/>
          <w:color w:val="000000"/>
          <w:kern w:val="0"/>
          <w:sz w:val="30"/>
          <w:szCs w:val="30"/>
        </w:rPr>
        <w:t>支出决算表</w:t>
      </w:r>
    </w:p>
    <w:p w14:paraId="00C479DD">
      <w:pPr>
        <w:jc w:val="center"/>
        <w:rPr>
          <w:rFonts w:ascii="Times New Roman" w:hAnsi="Times New Roman" w:eastAsia="仿宋_GB2312" w:cs="Times New Roman"/>
          <w:color w:val="000000"/>
          <w:kern w:val="0"/>
          <w:szCs w:val="21"/>
        </w:rPr>
      </w:pP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公开0</w:t>
      </w:r>
      <w:r>
        <w:rPr>
          <w:rFonts w:hint="eastAsia" w:eastAsia="仿宋_GB2312" w:cs="Times New Roman"/>
          <w:color w:val="000000"/>
          <w:kern w:val="0"/>
          <w:szCs w:val="21"/>
          <w:lang w:val="en-US" w:eastAsia="zh-CN"/>
        </w:rPr>
        <w:t>3</w:t>
      </w:r>
      <w:r>
        <w:rPr>
          <w:rFonts w:ascii="Times New Roman" w:hAnsi="Times New Roman" w:eastAsia="仿宋_GB2312" w:cs="Times New Roman"/>
          <w:color w:val="000000"/>
          <w:kern w:val="0"/>
          <w:szCs w:val="21"/>
        </w:rPr>
        <w:t>表</w:t>
      </w:r>
    </w:p>
    <w:p w14:paraId="30F89724">
      <w:pPr>
        <w:widowControl/>
        <w:jc w:val="center"/>
        <w:rPr>
          <w:rFonts w:hint="eastAsia" w:ascii="黑体" w:hAnsi="黑体" w:eastAsia="黑体" w:cs="Arial"/>
          <w:color w:val="000000"/>
          <w:kern w:val="0"/>
          <w:sz w:val="30"/>
          <w:szCs w:val="30"/>
        </w:rPr>
      </w:pP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单位：万元</w:t>
      </w:r>
    </w:p>
    <w:p w14:paraId="018F7A42">
      <w:pPr>
        <w:rPr>
          <w:color w:val="000000"/>
        </w:rPr>
      </w:pPr>
      <w:r>
        <w:rPr>
          <w:color w:val="000000"/>
        </w:rPr>
        <w:pict>
          <v:shape id="_x0000_i1027" o:spt="75" alt="支出决算表" type="#_x0000_t75" style="height:272.85pt;width:769.5pt;" filled="f" o:preferrelative="t" stroked="f" coordsize="21600,21600">
            <v:path/>
            <v:fill on="f" focussize="0,0"/>
            <v:stroke on="f"/>
            <v:imagedata r:id="rId8" o:title="支出决算表"/>
            <o:lock v:ext="edit" aspectratio="t"/>
            <w10:wrap type="none"/>
            <w10:anchorlock/>
          </v:shape>
        </w:pict>
      </w:r>
    </w:p>
    <w:p w14:paraId="35E7C5E7">
      <w:pPr>
        <w:rPr>
          <w:color w:val="000000"/>
        </w:rPr>
      </w:pPr>
      <w:r>
        <w:rPr>
          <w:rFonts w:hint="eastAsia" w:ascii="宋体" w:hAnsi="宋体" w:eastAsia="宋体" w:cs="Arial"/>
          <w:color w:val="000000"/>
          <w:kern w:val="0"/>
          <w:sz w:val="20"/>
          <w:szCs w:val="20"/>
        </w:rPr>
        <w:t>注：本表反映部门本年度各项支出情况。</w:t>
      </w:r>
      <w:r>
        <w:rPr>
          <w:color w:val="000000"/>
        </w:rPr>
        <w:br w:type="page"/>
      </w:r>
    </w:p>
    <w:p w14:paraId="5C0800C3">
      <w:pPr>
        <w:widowControl/>
        <w:jc w:val="center"/>
        <w:rPr>
          <w:rFonts w:ascii="Times New Roman" w:hAnsi="Times New Roman" w:eastAsia="方正小标宋_GBK" w:cs="Times New Roman"/>
          <w:color w:val="000000"/>
          <w:kern w:val="0"/>
          <w:sz w:val="36"/>
          <w:szCs w:val="36"/>
        </w:rPr>
      </w:pPr>
      <w:r>
        <w:rPr>
          <w:rFonts w:hint="eastAsia" w:ascii="黑体" w:hAnsi="宋体" w:eastAsia="黑体" w:cs="黑体"/>
          <w:color w:val="000000"/>
          <w:kern w:val="0"/>
          <w:sz w:val="30"/>
          <w:szCs w:val="30"/>
        </w:rPr>
        <w:t>财政拨款收入支出决算总表</w:t>
      </w:r>
    </w:p>
    <w:p w14:paraId="11C7743C">
      <w:pPr>
        <w:jc w:val="right"/>
        <w:rPr>
          <w:rFonts w:ascii="Times New Roman" w:hAnsi="Times New Roman" w:eastAsia="仿宋_GB2312" w:cs="Times New Roman"/>
          <w:color w:val="000000"/>
          <w:kern w:val="0"/>
          <w:szCs w:val="21"/>
        </w:rPr>
      </w:pP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公开0</w:t>
      </w:r>
      <w:r>
        <w:rPr>
          <w:rFonts w:hint="eastAsia" w:eastAsia="仿宋_GB2312" w:cs="Times New Roman"/>
          <w:color w:val="000000"/>
          <w:kern w:val="0"/>
          <w:szCs w:val="21"/>
          <w:lang w:val="en-US" w:eastAsia="zh-CN"/>
        </w:rPr>
        <w:t>4</w:t>
      </w:r>
      <w:r>
        <w:rPr>
          <w:rFonts w:ascii="Times New Roman" w:hAnsi="Times New Roman" w:eastAsia="仿宋_GB2312" w:cs="Times New Roman"/>
          <w:color w:val="000000"/>
          <w:kern w:val="0"/>
          <w:szCs w:val="21"/>
        </w:rPr>
        <w:t>表</w:t>
      </w:r>
    </w:p>
    <w:p w14:paraId="27648C82">
      <w:pPr>
        <w:widowControl/>
        <w:jc w:val="center"/>
        <w:rPr>
          <w:rFonts w:ascii="Times New Roman" w:hAnsi="Times New Roman" w:eastAsia="方正小标宋_GBK" w:cs="Times New Roman"/>
          <w:color w:val="000000"/>
          <w:kern w:val="0"/>
          <w:sz w:val="36"/>
          <w:szCs w:val="21"/>
        </w:rPr>
      </w:pP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单位：万元</w:t>
      </w:r>
    </w:p>
    <w:p w14:paraId="26C8734B">
      <w:pPr>
        <w:widowControl/>
        <w:ind w:left="93"/>
        <w:jc w:val="center"/>
        <w:rPr>
          <w:rFonts w:hint="eastAsia" w:ascii="Times New Roman" w:hAnsi="Times New Roman" w:eastAsia="方正小标宋_GBK" w:cs="Times New Roman"/>
          <w:color w:val="000000"/>
          <w:kern w:val="0"/>
          <w:sz w:val="36"/>
          <w:szCs w:val="21"/>
          <w:lang w:eastAsia="zh-CN"/>
        </w:rPr>
      </w:pPr>
      <w:r>
        <w:rPr>
          <w:rFonts w:hint="eastAsia" w:ascii="Times New Roman" w:hAnsi="Times New Roman" w:eastAsia="方正小标宋_GBK" w:cs="Times New Roman"/>
          <w:color w:val="000000"/>
          <w:kern w:val="0"/>
          <w:sz w:val="36"/>
          <w:szCs w:val="21"/>
          <w:lang w:eastAsia="zh-CN"/>
        </w:rPr>
        <w:pict>
          <v:shape id="_x0000_i1028" o:spt="75" alt="总" type="#_x0000_t75" style="height:205.45pt;width:769.55pt;" filled="f" o:preferrelative="t" stroked="f" coordsize="21600,21600">
            <v:path/>
            <v:fill on="f" focussize="0,0"/>
            <v:stroke on="f"/>
            <v:imagedata r:id="rId9" o:title="总"/>
            <o:lock v:ext="edit" aspectratio="t"/>
            <w10:wrap type="none"/>
            <w10:anchorlock/>
          </v:shape>
        </w:pict>
      </w:r>
    </w:p>
    <w:p w14:paraId="28CD27DD">
      <w:pPr>
        <w:widowControl/>
        <w:ind w:left="93"/>
        <w:jc w:val="left"/>
        <w:rPr>
          <w:rFonts w:hint="eastAsia" w:ascii="Times New Roman" w:hAnsi="Times New Roman" w:eastAsia="宋体" w:cs="Times New Roman"/>
          <w:color w:val="000000"/>
          <w:kern w:val="0"/>
          <w:sz w:val="36"/>
          <w:szCs w:val="21"/>
          <w:lang w:eastAsia="zh-CN"/>
        </w:rPr>
      </w:pPr>
      <w:r>
        <w:rPr>
          <w:rFonts w:hint="eastAsia" w:ascii="宋体" w:hAnsi="宋体" w:eastAsia="宋体" w:cs="宋体"/>
          <w:color w:val="000000"/>
          <w:kern w:val="0"/>
          <w:sz w:val="20"/>
          <w:szCs w:val="20"/>
        </w:rPr>
        <w:t>注：本表反映部门本年度一般公共预算财政拨款、政府性基金预算财政拨款和国有资本经营预算财政拨款的总收支和年末结转结余情况</w:t>
      </w:r>
      <w:r>
        <w:rPr>
          <w:rFonts w:hint="eastAsia" w:ascii="宋体" w:hAnsi="宋体" w:cs="宋体"/>
          <w:color w:val="000000"/>
          <w:kern w:val="0"/>
          <w:sz w:val="20"/>
          <w:szCs w:val="20"/>
          <w:lang w:eastAsia="zh-CN"/>
        </w:rPr>
        <w:t>。</w:t>
      </w:r>
    </w:p>
    <w:p w14:paraId="130A5DF0">
      <w:pPr>
        <w:widowControl/>
        <w:ind w:left="93"/>
        <w:jc w:val="center"/>
        <w:rPr>
          <w:rFonts w:ascii="Times New Roman" w:hAnsi="Times New Roman" w:eastAsia="方正小标宋_GBK" w:cs="Times New Roman"/>
          <w:color w:val="000000"/>
          <w:kern w:val="0"/>
          <w:sz w:val="36"/>
          <w:szCs w:val="21"/>
        </w:rPr>
      </w:pPr>
    </w:p>
    <w:p w14:paraId="6D2FB268">
      <w:pPr>
        <w:widowControl/>
        <w:ind w:left="93"/>
        <w:jc w:val="center"/>
        <w:rPr>
          <w:rFonts w:ascii="Times New Roman" w:hAnsi="Times New Roman" w:eastAsia="方正小标宋_GBK" w:cs="Times New Roman"/>
          <w:color w:val="000000"/>
          <w:kern w:val="0"/>
          <w:sz w:val="36"/>
          <w:szCs w:val="21"/>
        </w:rPr>
      </w:pPr>
    </w:p>
    <w:p w14:paraId="72B43B9D">
      <w:pPr>
        <w:widowControl/>
        <w:ind w:left="93"/>
        <w:jc w:val="center"/>
        <w:rPr>
          <w:rFonts w:ascii="Times New Roman" w:hAnsi="Times New Roman" w:eastAsia="方正小标宋_GBK" w:cs="Times New Roman"/>
          <w:color w:val="000000"/>
          <w:kern w:val="0"/>
          <w:sz w:val="36"/>
          <w:szCs w:val="21"/>
        </w:rPr>
      </w:pPr>
    </w:p>
    <w:p w14:paraId="22A125F7">
      <w:pPr>
        <w:widowControl/>
        <w:ind w:left="93"/>
        <w:jc w:val="center"/>
        <w:rPr>
          <w:rFonts w:ascii="Times New Roman" w:hAnsi="Times New Roman" w:eastAsia="方正小标宋_GBK" w:cs="Times New Roman"/>
          <w:color w:val="000000"/>
          <w:kern w:val="0"/>
          <w:sz w:val="36"/>
          <w:szCs w:val="21"/>
        </w:rPr>
      </w:pPr>
    </w:p>
    <w:p w14:paraId="66ED2A24">
      <w:pPr>
        <w:widowControl/>
        <w:ind w:left="93"/>
        <w:jc w:val="center"/>
        <w:rPr>
          <w:rFonts w:ascii="Times New Roman" w:hAnsi="Times New Roman" w:eastAsia="方正小标宋_GBK" w:cs="Times New Roman"/>
          <w:color w:val="000000"/>
          <w:kern w:val="0"/>
          <w:sz w:val="36"/>
          <w:szCs w:val="21"/>
        </w:rPr>
      </w:pPr>
    </w:p>
    <w:p w14:paraId="1E486FFA">
      <w:pPr>
        <w:widowControl/>
        <w:ind w:left="93"/>
        <w:jc w:val="center"/>
        <w:rPr>
          <w:rFonts w:ascii="Times New Roman" w:hAnsi="Times New Roman" w:eastAsia="方正小标宋_GBK" w:cs="Times New Roman"/>
          <w:color w:val="000000"/>
          <w:kern w:val="0"/>
          <w:sz w:val="36"/>
          <w:szCs w:val="21"/>
        </w:rPr>
      </w:pPr>
    </w:p>
    <w:p w14:paraId="071C4366">
      <w:pPr>
        <w:widowControl/>
        <w:ind w:left="93"/>
        <w:jc w:val="center"/>
        <w:rPr>
          <w:rFonts w:hint="eastAsia" w:ascii="黑体" w:hAnsi="宋体" w:eastAsia="黑体" w:cs="黑体"/>
          <w:color w:val="000000"/>
          <w:kern w:val="0"/>
          <w:sz w:val="30"/>
          <w:szCs w:val="30"/>
        </w:rPr>
      </w:pPr>
    </w:p>
    <w:p w14:paraId="6C1F96EA">
      <w:pPr>
        <w:widowControl/>
        <w:ind w:left="93"/>
        <w:jc w:val="center"/>
        <w:rPr>
          <w:rFonts w:hint="eastAsia" w:ascii="黑体" w:hAnsi="宋体" w:eastAsia="黑体" w:cs="黑体"/>
          <w:color w:val="000000"/>
          <w:kern w:val="0"/>
          <w:sz w:val="30"/>
          <w:szCs w:val="30"/>
        </w:rPr>
      </w:pPr>
      <w:r>
        <w:rPr>
          <w:rFonts w:hint="eastAsia" w:ascii="黑体" w:hAnsi="宋体" w:eastAsia="黑体" w:cs="黑体"/>
          <w:color w:val="000000"/>
          <w:kern w:val="0"/>
          <w:sz w:val="30"/>
          <w:szCs w:val="30"/>
        </w:rPr>
        <w:t>一般公共预算财政拨款支出决算表</w:t>
      </w:r>
    </w:p>
    <w:p w14:paraId="3E47744D">
      <w:pPr>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公开0</w:t>
      </w:r>
      <w:r>
        <w:rPr>
          <w:rFonts w:hint="eastAsia" w:eastAsia="仿宋_GB2312" w:cs="Times New Roman"/>
          <w:color w:val="000000"/>
          <w:kern w:val="0"/>
          <w:szCs w:val="21"/>
          <w:lang w:val="en-US" w:eastAsia="zh-CN"/>
        </w:rPr>
        <w:t>5</w:t>
      </w:r>
      <w:r>
        <w:rPr>
          <w:rFonts w:ascii="Times New Roman" w:hAnsi="Times New Roman" w:eastAsia="仿宋_GB2312" w:cs="Times New Roman"/>
          <w:color w:val="000000"/>
          <w:kern w:val="0"/>
          <w:szCs w:val="21"/>
        </w:rPr>
        <w:t>表</w:t>
      </w:r>
    </w:p>
    <w:p w14:paraId="622F8555">
      <w:pPr>
        <w:widowControl/>
        <w:jc w:val="center"/>
        <w:rPr>
          <w:rFonts w:hint="eastAsia" w:ascii="黑体" w:hAnsi="宋体" w:eastAsia="黑体" w:cs="黑体"/>
          <w:color w:val="000000"/>
          <w:kern w:val="0"/>
          <w:sz w:val="30"/>
          <w:szCs w:val="30"/>
        </w:rPr>
      </w:pP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单位：万元</w:t>
      </w:r>
    </w:p>
    <w:p w14:paraId="195EA448">
      <w:pPr>
        <w:widowControl/>
        <w:ind w:left="93"/>
        <w:jc w:val="center"/>
        <w:rPr>
          <w:rFonts w:hint="eastAsia" w:ascii="Times New Roman" w:hAnsi="Times New Roman" w:eastAsia="方正小标宋_GBK" w:cs="Times New Roman"/>
          <w:color w:val="000000"/>
          <w:kern w:val="0"/>
          <w:sz w:val="36"/>
          <w:szCs w:val="21"/>
          <w:lang w:eastAsia="zh-CN"/>
        </w:rPr>
      </w:pPr>
      <w:r>
        <w:rPr>
          <w:rFonts w:hint="eastAsia" w:ascii="Times New Roman" w:hAnsi="Times New Roman" w:eastAsia="方正小标宋_GBK" w:cs="Times New Roman"/>
          <w:color w:val="000000"/>
          <w:kern w:val="0"/>
          <w:sz w:val="36"/>
          <w:szCs w:val="21"/>
          <w:lang w:eastAsia="zh-CN"/>
        </w:rPr>
        <w:pict>
          <v:shape id="_x0000_i1029" o:spt="75" alt="1" type="#_x0000_t75" style="height:127.15pt;width:771.65pt;" filled="f" o:preferrelative="t" stroked="f" coordsize="21600,21600">
            <v:path/>
            <v:fill on="f" focussize="0,0"/>
            <v:stroke on="f"/>
            <v:imagedata r:id="rId10" o:title="1"/>
            <o:lock v:ext="edit" aspectratio="t"/>
            <w10:wrap type="none"/>
            <w10:anchorlock/>
          </v:shape>
        </w:pict>
      </w:r>
    </w:p>
    <w:p w14:paraId="7634EE4F">
      <w:pPr>
        <w:widowControl/>
        <w:jc w:val="both"/>
        <w:rPr>
          <w:rFonts w:ascii="Times New Roman" w:hAnsi="Times New Roman" w:eastAsia="方正小标宋_GBK" w:cs="Times New Roman"/>
          <w:color w:val="000000"/>
          <w:kern w:val="0"/>
          <w:sz w:val="36"/>
          <w:szCs w:val="21"/>
        </w:rPr>
      </w:pPr>
      <w:r>
        <w:rPr>
          <w:rFonts w:hint="eastAsia" w:ascii="宋体" w:hAnsi="宋体" w:eastAsia="宋体" w:cs="宋体"/>
          <w:color w:val="000000"/>
          <w:kern w:val="0"/>
          <w:sz w:val="20"/>
          <w:szCs w:val="20"/>
        </w:rPr>
        <w:t>注：本表反映部门本年度一般公共预算财政拨款支出情况。</w:t>
      </w:r>
    </w:p>
    <w:p w14:paraId="189070DC">
      <w:pPr>
        <w:widowControl/>
        <w:jc w:val="both"/>
        <w:rPr>
          <w:rFonts w:ascii="Times New Roman" w:hAnsi="Times New Roman" w:eastAsia="方正小标宋_GBK" w:cs="Times New Roman"/>
          <w:color w:val="000000"/>
          <w:kern w:val="0"/>
          <w:sz w:val="36"/>
          <w:szCs w:val="21"/>
        </w:rPr>
      </w:pPr>
    </w:p>
    <w:p w14:paraId="7282246C">
      <w:pPr>
        <w:widowControl/>
        <w:jc w:val="both"/>
        <w:rPr>
          <w:rFonts w:ascii="Times New Roman" w:hAnsi="Times New Roman" w:eastAsia="方正小标宋_GBK" w:cs="Times New Roman"/>
          <w:color w:val="000000"/>
          <w:kern w:val="0"/>
          <w:sz w:val="36"/>
          <w:szCs w:val="21"/>
        </w:rPr>
      </w:pPr>
    </w:p>
    <w:p w14:paraId="6D6A9CAA">
      <w:pPr>
        <w:widowControl/>
        <w:jc w:val="both"/>
        <w:rPr>
          <w:rFonts w:ascii="Times New Roman" w:hAnsi="Times New Roman" w:eastAsia="方正小标宋_GBK" w:cs="Times New Roman"/>
          <w:color w:val="000000"/>
          <w:kern w:val="0"/>
          <w:sz w:val="36"/>
          <w:szCs w:val="21"/>
        </w:rPr>
      </w:pPr>
    </w:p>
    <w:p w14:paraId="072A37A6">
      <w:pPr>
        <w:widowControl/>
        <w:jc w:val="both"/>
        <w:rPr>
          <w:rFonts w:ascii="Times New Roman" w:hAnsi="Times New Roman" w:eastAsia="方正小标宋_GBK" w:cs="Times New Roman"/>
          <w:color w:val="000000"/>
          <w:kern w:val="0"/>
          <w:sz w:val="36"/>
          <w:szCs w:val="21"/>
        </w:rPr>
      </w:pPr>
    </w:p>
    <w:p w14:paraId="7514A437">
      <w:pPr>
        <w:widowControl/>
        <w:jc w:val="both"/>
        <w:rPr>
          <w:rFonts w:ascii="Times New Roman" w:hAnsi="Times New Roman" w:eastAsia="方正小标宋_GBK" w:cs="Times New Roman"/>
          <w:color w:val="000000"/>
          <w:kern w:val="0"/>
          <w:sz w:val="36"/>
          <w:szCs w:val="21"/>
        </w:rPr>
      </w:pPr>
    </w:p>
    <w:p w14:paraId="06161B74">
      <w:pPr>
        <w:widowControl/>
        <w:jc w:val="both"/>
        <w:rPr>
          <w:rFonts w:ascii="Times New Roman" w:hAnsi="Times New Roman" w:eastAsia="方正小标宋_GBK" w:cs="Times New Roman"/>
          <w:color w:val="000000"/>
          <w:kern w:val="0"/>
          <w:sz w:val="36"/>
          <w:szCs w:val="21"/>
        </w:rPr>
      </w:pPr>
    </w:p>
    <w:p w14:paraId="27C525C4">
      <w:pPr>
        <w:widowControl/>
        <w:jc w:val="both"/>
        <w:rPr>
          <w:rFonts w:ascii="Times New Roman" w:hAnsi="Times New Roman" w:eastAsia="方正小标宋_GBK" w:cs="Times New Roman"/>
          <w:color w:val="000000"/>
          <w:kern w:val="0"/>
          <w:sz w:val="36"/>
          <w:szCs w:val="21"/>
        </w:rPr>
      </w:pPr>
    </w:p>
    <w:p w14:paraId="1F543D0C">
      <w:pPr>
        <w:jc w:val="both"/>
        <w:rPr>
          <w:rFonts w:hint="eastAsia" w:ascii="黑体" w:hAnsi="宋体" w:eastAsia="黑体" w:cs="黑体"/>
          <w:color w:val="000000"/>
          <w:kern w:val="0"/>
          <w:sz w:val="30"/>
          <w:szCs w:val="30"/>
        </w:rPr>
      </w:pPr>
    </w:p>
    <w:p w14:paraId="457CFE7C">
      <w:pPr>
        <w:jc w:val="center"/>
        <w:rPr>
          <w:rFonts w:hint="eastAsia" w:ascii="黑体" w:hAnsi="宋体" w:eastAsia="黑体" w:cs="黑体"/>
          <w:color w:val="000000"/>
          <w:kern w:val="0"/>
          <w:sz w:val="30"/>
          <w:szCs w:val="30"/>
        </w:rPr>
      </w:pPr>
      <w:r>
        <w:rPr>
          <w:rFonts w:hint="eastAsia" w:ascii="黑体" w:hAnsi="宋体" w:eastAsia="黑体" w:cs="黑体"/>
          <w:color w:val="000000"/>
          <w:kern w:val="0"/>
          <w:sz w:val="30"/>
          <w:szCs w:val="30"/>
        </w:rPr>
        <w:t>一般公共预算财政拨款基本支出决算表</w:t>
      </w:r>
    </w:p>
    <w:p w14:paraId="3D5362CE">
      <w:pPr>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公开0</w:t>
      </w:r>
      <w:r>
        <w:rPr>
          <w:rFonts w:hint="eastAsia" w:eastAsia="仿宋_GB2312" w:cs="Times New Roman"/>
          <w:color w:val="000000"/>
          <w:kern w:val="0"/>
          <w:szCs w:val="21"/>
          <w:lang w:val="en-US" w:eastAsia="zh-CN"/>
        </w:rPr>
        <w:t>6</w:t>
      </w:r>
      <w:r>
        <w:rPr>
          <w:rFonts w:ascii="Times New Roman" w:hAnsi="Times New Roman" w:eastAsia="仿宋_GB2312" w:cs="Times New Roman"/>
          <w:color w:val="000000"/>
          <w:kern w:val="0"/>
          <w:szCs w:val="21"/>
        </w:rPr>
        <w:t>表</w:t>
      </w:r>
    </w:p>
    <w:p w14:paraId="1A71F015">
      <w:pPr>
        <w:jc w:val="center"/>
        <w:rPr>
          <w:rFonts w:hint="eastAsia" w:ascii="黑体" w:hAnsi="宋体" w:eastAsia="黑体" w:cs="黑体"/>
          <w:color w:val="000000"/>
          <w:kern w:val="0"/>
          <w:sz w:val="30"/>
          <w:szCs w:val="30"/>
        </w:rPr>
      </w:pP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hint="eastAsia" w:eastAsia="仿宋_GB2312" w:cs="Times New Roman"/>
          <w:color w:val="000000"/>
          <w:kern w:val="0"/>
          <w:szCs w:val="21"/>
          <w:lang w:val="en-US" w:eastAsia="zh-CN"/>
        </w:rPr>
        <w:t xml:space="preserve">                                                                                 </w:t>
      </w:r>
      <w:r>
        <w:rPr>
          <w:rFonts w:ascii="Times New Roman" w:hAnsi="Times New Roman" w:eastAsia="仿宋_GB2312" w:cs="Times New Roman"/>
          <w:color w:val="000000"/>
          <w:kern w:val="0"/>
          <w:szCs w:val="21"/>
        </w:rPr>
        <w:t>单位：万元</w:t>
      </w:r>
    </w:p>
    <w:p w14:paraId="3101FBD0">
      <w:pPr>
        <w:widowControl/>
        <w:ind w:left="93"/>
        <w:jc w:val="center"/>
        <w:rPr>
          <w:rFonts w:hint="eastAsia" w:ascii="Times New Roman" w:hAnsi="Times New Roman" w:eastAsia="方正小标宋_GBK" w:cs="Times New Roman"/>
          <w:color w:val="000000"/>
          <w:kern w:val="0"/>
          <w:sz w:val="36"/>
          <w:szCs w:val="21"/>
          <w:lang w:eastAsia="zh-CN"/>
        </w:rPr>
      </w:pPr>
      <w:r>
        <w:rPr>
          <w:rFonts w:hint="eastAsia" w:ascii="Times New Roman" w:hAnsi="Times New Roman" w:eastAsia="方正小标宋_GBK" w:cs="Times New Roman"/>
          <w:color w:val="000000"/>
          <w:kern w:val="0"/>
          <w:sz w:val="36"/>
          <w:szCs w:val="21"/>
          <w:lang w:eastAsia="zh-CN"/>
        </w:rPr>
        <w:pict>
          <v:shape id="_x0000_i1030" o:spt="75" alt="支出决算明细表" type="#_x0000_t75" style="height:65.5pt;width:768.7pt;" filled="f" o:preferrelative="t" stroked="f" coordsize="21600,21600">
            <v:path/>
            <v:fill on="f" focussize="0,0"/>
            <v:stroke on="f"/>
            <v:imagedata r:id="rId11" o:title="支出决算明细表"/>
            <o:lock v:ext="edit" aspectratio="t"/>
            <w10:wrap type="none"/>
            <w10:anchorlock/>
          </v:shape>
        </w:pict>
      </w:r>
    </w:p>
    <w:p w14:paraId="32DDC3C4">
      <w:pPr>
        <w:widowControl/>
        <w:ind w:left="93"/>
        <w:jc w:val="left"/>
        <w:rPr>
          <w:rFonts w:ascii="Times New Roman" w:hAnsi="Times New Roman" w:eastAsia="方正小标宋_GBK" w:cs="Times New Roman"/>
          <w:color w:val="000000"/>
          <w:kern w:val="0"/>
          <w:sz w:val="36"/>
          <w:szCs w:val="21"/>
        </w:rPr>
      </w:pPr>
      <w:r>
        <w:rPr>
          <w:rFonts w:hint="eastAsia" w:ascii="宋体" w:hAnsi="宋体" w:eastAsia="宋体" w:cs="宋体"/>
          <w:color w:val="000000"/>
          <w:kern w:val="0"/>
          <w:sz w:val="20"/>
          <w:szCs w:val="20"/>
        </w:rPr>
        <w:t>注：本表反映部门本年度一般公共预算财政拨款基本支出明细情况。</w:t>
      </w:r>
    </w:p>
    <w:p w14:paraId="4B71A451">
      <w:pPr>
        <w:widowControl/>
        <w:ind w:left="93"/>
        <w:jc w:val="center"/>
        <w:rPr>
          <w:rFonts w:ascii="Times New Roman" w:hAnsi="Times New Roman" w:eastAsia="方正小标宋_GBK" w:cs="Times New Roman"/>
          <w:color w:val="000000"/>
          <w:kern w:val="0"/>
          <w:sz w:val="36"/>
          <w:szCs w:val="21"/>
        </w:rPr>
      </w:pPr>
    </w:p>
    <w:p w14:paraId="4E1B4806">
      <w:pPr>
        <w:widowControl/>
        <w:ind w:left="93"/>
        <w:jc w:val="center"/>
        <w:rPr>
          <w:rFonts w:ascii="Times New Roman" w:hAnsi="Times New Roman" w:eastAsia="方正小标宋_GBK" w:cs="Times New Roman"/>
          <w:color w:val="000000"/>
          <w:kern w:val="0"/>
          <w:sz w:val="36"/>
          <w:szCs w:val="21"/>
        </w:rPr>
      </w:pPr>
    </w:p>
    <w:p w14:paraId="4CF5BB87">
      <w:pPr>
        <w:widowControl/>
        <w:ind w:left="93"/>
        <w:jc w:val="center"/>
        <w:rPr>
          <w:rFonts w:ascii="Times New Roman" w:hAnsi="Times New Roman" w:eastAsia="方正小标宋_GBK" w:cs="Times New Roman"/>
          <w:color w:val="000000"/>
          <w:kern w:val="0"/>
          <w:sz w:val="36"/>
          <w:szCs w:val="21"/>
        </w:rPr>
      </w:pPr>
    </w:p>
    <w:p w14:paraId="3CA01720">
      <w:pPr>
        <w:widowControl/>
        <w:ind w:left="93"/>
        <w:jc w:val="center"/>
        <w:rPr>
          <w:rFonts w:ascii="Times New Roman" w:hAnsi="Times New Roman" w:eastAsia="方正小标宋_GBK" w:cs="Times New Roman"/>
          <w:color w:val="000000"/>
          <w:kern w:val="0"/>
          <w:sz w:val="36"/>
          <w:szCs w:val="21"/>
        </w:rPr>
      </w:pPr>
    </w:p>
    <w:p w14:paraId="0C6BB445">
      <w:pPr>
        <w:widowControl/>
        <w:ind w:left="93"/>
        <w:jc w:val="center"/>
        <w:rPr>
          <w:rFonts w:ascii="Times New Roman" w:hAnsi="Times New Roman" w:eastAsia="方正小标宋_GBK" w:cs="Times New Roman"/>
          <w:color w:val="000000"/>
          <w:kern w:val="0"/>
          <w:sz w:val="36"/>
          <w:szCs w:val="21"/>
        </w:rPr>
      </w:pPr>
    </w:p>
    <w:p w14:paraId="7F9AEA08">
      <w:pPr>
        <w:widowControl/>
        <w:ind w:left="93"/>
        <w:jc w:val="center"/>
        <w:rPr>
          <w:rFonts w:ascii="Times New Roman" w:hAnsi="Times New Roman" w:eastAsia="方正小标宋_GBK" w:cs="Times New Roman"/>
          <w:color w:val="000000"/>
          <w:kern w:val="0"/>
          <w:sz w:val="36"/>
          <w:szCs w:val="21"/>
        </w:rPr>
      </w:pPr>
    </w:p>
    <w:p w14:paraId="71006500">
      <w:pPr>
        <w:widowControl/>
        <w:ind w:left="93"/>
        <w:jc w:val="center"/>
        <w:rPr>
          <w:rFonts w:ascii="Times New Roman" w:hAnsi="Times New Roman" w:eastAsia="方正小标宋_GBK" w:cs="Times New Roman"/>
          <w:color w:val="000000"/>
          <w:kern w:val="0"/>
          <w:sz w:val="36"/>
          <w:szCs w:val="21"/>
        </w:rPr>
      </w:pPr>
    </w:p>
    <w:p w14:paraId="581005E5">
      <w:pPr>
        <w:widowControl/>
        <w:ind w:left="93"/>
        <w:jc w:val="center"/>
        <w:rPr>
          <w:rFonts w:ascii="Times New Roman" w:hAnsi="Times New Roman" w:eastAsia="方正小标宋_GBK" w:cs="Times New Roman"/>
          <w:color w:val="000000"/>
          <w:kern w:val="0"/>
          <w:sz w:val="36"/>
          <w:szCs w:val="21"/>
        </w:rPr>
      </w:pPr>
    </w:p>
    <w:p w14:paraId="6A8E1D4D">
      <w:pPr>
        <w:widowControl/>
        <w:ind w:left="93"/>
        <w:jc w:val="center"/>
        <w:rPr>
          <w:rFonts w:ascii="Times New Roman" w:hAnsi="Times New Roman" w:eastAsia="方正小标宋_GBK" w:cs="Times New Roman"/>
          <w:color w:val="000000"/>
          <w:kern w:val="0"/>
          <w:sz w:val="36"/>
          <w:szCs w:val="21"/>
        </w:rPr>
      </w:pPr>
    </w:p>
    <w:p w14:paraId="5E5839B8">
      <w:pPr>
        <w:widowControl/>
        <w:ind w:left="93"/>
        <w:jc w:val="center"/>
        <w:rPr>
          <w:rFonts w:ascii="Times New Roman" w:hAnsi="Times New Roman" w:eastAsia="方正小标宋_GBK" w:cs="Times New Roman"/>
          <w:color w:val="000000"/>
          <w:kern w:val="0"/>
          <w:sz w:val="36"/>
          <w:szCs w:val="21"/>
        </w:rPr>
      </w:pPr>
    </w:p>
    <w:p w14:paraId="03170745">
      <w:pPr>
        <w:widowControl/>
        <w:rPr>
          <w:rFonts w:ascii="Times New Roman" w:hAnsi="Times New Roman" w:eastAsia="方正小标宋_GBK" w:cs="Times New Roman"/>
          <w:color w:val="000000"/>
          <w:kern w:val="0"/>
          <w:sz w:val="36"/>
          <w:szCs w:val="36"/>
        </w:rPr>
      </w:pPr>
      <w:bookmarkStart w:id="0" w:name="RANGE!A1:I22"/>
      <w:bookmarkEnd w:id="0"/>
      <w:bookmarkStart w:id="1" w:name="RANGE!A1:F16"/>
    </w:p>
    <w:bookmarkEnd w:id="1"/>
    <w:p w14:paraId="6A6A9527">
      <w:pPr>
        <w:widowControl/>
        <w:jc w:val="center"/>
        <w:rPr>
          <w:rFonts w:ascii="Times New Roman" w:hAnsi="Times New Roman" w:eastAsia="方正小标宋_GBK" w:cs="Times New Roman"/>
          <w:color w:val="000000"/>
          <w:kern w:val="0"/>
          <w:sz w:val="36"/>
          <w:szCs w:val="36"/>
        </w:rPr>
      </w:pPr>
      <w:r>
        <w:rPr>
          <w:rFonts w:hint="eastAsia" w:ascii="Times New Roman" w:hAnsi="Times New Roman" w:eastAsia="方正小标宋_GBK" w:cs="Times New Roman"/>
          <w:color w:val="000000"/>
          <w:kern w:val="0"/>
          <w:sz w:val="36"/>
          <w:szCs w:val="36"/>
        </w:rPr>
        <w:t>一般公共预算财政拨款“三公”经费支出决算表</w:t>
      </w:r>
    </w:p>
    <w:p w14:paraId="508948CC">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公开0</w:t>
      </w:r>
      <w:r>
        <w:rPr>
          <w:rFonts w:hint="eastAsia" w:ascii="Times New Roman" w:hAnsi="Times New Roman" w:eastAsia="仿宋_GB2312" w:cs="Times New Roman"/>
          <w:color w:val="000000"/>
          <w:kern w:val="0"/>
          <w:szCs w:val="21"/>
        </w:rPr>
        <w:t>7</w:t>
      </w:r>
      <w:r>
        <w:rPr>
          <w:rFonts w:ascii="Times New Roman" w:hAnsi="Times New Roman" w:eastAsia="仿宋_GB2312" w:cs="Times New Roman"/>
          <w:color w:val="000000"/>
          <w:kern w:val="0"/>
          <w:szCs w:val="21"/>
        </w:rPr>
        <w:t>表</w:t>
      </w:r>
    </w:p>
    <w:p w14:paraId="27A8808A">
      <w:pPr>
        <w:widowControl/>
        <w:ind w:right="42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单位：万元</w:t>
      </w:r>
    </w:p>
    <w:tbl>
      <w:tblPr>
        <w:tblStyle w:val="11"/>
        <w:tblW w:w="15414" w:type="dxa"/>
        <w:jc w:val="center"/>
        <w:tblLayout w:type="fixed"/>
        <w:tblCellMar>
          <w:top w:w="0" w:type="dxa"/>
          <w:left w:w="108" w:type="dxa"/>
          <w:bottom w:w="0" w:type="dxa"/>
          <w:right w:w="108" w:type="dxa"/>
        </w:tblCellMar>
      </w:tblPr>
      <w:tblGrid>
        <w:gridCol w:w="1284"/>
        <w:gridCol w:w="1284"/>
        <w:gridCol w:w="1284"/>
        <w:gridCol w:w="1284"/>
        <w:gridCol w:w="1284"/>
        <w:gridCol w:w="1284"/>
        <w:gridCol w:w="1285"/>
        <w:gridCol w:w="1285"/>
        <w:gridCol w:w="1285"/>
        <w:gridCol w:w="1285"/>
        <w:gridCol w:w="1285"/>
        <w:gridCol w:w="1285"/>
      </w:tblGrid>
      <w:tr w14:paraId="700101AA">
        <w:tblPrEx>
          <w:tblCellMar>
            <w:top w:w="0" w:type="dxa"/>
            <w:left w:w="108" w:type="dxa"/>
            <w:bottom w:w="0" w:type="dxa"/>
            <w:right w:w="108" w:type="dxa"/>
          </w:tblCellMar>
        </w:tblPrEx>
        <w:trPr>
          <w:trHeight w:val="397" w:hRule="atLeast"/>
          <w:jc w:val="center"/>
        </w:trPr>
        <w:tc>
          <w:tcPr>
            <w:tcW w:w="7704" w:type="dxa"/>
            <w:gridSpan w:val="6"/>
            <w:tcBorders>
              <w:top w:val="single" w:color="auto" w:sz="8" w:space="0"/>
              <w:left w:val="single" w:color="auto" w:sz="8" w:space="0"/>
              <w:bottom w:val="single" w:color="auto" w:sz="4" w:space="0"/>
              <w:right w:val="single" w:color="000000" w:sz="4" w:space="0"/>
            </w:tcBorders>
            <w:noWrap w:val="0"/>
            <w:vAlign w:val="center"/>
          </w:tcPr>
          <w:p w14:paraId="56453AB5">
            <w:pPr>
              <w:widowControl/>
              <w:jc w:val="center"/>
              <w:rPr>
                <w:rFonts w:ascii="宋体" w:hAnsi="宋体" w:cs="Times New Roman"/>
                <w:color w:val="000000"/>
                <w:kern w:val="0"/>
                <w:sz w:val="24"/>
                <w:szCs w:val="24"/>
              </w:rPr>
            </w:pPr>
            <w:r>
              <w:rPr>
                <w:rFonts w:ascii="宋体" w:hAnsi="宋体" w:cs="Times New Roman"/>
                <w:color w:val="000000"/>
                <w:kern w:val="0"/>
                <w:sz w:val="24"/>
                <w:szCs w:val="24"/>
              </w:rPr>
              <w:t>预算数</w:t>
            </w:r>
          </w:p>
        </w:tc>
        <w:tc>
          <w:tcPr>
            <w:tcW w:w="7710" w:type="dxa"/>
            <w:gridSpan w:val="6"/>
            <w:tcBorders>
              <w:top w:val="single" w:color="auto" w:sz="8" w:space="0"/>
              <w:left w:val="nil"/>
              <w:bottom w:val="single" w:color="auto" w:sz="4" w:space="0"/>
              <w:right w:val="single" w:color="000000" w:sz="8" w:space="0"/>
            </w:tcBorders>
            <w:noWrap w:val="0"/>
            <w:vAlign w:val="center"/>
          </w:tcPr>
          <w:p w14:paraId="4279140F">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决算数</w:t>
            </w:r>
          </w:p>
        </w:tc>
      </w:tr>
      <w:tr w14:paraId="67124C17">
        <w:tblPrEx>
          <w:tblCellMar>
            <w:top w:w="0" w:type="dxa"/>
            <w:left w:w="108" w:type="dxa"/>
            <w:bottom w:w="0" w:type="dxa"/>
            <w:right w:w="108" w:type="dxa"/>
          </w:tblCellMar>
        </w:tblPrEx>
        <w:trPr>
          <w:trHeight w:val="397" w:hRule="atLeast"/>
          <w:jc w:val="center"/>
        </w:trPr>
        <w:tc>
          <w:tcPr>
            <w:tcW w:w="1284" w:type="dxa"/>
            <w:vMerge w:val="restart"/>
            <w:tcBorders>
              <w:top w:val="nil"/>
              <w:left w:val="single" w:color="auto" w:sz="8" w:space="0"/>
              <w:bottom w:val="single" w:color="000000" w:sz="4" w:space="0"/>
              <w:right w:val="single" w:color="auto" w:sz="4" w:space="0"/>
            </w:tcBorders>
            <w:noWrap w:val="0"/>
            <w:vAlign w:val="center"/>
          </w:tcPr>
          <w:p w14:paraId="295DBC69">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合计</w:t>
            </w:r>
          </w:p>
        </w:tc>
        <w:tc>
          <w:tcPr>
            <w:tcW w:w="1284" w:type="dxa"/>
            <w:vMerge w:val="restart"/>
            <w:tcBorders>
              <w:top w:val="nil"/>
              <w:left w:val="single" w:color="auto" w:sz="4" w:space="0"/>
              <w:bottom w:val="single" w:color="000000" w:sz="4" w:space="0"/>
              <w:right w:val="single" w:color="auto" w:sz="4" w:space="0"/>
            </w:tcBorders>
            <w:noWrap w:val="0"/>
            <w:vAlign w:val="center"/>
          </w:tcPr>
          <w:p w14:paraId="2D2053C0">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因公出国（境）费</w:t>
            </w:r>
          </w:p>
        </w:tc>
        <w:tc>
          <w:tcPr>
            <w:tcW w:w="3852" w:type="dxa"/>
            <w:gridSpan w:val="3"/>
            <w:tcBorders>
              <w:top w:val="single" w:color="auto" w:sz="4" w:space="0"/>
              <w:left w:val="nil"/>
              <w:bottom w:val="single" w:color="auto" w:sz="4" w:space="0"/>
              <w:right w:val="single" w:color="000000" w:sz="4" w:space="0"/>
            </w:tcBorders>
            <w:noWrap w:val="0"/>
            <w:vAlign w:val="center"/>
          </w:tcPr>
          <w:p w14:paraId="7F3E0CE0">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公务用车购置及运行费</w:t>
            </w:r>
          </w:p>
        </w:tc>
        <w:tc>
          <w:tcPr>
            <w:tcW w:w="1284" w:type="dxa"/>
            <w:vMerge w:val="restart"/>
            <w:tcBorders>
              <w:top w:val="nil"/>
              <w:left w:val="single" w:color="auto" w:sz="4" w:space="0"/>
              <w:bottom w:val="single" w:color="auto" w:sz="4" w:space="0"/>
              <w:right w:val="single" w:color="auto" w:sz="4" w:space="0"/>
            </w:tcBorders>
            <w:noWrap w:val="0"/>
            <w:vAlign w:val="center"/>
          </w:tcPr>
          <w:p w14:paraId="4B946651">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w:t>
            </w:r>
          </w:p>
          <w:p w14:paraId="1C6E6CEE">
            <w:pPr>
              <w:widowControl/>
              <w:jc w:val="center"/>
              <w:rPr>
                <w:rFonts w:ascii="宋体" w:hAnsi="宋体" w:cs="Times New Roman"/>
                <w:color w:val="000000"/>
                <w:kern w:val="0"/>
                <w:sz w:val="24"/>
                <w:szCs w:val="24"/>
              </w:rPr>
            </w:pPr>
            <w:r>
              <w:rPr>
                <w:rFonts w:ascii="宋体" w:hAnsi="宋体" w:cs="Times New Roman"/>
                <w:color w:val="000000"/>
                <w:kern w:val="0"/>
                <w:sz w:val="24"/>
                <w:szCs w:val="24"/>
              </w:rPr>
              <w:t>接待费</w:t>
            </w:r>
          </w:p>
        </w:tc>
        <w:tc>
          <w:tcPr>
            <w:tcW w:w="1285" w:type="dxa"/>
            <w:vMerge w:val="restart"/>
            <w:tcBorders>
              <w:top w:val="nil"/>
              <w:left w:val="nil"/>
              <w:bottom w:val="single" w:color="000000" w:sz="4" w:space="0"/>
              <w:right w:val="single" w:color="auto" w:sz="4" w:space="0"/>
            </w:tcBorders>
            <w:noWrap w:val="0"/>
            <w:vAlign w:val="center"/>
          </w:tcPr>
          <w:p w14:paraId="2E9EF71D">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合计</w:t>
            </w:r>
          </w:p>
        </w:tc>
        <w:tc>
          <w:tcPr>
            <w:tcW w:w="1285" w:type="dxa"/>
            <w:vMerge w:val="restart"/>
            <w:tcBorders>
              <w:top w:val="nil"/>
              <w:left w:val="single" w:color="auto" w:sz="4" w:space="0"/>
              <w:bottom w:val="single" w:color="000000" w:sz="4" w:space="0"/>
              <w:right w:val="single" w:color="auto" w:sz="4" w:space="0"/>
            </w:tcBorders>
            <w:noWrap w:val="0"/>
            <w:vAlign w:val="center"/>
          </w:tcPr>
          <w:p w14:paraId="01EB96D2">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因公出国（境）费</w:t>
            </w:r>
          </w:p>
        </w:tc>
        <w:tc>
          <w:tcPr>
            <w:tcW w:w="3855" w:type="dxa"/>
            <w:gridSpan w:val="3"/>
            <w:tcBorders>
              <w:top w:val="single" w:color="auto" w:sz="4" w:space="0"/>
              <w:left w:val="nil"/>
              <w:bottom w:val="single" w:color="auto" w:sz="4" w:space="0"/>
              <w:right w:val="single" w:color="000000" w:sz="4" w:space="0"/>
            </w:tcBorders>
            <w:noWrap w:val="0"/>
            <w:vAlign w:val="center"/>
          </w:tcPr>
          <w:p w14:paraId="48C1F71A">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公务用车购置及运行费</w:t>
            </w:r>
          </w:p>
        </w:tc>
        <w:tc>
          <w:tcPr>
            <w:tcW w:w="1285" w:type="dxa"/>
            <w:vMerge w:val="restart"/>
            <w:tcBorders>
              <w:top w:val="nil"/>
              <w:left w:val="single" w:color="auto" w:sz="4" w:space="0"/>
              <w:bottom w:val="single" w:color="000000" w:sz="4" w:space="0"/>
              <w:right w:val="single" w:color="auto" w:sz="8" w:space="0"/>
            </w:tcBorders>
            <w:noWrap w:val="0"/>
            <w:vAlign w:val="center"/>
          </w:tcPr>
          <w:p w14:paraId="032610BF">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w:t>
            </w:r>
          </w:p>
          <w:p w14:paraId="561E6EFB">
            <w:pPr>
              <w:widowControl/>
              <w:jc w:val="center"/>
              <w:rPr>
                <w:rFonts w:ascii="宋体" w:hAnsi="宋体" w:cs="Times New Roman"/>
                <w:color w:val="000000"/>
                <w:kern w:val="0"/>
                <w:sz w:val="24"/>
                <w:szCs w:val="24"/>
              </w:rPr>
            </w:pPr>
            <w:r>
              <w:rPr>
                <w:rFonts w:ascii="宋体" w:hAnsi="宋体" w:cs="Times New Roman"/>
                <w:color w:val="000000"/>
                <w:kern w:val="0"/>
                <w:sz w:val="24"/>
                <w:szCs w:val="24"/>
              </w:rPr>
              <w:t>接待费</w:t>
            </w:r>
          </w:p>
        </w:tc>
      </w:tr>
      <w:tr w14:paraId="48C45FC2">
        <w:tblPrEx>
          <w:tblCellMar>
            <w:top w:w="0" w:type="dxa"/>
            <w:left w:w="108" w:type="dxa"/>
            <w:bottom w:w="0" w:type="dxa"/>
            <w:right w:w="108" w:type="dxa"/>
          </w:tblCellMar>
        </w:tblPrEx>
        <w:trPr>
          <w:trHeight w:val="397" w:hRule="atLeast"/>
          <w:jc w:val="center"/>
        </w:trPr>
        <w:tc>
          <w:tcPr>
            <w:tcW w:w="1284" w:type="dxa"/>
            <w:vMerge w:val="continue"/>
            <w:tcBorders>
              <w:top w:val="nil"/>
              <w:left w:val="single" w:color="auto" w:sz="8" w:space="0"/>
              <w:bottom w:val="single" w:color="000000" w:sz="4" w:space="0"/>
              <w:right w:val="single" w:color="auto" w:sz="4" w:space="0"/>
            </w:tcBorders>
            <w:noWrap w:val="0"/>
            <w:vAlign w:val="center"/>
          </w:tcPr>
          <w:p w14:paraId="74408557">
            <w:pPr>
              <w:widowControl/>
              <w:jc w:val="left"/>
              <w:rPr>
                <w:rFonts w:ascii="宋体" w:hAnsi="宋体" w:cs="Times New Roman"/>
                <w:color w:val="000000"/>
                <w:kern w:val="0"/>
                <w:sz w:val="24"/>
                <w:szCs w:val="24"/>
              </w:rPr>
            </w:pPr>
          </w:p>
        </w:tc>
        <w:tc>
          <w:tcPr>
            <w:tcW w:w="1284" w:type="dxa"/>
            <w:vMerge w:val="continue"/>
            <w:tcBorders>
              <w:top w:val="nil"/>
              <w:left w:val="single" w:color="auto" w:sz="4" w:space="0"/>
              <w:bottom w:val="single" w:color="000000" w:sz="4" w:space="0"/>
              <w:right w:val="single" w:color="auto" w:sz="4" w:space="0"/>
            </w:tcBorders>
            <w:noWrap w:val="0"/>
            <w:vAlign w:val="center"/>
          </w:tcPr>
          <w:p w14:paraId="7ACF41EF">
            <w:pPr>
              <w:widowControl/>
              <w:jc w:val="left"/>
              <w:rPr>
                <w:rFonts w:ascii="宋体" w:hAnsi="宋体" w:cs="Times New Roman"/>
                <w:color w:val="000000"/>
                <w:kern w:val="0"/>
                <w:sz w:val="24"/>
                <w:szCs w:val="24"/>
              </w:rPr>
            </w:pPr>
          </w:p>
        </w:tc>
        <w:tc>
          <w:tcPr>
            <w:tcW w:w="1284" w:type="dxa"/>
            <w:tcBorders>
              <w:top w:val="nil"/>
              <w:left w:val="nil"/>
              <w:bottom w:val="single" w:color="auto" w:sz="4" w:space="0"/>
              <w:right w:val="single" w:color="auto" w:sz="4" w:space="0"/>
            </w:tcBorders>
            <w:noWrap w:val="0"/>
            <w:vAlign w:val="center"/>
          </w:tcPr>
          <w:p w14:paraId="31CE7396">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小计</w:t>
            </w:r>
          </w:p>
        </w:tc>
        <w:tc>
          <w:tcPr>
            <w:tcW w:w="1284" w:type="dxa"/>
            <w:tcBorders>
              <w:top w:val="nil"/>
              <w:left w:val="nil"/>
              <w:bottom w:val="single" w:color="auto" w:sz="4" w:space="0"/>
              <w:right w:val="single" w:color="auto" w:sz="4" w:space="0"/>
            </w:tcBorders>
            <w:noWrap w:val="0"/>
            <w:vAlign w:val="center"/>
          </w:tcPr>
          <w:p w14:paraId="0422C3B7">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公务用车</w:t>
            </w:r>
            <w:r>
              <w:rPr>
                <w:rFonts w:ascii="宋体" w:hAnsi="宋体" w:cs="Times New Roman"/>
                <w:color w:val="000000"/>
                <w:kern w:val="0"/>
                <w:sz w:val="24"/>
                <w:szCs w:val="24"/>
              </w:rPr>
              <w:br w:type="textWrapping"/>
            </w:r>
            <w:r>
              <w:rPr>
                <w:rFonts w:ascii="宋体" w:hAnsi="宋体" w:cs="Times New Roman"/>
                <w:color w:val="000000"/>
                <w:kern w:val="0"/>
                <w:sz w:val="24"/>
                <w:szCs w:val="24"/>
              </w:rPr>
              <w:t>购置费</w:t>
            </w:r>
          </w:p>
        </w:tc>
        <w:tc>
          <w:tcPr>
            <w:tcW w:w="1284" w:type="dxa"/>
            <w:tcBorders>
              <w:top w:val="nil"/>
              <w:left w:val="nil"/>
              <w:bottom w:val="single" w:color="auto" w:sz="4" w:space="0"/>
              <w:right w:val="single" w:color="auto" w:sz="4" w:space="0"/>
            </w:tcBorders>
            <w:noWrap w:val="0"/>
            <w:vAlign w:val="center"/>
          </w:tcPr>
          <w:p w14:paraId="5E8FCE1B">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公务用车</w:t>
            </w:r>
            <w:r>
              <w:rPr>
                <w:rFonts w:ascii="宋体" w:hAnsi="宋体" w:cs="Times New Roman"/>
                <w:color w:val="000000"/>
                <w:kern w:val="0"/>
                <w:sz w:val="24"/>
                <w:szCs w:val="24"/>
              </w:rPr>
              <w:br w:type="textWrapping"/>
            </w:r>
            <w:r>
              <w:rPr>
                <w:rFonts w:ascii="宋体" w:hAnsi="宋体" w:cs="Times New Roman"/>
                <w:color w:val="000000"/>
                <w:kern w:val="0"/>
                <w:sz w:val="24"/>
                <w:szCs w:val="24"/>
              </w:rPr>
              <w:t>运行费</w:t>
            </w:r>
          </w:p>
        </w:tc>
        <w:tc>
          <w:tcPr>
            <w:tcW w:w="1284" w:type="dxa"/>
            <w:vMerge w:val="continue"/>
            <w:tcBorders>
              <w:top w:val="nil"/>
              <w:left w:val="single" w:color="auto" w:sz="4" w:space="0"/>
              <w:bottom w:val="single" w:color="auto" w:sz="4" w:space="0"/>
              <w:right w:val="single" w:color="auto" w:sz="4" w:space="0"/>
            </w:tcBorders>
            <w:noWrap w:val="0"/>
            <w:vAlign w:val="center"/>
          </w:tcPr>
          <w:p w14:paraId="770CE014">
            <w:pPr>
              <w:widowControl/>
              <w:jc w:val="left"/>
              <w:rPr>
                <w:rFonts w:ascii="宋体" w:hAnsi="宋体" w:cs="Times New Roman"/>
                <w:color w:val="000000"/>
                <w:kern w:val="0"/>
                <w:sz w:val="24"/>
                <w:szCs w:val="24"/>
              </w:rPr>
            </w:pPr>
          </w:p>
        </w:tc>
        <w:tc>
          <w:tcPr>
            <w:tcW w:w="1285" w:type="dxa"/>
            <w:vMerge w:val="continue"/>
            <w:tcBorders>
              <w:top w:val="nil"/>
              <w:left w:val="nil"/>
              <w:bottom w:val="single" w:color="000000" w:sz="4" w:space="0"/>
              <w:right w:val="single" w:color="auto" w:sz="4" w:space="0"/>
            </w:tcBorders>
            <w:noWrap w:val="0"/>
            <w:vAlign w:val="center"/>
          </w:tcPr>
          <w:p w14:paraId="0FC51B9B">
            <w:pPr>
              <w:widowControl/>
              <w:jc w:val="left"/>
              <w:rPr>
                <w:rFonts w:ascii="宋体" w:hAnsi="宋体" w:cs="Times New Roman"/>
                <w:color w:val="000000"/>
                <w:kern w:val="0"/>
                <w:sz w:val="24"/>
                <w:szCs w:val="24"/>
              </w:rPr>
            </w:pPr>
          </w:p>
        </w:tc>
        <w:tc>
          <w:tcPr>
            <w:tcW w:w="1285" w:type="dxa"/>
            <w:vMerge w:val="continue"/>
            <w:tcBorders>
              <w:top w:val="nil"/>
              <w:left w:val="single" w:color="auto" w:sz="4" w:space="0"/>
              <w:bottom w:val="single" w:color="000000" w:sz="4" w:space="0"/>
              <w:right w:val="single" w:color="auto" w:sz="4" w:space="0"/>
            </w:tcBorders>
            <w:noWrap w:val="0"/>
            <w:vAlign w:val="center"/>
          </w:tcPr>
          <w:p w14:paraId="104EA30A">
            <w:pPr>
              <w:widowControl/>
              <w:jc w:val="left"/>
              <w:rPr>
                <w:rFonts w:ascii="宋体" w:hAnsi="宋体" w:cs="Times New Roman"/>
                <w:color w:val="000000"/>
                <w:kern w:val="0"/>
                <w:sz w:val="24"/>
                <w:szCs w:val="24"/>
              </w:rPr>
            </w:pPr>
          </w:p>
        </w:tc>
        <w:tc>
          <w:tcPr>
            <w:tcW w:w="1285" w:type="dxa"/>
            <w:tcBorders>
              <w:top w:val="nil"/>
              <w:left w:val="nil"/>
              <w:bottom w:val="single" w:color="auto" w:sz="4" w:space="0"/>
              <w:right w:val="single" w:color="auto" w:sz="4" w:space="0"/>
            </w:tcBorders>
            <w:noWrap w:val="0"/>
            <w:vAlign w:val="center"/>
          </w:tcPr>
          <w:p w14:paraId="54C5E186">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小计</w:t>
            </w:r>
          </w:p>
        </w:tc>
        <w:tc>
          <w:tcPr>
            <w:tcW w:w="1285" w:type="dxa"/>
            <w:tcBorders>
              <w:top w:val="nil"/>
              <w:left w:val="nil"/>
              <w:bottom w:val="single" w:color="auto" w:sz="4" w:space="0"/>
              <w:right w:val="single" w:color="auto" w:sz="4" w:space="0"/>
            </w:tcBorders>
            <w:noWrap w:val="0"/>
            <w:vAlign w:val="center"/>
          </w:tcPr>
          <w:p w14:paraId="3FA39742">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公务用车</w:t>
            </w:r>
            <w:r>
              <w:rPr>
                <w:rFonts w:ascii="宋体" w:hAnsi="宋体" w:cs="Times New Roman"/>
                <w:color w:val="000000"/>
                <w:kern w:val="0"/>
                <w:sz w:val="24"/>
                <w:szCs w:val="24"/>
              </w:rPr>
              <w:br w:type="textWrapping"/>
            </w:r>
            <w:r>
              <w:rPr>
                <w:rFonts w:ascii="宋体" w:hAnsi="宋体" w:cs="Times New Roman"/>
                <w:color w:val="000000"/>
                <w:kern w:val="0"/>
                <w:sz w:val="24"/>
                <w:szCs w:val="24"/>
              </w:rPr>
              <w:t>购置费</w:t>
            </w:r>
          </w:p>
        </w:tc>
        <w:tc>
          <w:tcPr>
            <w:tcW w:w="1285" w:type="dxa"/>
            <w:tcBorders>
              <w:top w:val="nil"/>
              <w:left w:val="nil"/>
              <w:bottom w:val="single" w:color="auto" w:sz="4" w:space="0"/>
              <w:right w:val="single" w:color="auto" w:sz="4" w:space="0"/>
            </w:tcBorders>
            <w:noWrap w:val="0"/>
            <w:vAlign w:val="center"/>
          </w:tcPr>
          <w:p w14:paraId="37C6C926">
            <w:pPr>
              <w:widowControl/>
              <w:jc w:val="center"/>
              <w:rPr>
                <w:rFonts w:ascii="宋体" w:hAnsi="宋体" w:cs="Times New Roman"/>
                <w:color w:val="000000"/>
                <w:kern w:val="0"/>
                <w:sz w:val="24"/>
                <w:szCs w:val="24"/>
              </w:rPr>
            </w:pPr>
            <w:r>
              <w:rPr>
                <w:rFonts w:ascii="宋体" w:hAnsi="宋体" w:cs="Times New Roman"/>
                <w:color w:val="000000"/>
                <w:kern w:val="0"/>
                <w:sz w:val="24"/>
                <w:szCs w:val="24"/>
              </w:rPr>
              <w:t>公务用车</w:t>
            </w:r>
            <w:r>
              <w:rPr>
                <w:rFonts w:ascii="宋体" w:hAnsi="宋体" w:cs="Times New Roman"/>
                <w:color w:val="000000"/>
                <w:kern w:val="0"/>
                <w:sz w:val="24"/>
                <w:szCs w:val="24"/>
              </w:rPr>
              <w:br w:type="textWrapping"/>
            </w:r>
            <w:r>
              <w:rPr>
                <w:rFonts w:ascii="宋体" w:hAnsi="宋体" w:cs="Times New Roman"/>
                <w:color w:val="000000"/>
                <w:kern w:val="0"/>
                <w:sz w:val="24"/>
                <w:szCs w:val="24"/>
              </w:rPr>
              <w:t>运行费</w:t>
            </w:r>
          </w:p>
        </w:tc>
        <w:tc>
          <w:tcPr>
            <w:tcW w:w="1285" w:type="dxa"/>
            <w:vMerge w:val="continue"/>
            <w:tcBorders>
              <w:top w:val="nil"/>
              <w:left w:val="single" w:color="auto" w:sz="4" w:space="0"/>
              <w:bottom w:val="single" w:color="000000" w:sz="4" w:space="0"/>
              <w:right w:val="single" w:color="auto" w:sz="8" w:space="0"/>
            </w:tcBorders>
            <w:noWrap w:val="0"/>
            <w:vAlign w:val="center"/>
          </w:tcPr>
          <w:p w14:paraId="0603A309">
            <w:pPr>
              <w:widowControl/>
              <w:jc w:val="left"/>
              <w:rPr>
                <w:rFonts w:ascii="宋体" w:hAnsi="宋体" w:cs="Times New Roman"/>
                <w:color w:val="000000"/>
                <w:kern w:val="0"/>
                <w:sz w:val="24"/>
                <w:szCs w:val="24"/>
              </w:rPr>
            </w:pPr>
          </w:p>
        </w:tc>
      </w:tr>
      <w:tr w14:paraId="28351B23">
        <w:tblPrEx>
          <w:tblCellMar>
            <w:top w:w="0" w:type="dxa"/>
            <w:left w:w="108" w:type="dxa"/>
            <w:bottom w:w="0" w:type="dxa"/>
            <w:right w:w="108" w:type="dxa"/>
          </w:tblCellMar>
        </w:tblPrEx>
        <w:trPr>
          <w:trHeight w:val="397" w:hRule="atLeast"/>
          <w:jc w:val="center"/>
        </w:trPr>
        <w:tc>
          <w:tcPr>
            <w:tcW w:w="1284" w:type="dxa"/>
            <w:tcBorders>
              <w:top w:val="nil"/>
              <w:left w:val="single" w:color="auto" w:sz="8" w:space="0"/>
              <w:bottom w:val="single" w:color="auto" w:sz="4" w:space="0"/>
              <w:right w:val="single" w:color="auto" w:sz="4" w:space="0"/>
            </w:tcBorders>
            <w:noWrap w:val="0"/>
            <w:vAlign w:val="center"/>
          </w:tcPr>
          <w:p w14:paraId="003881B4">
            <w:pPr>
              <w:widowControl/>
              <w:jc w:val="center"/>
              <w:rPr>
                <w:rFonts w:ascii="宋体" w:hAnsi="宋体" w:cs="Times New Roman"/>
                <w:color w:val="000000"/>
                <w:kern w:val="0"/>
                <w:sz w:val="24"/>
                <w:szCs w:val="24"/>
              </w:rPr>
            </w:pPr>
            <w:r>
              <w:rPr>
                <w:rFonts w:ascii="宋体" w:hAnsi="宋体" w:cs="Times New Roman"/>
                <w:color w:val="000000"/>
                <w:kern w:val="0"/>
                <w:sz w:val="24"/>
                <w:szCs w:val="24"/>
              </w:rPr>
              <w:t>1</w:t>
            </w:r>
          </w:p>
        </w:tc>
        <w:tc>
          <w:tcPr>
            <w:tcW w:w="1284" w:type="dxa"/>
            <w:tcBorders>
              <w:top w:val="nil"/>
              <w:left w:val="nil"/>
              <w:bottom w:val="single" w:color="auto" w:sz="4" w:space="0"/>
              <w:right w:val="single" w:color="auto" w:sz="4" w:space="0"/>
            </w:tcBorders>
            <w:noWrap w:val="0"/>
            <w:vAlign w:val="center"/>
          </w:tcPr>
          <w:p w14:paraId="1CD664B4">
            <w:pPr>
              <w:widowControl/>
              <w:jc w:val="center"/>
              <w:rPr>
                <w:rFonts w:ascii="宋体" w:hAnsi="宋体" w:cs="Times New Roman"/>
                <w:color w:val="000000"/>
                <w:kern w:val="0"/>
                <w:sz w:val="24"/>
                <w:szCs w:val="24"/>
              </w:rPr>
            </w:pPr>
            <w:r>
              <w:rPr>
                <w:rFonts w:ascii="宋体" w:hAnsi="宋体" w:cs="Times New Roman"/>
                <w:color w:val="000000"/>
                <w:kern w:val="0"/>
                <w:sz w:val="24"/>
                <w:szCs w:val="24"/>
              </w:rPr>
              <w:t>2</w:t>
            </w:r>
          </w:p>
        </w:tc>
        <w:tc>
          <w:tcPr>
            <w:tcW w:w="1284" w:type="dxa"/>
            <w:tcBorders>
              <w:top w:val="nil"/>
              <w:left w:val="nil"/>
              <w:bottom w:val="single" w:color="auto" w:sz="4" w:space="0"/>
              <w:right w:val="single" w:color="auto" w:sz="4" w:space="0"/>
            </w:tcBorders>
            <w:noWrap w:val="0"/>
            <w:vAlign w:val="center"/>
          </w:tcPr>
          <w:p w14:paraId="486B08EE">
            <w:pPr>
              <w:widowControl/>
              <w:jc w:val="center"/>
              <w:rPr>
                <w:rFonts w:ascii="宋体" w:hAnsi="宋体" w:cs="Times New Roman"/>
                <w:color w:val="000000"/>
                <w:kern w:val="0"/>
                <w:sz w:val="24"/>
                <w:szCs w:val="24"/>
              </w:rPr>
            </w:pPr>
            <w:r>
              <w:rPr>
                <w:rFonts w:ascii="宋体" w:hAnsi="宋体" w:cs="Times New Roman"/>
                <w:color w:val="000000"/>
                <w:kern w:val="0"/>
                <w:sz w:val="24"/>
                <w:szCs w:val="24"/>
              </w:rPr>
              <w:t>3</w:t>
            </w:r>
          </w:p>
        </w:tc>
        <w:tc>
          <w:tcPr>
            <w:tcW w:w="1284" w:type="dxa"/>
            <w:tcBorders>
              <w:top w:val="nil"/>
              <w:left w:val="nil"/>
              <w:bottom w:val="single" w:color="auto" w:sz="4" w:space="0"/>
              <w:right w:val="single" w:color="auto" w:sz="4" w:space="0"/>
            </w:tcBorders>
            <w:noWrap w:val="0"/>
            <w:vAlign w:val="center"/>
          </w:tcPr>
          <w:p w14:paraId="65507BEA">
            <w:pPr>
              <w:widowControl/>
              <w:jc w:val="center"/>
              <w:rPr>
                <w:rFonts w:ascii="宋体" w:hAnsi="宋体" w:cs="Times New Roman"/>
                <w:color w:val="000000"/>
                <w:kern w:val="0"/>
                <w:sz w:val="24"/>
                <w:szCs w:val="24"/>
              </w:rPr>
            </w:pPr>
            <w:r>
              <w:rPr>
                <w:rFonts w:ascii="宋体" w:hAnsi="宋体" w:cs="Times New Roman"/>
                <w:color w:val="000000"/>
                <w:kern w:val="0"/>
                <w:sz w:val="24"/>
                <w:szCs w:val="24"/>
              </w:rPr>
              <w:t>4</w:t>
            </w:r>
          </w:p>
        </w:tc>
        <w:tc>
          <w:tcPr>
            <w:tcW w:w="1284" w:type="dxa"/>
            <w:tcBorders>
              <w:top w:val="nil"/>
              <w:left w:val="nil"/>
              <w:bottom w:val="single" w:color="auto" w:sz="4" w:space="0"/>
              <w:right w:val="single" w:color="auto" w:sz="4" w:space="0"/>
            </w:tcBorders>
            <w:noWrap w:val="0"/>
            <w:vAlign w:val="center"/>
          </w:tcPr>
          <w:p w14:paraId="1C665D2C">
            <w:pPr>
              <w:widowControl/>
              <w:jc w:val="center"/>
              <w:rPr>
                <w:rFonts w:ascii="宋体" w:hAnsi="宋体" w:cs="Times New Roman"/>
                <w:color w:val="000000"/>
                <w:kern w:val="0"/>
                <w:sz w:val="24"/>
                <w:szCs w:val="24"/>
              </w:rPr>
            </w:pPr>
            <w:r>
              <w:rPr>
                <w:rFonts w:ascii="宋体" w:hAnsi="宋体" w:cs="Times New Roman"/>
                <w:color w:val="000000"/>
                <w:kern w:val="0"/>
                <w:sz w:val="24"/>
                <w:szCs w:val="24"/>
              </w:rPr>
              <w:t>5</w:t>
            </w:r>
          </w:p>
        </w:tc>
        <w:tc>
          <w:tcPr>
            <w:tcW w:w="1284" w:type="dxa"/>
            <w:tcBorders>
              <w:top w:val="nil"/>
              <w:left w:val="nil"/>
              <w:bottom w:val="single" w:color="auto" w:sz="4" w:space="0"/>
              <w:right w:val="single" w:color="auto" w:sz="4" w:space="0"/>
            </w:tcBorders>
            <w:noWrap w:val="0"/>
            <w:vAlign w:val="center"/>
          </w:tcPr>
          <w:p w14:paraId="70A94EC0">
            <w:pPr>
              <w:widowControl/>
              <w:jc w:val="center"/>
              <w:rPr>
                <w:rFonts w:ascii="宋体" w:hAnsi="宋体" w:cs="Times New Roman"/>
                <w:color w:val="000000"/>
                <w:kern w:val="0"/>
                <w:sz w:val="24"/>
                <w:szCs w:val="24"/>
              </w:rPr>
            </w:pPr>
            <w:r>
              <w:rPr>
                <w:rFonts w:ascii="宋体" w:hAnsi="宋体" w:cs="Times New Roman"/>
                <w:color w:val="000000"/>
                <w:kern w:val="0"/>
                <w:sz w:val="24"/>
                <w:szCs w:val="24"/>
              </w:rPr>
              <w:t>6</w:t>
            </w:r>
          </w:p>
        </w:tc>
        <w:tc>
          <w:tcPr>
            <w:tcW w:w="1285" w:type="dxa"/>
            <w:tcBorders>
              <w:top w:val="nil"/>
              <w:left w:val="nil"/>
              <w:bottom w:val="single" w:color="auto" w:sz="4" w:space="0"/>
              <w:right w:val="single" w:color="auto" w:sz="4" w:space="0"/>
            </w:tcBorders>
            <w:noWrap w:val="0"/>
            <w:vAlign w:val="center"/>
          </w:tcPr>
          <w:p w14:paraId="348741F7">
            <w:pPr>
              <w:widowControl/>
              <w:jc w:val="center"/>
              <w:rPr>
                <w:rFonts w:ascii="宋体" w:hAnsi="宋体" w:cs="Times New Roman"/>
                <w:color w:val="000000"/>
                <w:kern w:val="0"/>
                <w:sz w:val="24"/>
                <w:szCs w:val="24"/>
              </w:rPr>
            </w:pPr>
            <w:r>
              <w:rPr>
                <w:rFonts w:ascii="宋体" w:hAnsi="宋体" w:cs="Times New Roman"/>
                <w:color w:val="000000"/>
                <w:kern w:val="0"/>
                <w:sz w:val="24"/>
                <w:szCs w:val="24"/>
              </w:rPr>
              <w:t>7</w:t>
            </w:r>
          </w:p>
        </w:tc>
        <w:tc>
          <w:tcPr>
            <w:tcW w:w="1285" w:type="dxa"/>
            <w:tcBorders>
              <w:top w:val="nil"/>
              <w:left w:val="nil"/>
              <w:bottom w:val="single" w:color="auto" w:sz="4" w:space="0"/>
              <w:right w:val="single" w:color="auto" w:sz="4" w:space="0"/>
            </w:tcBorders>
            <w:noWrap w:val="0"/>
            <w:vAlign w:val="center"/>
          </w:tcPr>
          <w:p w14:paraId="428C5862">
            <w:pPr>
              <w:widowControl/>
              <w:jc w:val="center"/>
              <w:rPr>
                <w:rFonts w:ascii="宋体" w:hAnsi="宋体" w:cs="Times New Roman"/>
                <w:color w:val="000000"/>
                <w:kern w:val="0"/>
                <w:sz w:val="24"/>
                <w:szCs w:val="24"/>
              </w:rPr>
            </w:pPr>
            <w:r>
              <w:rPr>
                <w:rFonts w:ascii="宋体" w:hAnsi="宋体" w:cs="Times New Roman"/>
                <w:color w:val="000000"/>
                <w:kern w:val="0"/>
                <w:sz w:val="24"/>
                <w:szCs w:val="24"/>
              </w:rPr>
              <w:t>8</w:t>
            </w:r>
          </w:p>
        </w:tc>
        <w:tc>
          <w:tcPr>
            <w:tcW w:w="1285" w:type="dxa"/>
            <w:tcBorders>
              <w:top w:val="nil"/>
              <w:left w:val="nil"/>
              <w:bottom w:val="single" w:color="auto" w:sz="4" w:space="0"/>
              <w:right w:val="single" w:color="auto" w:sz="4" w:space="0"/>
            </w:tcBorders>
            <w:noWrap w:val="0"/>
            <w:vAlign w:val="center"/>
          </w:tcPr>
          <w:p w14:paraId="796808FB">
            <w:pPr>
              <w:widowControl/>
              <w:jc w:val="center"/>
              <w:rPr>
                <w:rFonts w:ascii="宋体" w:hAnsi="宋体" w:cs="Times New Roman"/>
                <w:color w:val="000000"/>
                <w:kern w:val="0"/>
                <w:sz w:val="24"/>
                <w:szCs w:val="24"/>
              </w:rPr>
            </w:pPr>
            <w:r>
              <w:rPr>
                <w:rFonts w:ascii="宋体" w:hAnsi="宋体" w:cs="Times New Roman"/>
                <w:color w:val="000000"/>
                <w:kern w:val="0"/>
                <w:sz w:val="24"/>
                <w:szCs w:val="24"/>
              </w:rPr>
              <w:t>9</w:t>
            </w:r>
          </w:p>
        </w:tc>
        <w:tc>
          <w:tcPr>
            <w:tcW w:w="1285" w:type="dxa"/>
            <w:tcBorders>
              <w:top w:val="nil"/>
              <w:left w:val="nil"/>
              <w:bottom w:val="single" w:color="auto" w:sz="4" w:space="0"/>
              <w:right w:val="single" w:color="auto" w:sz="4" w:space="0"/>
            </w:tcBorders>
            <w:noWrap w:val="0"/>
            <w:vAlign w:val="center"/>
          </w:tcPr>
          <w:p w14:paraId="4EBA9471">
            <w:pPr>
              <w:widowControl/>
              <w:jc w:val="center"/>
              <w:rPr>
                <w:rFonts w:ascii="宋体" w:hAnsi="宋体" w:cs="Times New Roman"/>
                <w:color w:val="000000"/>
                <w:kern w:val="0"/>
                <w:sz w:val="24"/>
                <w:szCs w:val="24"/>
              </w:rPr>
            </w:pPr>
            <w:r>
              <w:rPr>
                <w:rFonts w:ascii="宋体" w:hAnsi="宋体" w:cs="Times New Roman"/>
                <w:color w:val="000000"/>
                <w:kern w:val="0"/>
                <w:sz w:val="24"/>
                <w:szCs w:val="24"/>
              </w:rPr>
              <w:t>10</w:t>
            </w:r>
          </w:p>
        </w:tc>
        <w:tc>
          <w:tcPr>
            <w:tcW w:w="1285" w:type="dxa"/>
            <w:tcBorders>
              <w:top w:val="nil"/>
              <w:left w:val="nil"/>
              <w:bottom w:val="single" w:color="auto" w:sz="4" w:space="0"/>
              <w:right w:val="single" w:color="auto" w:sz="4" w:space="0"/>
            </w:tcBorders>
            <w:noWrap w:val="0"/>
            <w:vAlign w:val="center"/>
          </w:tcPr>
          <w:p w14:paraId="3FC9F779">
            <w:pPr>
              <w:widowControl/>
              <w:jc w:val="center"/>
              <w:rPr>
                <w:rFonts w:ascii="宋体" w:hAnsi="宋体" w:cs="Times New Roman"/>
                <w:color w:val="000000"/>
                <w:kern w:val="0"/>
                <w:sz w:val="24"/>
                <w:szCs w:val="24"/>
              </w:rPr>
            </w:pPr>
            <w:r>
              <w:rPr>
                <w:rFonts w:ascii="宋体" w:hAnsi="宋体" w:cs="Times New Roman"/>
                <w:color w:val="000000"/>
                <w:kern w:val="0"/>
                <w:sz w:val="24"/>
                <w:szCs w:val="24"/>
              </w:rPr>
              <w:t>11</w:t>
            </w:r>
          </w:p>
        </w:tc>
        <w:tc>
          <w:tcPr>
            <w:tcW w:w="1285" w:type="dxa"/>
            <w:tcBorders>
              <w:top w:val="nil"/>
              <w:left w:val="nil"/>
              <w:bottom w:val="single" w:color="auto" w:sz="4" w:space="0"/>
              <w:right w:val="single" w:color="auto" w:sz="8" w:space="0"/>
            </w:tcBorders>
            <w:noWrap w:val="0"/>
            <w:vAlign w:val="center"/>
          </w:tcPr>
          <w:p w14:paraId="0692FF6E">
            <w:pPr>
              <w:widowControl/>
              <w:jc w:val="center"/>
              <w:rPr>
                <w:rFonts w:ascii="宋体" w:hAnsi="宋体" w:cs="Times New Roman"/>
                <w:color w:val="000000"/>
                <w:kern w:val="0"/>
                <w:sz w:val="24"/>
                <w:szCs w:val="24"/>
              </w:rPr>
            </w:pPr>
            <w:r>
              <w:rPr>
                <w:rFonts w:ascii="宋体" w:hAnsi="宋体" w:cs="Times New Roman"/>
                <w:color w:val="000000"/>
                <w:kern w:val="0"/>
                <w:sz w:val="24"/>
                <w:szCs w:val="24"/>
              </w:rPr>
              <w:t>12</w:t>
            </w:r>
          </w:p>
        </w:tc>
      </w:tr>
      <w:tr w14:paraId="701B4AEB">
        <w:tblPrEx>
          <w:tblCellMar>
            <w:top w:w="0" w:type="dxa"/>
            <w:left w:w="108" w:type="dxa"/>
            <w:bottom w:w="0" w:type="dxa"/>
            <w:right w:w="108" w:type="dxa"/>
          </w:tblCellMar>
        </w:tblPrEx>
        <w:trPr>
          <w:trHeight w:val="397" w:hRule="atLeast"/>
          <w:jc w:val="center"/>
        </w:trPr>
        <w:tc>
          <w:tcPr>
            <w:tcW w:w="1284" w:type="dxa"/>
            <w:tcBorders>
              <w:top w:val="nil"/>
              <w:left w:val="single" w:color="auto" w:sz="8" w:space="0"/>
              <w:bottom w:val="single" w:color="auto" w:sz="8" w:space="0"/>
              <w:right w:val="single" w:color="auto" w:sz="4" w:space="0"/>
            </w:tcBorders>
            <w:noWrap w:val="0"/>
            <w:vAlign w:val="center"/>
          </w:tcPr>
          <w:p w14:paraId="35DAFD42">
            <w:pPr>
              <w:widowControl/>
              <w:jc w:val="right"/>
              <w:textAlignment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7.98</w:t>
            </w:r>
          </w:p>
        </w:tc>
        <w:tc>
          <w:tcPr>
            <w:tcW w:w="1284" w:type="dxa"/>
            <w:tcBorders>
              <w:top w:val="nil"/>
              <w:left w:val="nil"/>
              <w:bottom w:val="single" w:color="auto" w:sz="8" w:space="0"/>
              <w:right w:val="single" w:color="auto" w:sz="4" w:space="0"/>
            </w:tcBorders>
            <w:noWrap w:val="0"/>
            <w:vAlign w:val="center"/>
          </w:tcPr>
          <w:p w14:paraId="35765995">
            <w:pPr>
              <w:widowControl/>
              <w:jc w:val="right"/>
              <w:textAlignment w:val="center"/>
              <w:rPr>
                <w:rFonts w:ascii="宋体" w:hAnsi="宋体" w:eastAsia="宋体" w:cs="宋体"/>
                <w:color w:val="000000"/>
                <w:kern w:val="0"/>
                <w:sz w:val="20"/>
                <w:szCs w:val="20"/>
              </w:rPr>
            </w:pPr>
            <w:r>
              <w:rPr>
                <w:rFonts w:hint="eastAsia" w:ascii="宋体" w:hAnsi="宋体" w:cs="宋体"/>
                <w:color w:val="000000"/>
                <w:sz w:val="20"/>
                <w:szCs w:val="20"/>
                <w:lang w:val="en-US" w:eastAsia="zh-CN"/>
              </w:rPr>
              <w:t>0</w:t>
            </w:r>
          </w:p>
        </w:tc>
        <w:tc>
          <w:tcPr>
            <w:tcW w:w="1284" w:type="dxa"/>
            <w:tcBorders>
              <w:top w:val="nil"/>
              <w:left w:val="nil"/>
              <w:bottom w:val="single" w:color="auto" w:sz="8" w:space="0"/>
              <w:right w:val="single" w:color="auto" w:sz="4" w:space="0"/>
            </w:tcBorders>
            <w:noWrap w:val="0"/>
            <w:vAlign w:val="center"/>
          </w:tcPr>
          <w:p w14:paraId="1E97A564">
            <w:pPr>
              <w:widowControl/>
              <w:jc w:val="right"/>
              <w:textAlignment w:val="center"/>
              <w:rPr>
                <w:rFonts w:ascii="宋体" w:hAnsi="宋体" w:eastAsia="宋体" w:cs="宋体"/>
                <w:color w:val="000000"/>
                <w:kern w:val="0"/>
                <w:sz w:val="20"/>
                <w:szCs w:val="20"/>
              </w:rPr>
            </w:pPr>
            <w:r>
              <w:rPr>
                <w:rFonts w:hint="eastAsia" w:ascii="宋体" w:hAnsi="宋体" w:cs="宋体"/>
                <w:color w:val="000000"/>
                <w:kern w:val="0"/>
                <w:sz w:val="20"/>
                <w:szCs w:val="20"/>
                <w:lang w:val="en-US" w:eastAsia="zh-CN"/>
              </w:rPr>
              <w:t>7</w:t>
            </w:r>
          </w:p>
        </w:tc>
        <w:tc>
          <w:tcPr>
            <w:tcW w:w="1284" w:type="dxa"/>
            <w:tcBorders>
              <w:top w:val="nil"/>
              <w:left w:val="nil"/>
              <w:bottom w:val="single" w:color="auto" w:sz="8" w:space="0"/>
              <w:right w:val="single" w:color="auto" w:sz="4" w:space="0"/>
            </w:tcBorders>
            <w:noWrap w:val="0"/>
            <w:vAlign w:val="center"/>
          </w:tcPr>
          <w:p w14:paraId="017D19D1">
            <w:pPr>
              <w:widowControl/>
              <w:jc w:val="right"/>
              <w:textAlignment w:val="center"/>
              <w:rPr>
                <w:rFonts w:ascii="宋体" w:hAnsi="宋体" w:eastAsia="宋体" w:cs="宋体"/>
                <w:color w:val="000000"/>
                <w:kern w:val="0"/>
                <w:sz w:val="20"/>
                <w:szCs w:val="20"/>
              </w:rPr>
            </w:pPr>
            <w:r>
              <w:rPr>
                <w:rFonts w:hint="eastAsia" w:ascii="宋体" w:hAnsi="宋体" w:cs="宋体"/>
                <w:color w:val="000000"/>
                <w:kern w:val="0"/>
                <w:sz w:val="20"/>
                <w:szCs w:val="20"/>
                <w:lang w:val="en-US" w:eastAsia="zh-CN"/>
              </w:rPr>
              <w:t>0</w:t>
            </w:r>
          </w:p>
        </w:tc>
        <w:tc>
          <w:tcPr>
            <w:tcW w:w="1284" w:type="dxa"/>
            <w:tcBorders>
              <w:top w:val="nil"/>
              <w:left w:val="nil"/>
              <w:bottom w:val="single" w:color="auto" w:sz="8" w:space="0"/>
              <w:right w:val="single" w:color="auto" w:sz="4" w:space="0"/>
            </w:tcBorders>
            <w:noWrap w:val="0"/>
            <w:vAlign w:val="center"/>
          </w:tcPr>
          <w:p w14:paraId="6047B053">
            <w:pPr>
              <w:widowControl/>
              <w:jc w:val="right"/>
              <w:textAlignment w:val="center"/>
              <w:rPr>
                <w:rFonts w:ascii="宋体" w:hAnsi="宋体" w:eastAsia="宋体" w:cs="宋体"/>
                <w:color w:val="000000"/>
                <w:kern w:val="0"/>
                <w:sz w:val="20"/>
                <w:szCs w:val="20"/>
              </w:rPr>
            </w:pPr>
            <w:r>
              <w:rPr>
                <w:rFonts w:hint="eastAsia" w:ascii="宋体" w:hAnsi="宋体" w:cs="宋体"/>
                <w:color w:val="000000"/>
                <w:kern w:val="0"/>
                <w:sz w:val="20"/>
                <w:szCs w:val="20"/>
                <w:lang w:val="en-US" w:eastAsia="zh-CN"/>
              </w:rPr>
              <w:t>7</w:t>
            </w:r>
          </w:p>
        </w:tc>
        <w:tc>
          <w:tcPr>
            <w:tcW w:w="1284" w:type="dxa"/>
            <w:tcBorders>
              <w:top w:val="nil"/>
              <w:left w:val="nil"/>
              <w:bottom w:val="single" w:color="auto" w:sz="8" w:space="0"/>
              <w:right w:val="single" w:color="auto" w:sz="4" w:space="0"/>
            </w:tcBorders>
            <w:noWrap w:val="0"/>
            <w:vAlign w:val="center"/>
          </w:tcPr>
          <w:p w14:paraId="50CB489C">
            <w:pPr>
              <w:widowControl/>
              <w:jc w:val="right"/>
              <w:textAlignment w:val="center"/>
              <w:rPr>
                <w:rFonts w:ascii="宋体" w:hAnsi="宋体" w:eastAsia="宋体" w:cs="宋体"/>
                <w:color w:val="000000"/>
                <w:kern w:val="0"/>
                <w:sz w:val="20"/>
                <w:szCs w:val="20"/>
              </w:rPr>
            </w:pPr>
            <w:r>
              <w:rPr>
                <w:rFonts w:hint="eastAsia" w:ascii="宋体" w:hAnsi="宋体" w:cs="宋体"/>
                <w:color w:val="000000"/>
                <w:kern w:val="0"/>
                <w:sz w:val="20"/>
                <w:szCs w:val="20"/>
                <w:lang w:val="en-US" w:eastAsia="zh-CN"/>
              </w:rPr>
              <w:t>0.98</w:t>
            </w:r>
          </w:p>
        </w:tc>
        <w:tc>
          <w:tcPr>
            <w:tcW w:w="1285" w:type="dxa"/>
            <w:tcBorders>
              <w:top w:val="nil"/>
              <w:left w:val="nil"/>
              <w:bottom w:val="single" w:color="auto" w:sz="8" w:space="0"/>
              <w:right w:val="single" w:color="auto" w:sz="4" w:space="0"/>
            </w:tcBorders>
            <w:noWrap w:val="0"/>
            <w:vAlign w:val="center"/>
          </w:tcPr>
          <w:p w14:paraId="5FB51A5A">
            <w:pPr>
              <w:widowControl/>
              <w:jc w:val="right"/>
              <w:textAlignment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7.98</w:t>
            </w:r>
          </w:p>
        </w:tc>
        <w:tc>
          <w:tcPr>
            <w:tcW w:w="1285" w:type="dxa"/>
            <w:tcBorders>
              <w:top w:val="nil"/>
              <w:left w:val="nil"/>
              <w:bottom w:val="single" w:color="auto" w:sz="8" w:space="0"/>
              <w:right w:val="single" w:color="auto" w:sz="4" w:space="0"/>
            </w:tcBorders>
            <w:noWrap w:val="0"/>
            <w:vAlign w:val="center"/>
          </w:tcPr>
          <w:p w14:paraId="639A2F8C">
            <w:pPr>
              <w:widowControl/>
              <w:jc w:val="right"/>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w:t>
            </w:r>
          </w:p>
        </w:tc>
        <w:tc>
          <w:tcPr>
            <w:tcW w:w="1285" w:type="dxa"/>
            <w:tcBorders>
              <w:top w:val="nil"/>
              <w:left w:val="nil"/>
              <w:bottom w:val="single" w:color="auto" w:sz="8" w:space="0"/>
              <w:right w:val="single" w:color="auto" w:sz="4" w:space="0"/>
            </w:tcBorders>
            <w:noWrap w:val="0"/>
            <w:vAlign w:val="center"/>
          </w:tcPr>
          <w:p w14:paraId="1CB79ED1">
            <w:pPr>
              <w:widowControl/>
              <w:jc w:val="right"/>
              <w:textAlignment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7</w:t>
            </w:r>
          </w:p>
        </w:tc>
        <w:tc>
          <w:tcPr>
            <w:tcW w:w="1285" w:type="dxa"/>
            <w:tcBorders>
              <w:top w:val="nil"/>
              <w:left w:val="nil"/>
              <w:bottom w:val="single" w:color="auto" w:sz="8" w:space="0"/>
              <w:right w:val="single" w:color="auto" w:sz="4" w:space="0"/>
            </w:tcBorders>
            <w:noWrap w:val="0"/>
            <w:vAlign w:val="center"/>
          </w:tcPr>
          <w:p w14:paraId="027805BB">
            <w:pPr>
              <w:widowControl/>
              <w:jc w:val="right"/>
              <w:textAlignment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w:t>
            </w:r>
          </w:p>
        </w:tc>
        <w:tc>
          <w:tcPr>
            <w:tcW w:w="1285" w:type="dxa"/>
            <w:tcBorders>
              <w:top w:val="nil"/>
              <w:left w:val="nil"/>
              <w:bottom w:val="single" w:color="auto" w:sz="8" w:space="0"/>
              <w:right w:val="nil"/>
            </w:tcBorders>
            <w:noWrap w:val="0"/>
            <w:vAlign w:val="center"/>
          </w:tcPr>
          <w:p w14:paraId="184F5923">
            <w:pPr>
              <w:widowControl/>
              <w:jc w:val="right"/>
              <w:textAlignment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7</w:t>
            </w:r>
          </w:p>
        </w:tc>
        <w:tc>
          <w:tcPr>
            <w:tcW w:w="1285" w:type="dxa"/>
            <w:tcBorders>
              <w:top w:val="nil"/>
              <w:left w:val="single" w:color="auto" w:sz="4" w:space="0"/>
              <w:bottom w:val="single" w:color="auto" w:sz="8" w:space="0"/>
              <w:right w:val="single" w:color="auto" w:sz="8" w:space="0"/>
            </w:tcBorders>
            <w:noWrap w:val="0"/>
            <w:vAlign w:val="center"/>
          </w:tcPr>
          <w:p w14:paraId="130E6EE7">
            <w:pPr>
              <w:widowControl/>
              <w:jc w:val="right"/>
              <w:textAlignment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0.98</w:t>
            </w:r>
          </w:p>
        </w:tc>
      </w:tr>
    </w:tbl>
    <w:p w14:paraId="08B4DF37">
      <w:pPr>
        <w:widowControl/>
        <w:jc w:val="left"/>
        <w:rPr>
          <w:rFonts w:ascii="宋体" w:eastAsia="宋体" w:cs="宋体"/>
          <w:color w:val="000000"/>
          <w:kern w:val="0"/>
          <w:sz w:val="24"/>
          <w:szCs w:val="24"/>
        </w:rPr>
      </w:pPr>
      <w:r>
        <w:rPr>
          <w:rFonts w:hint="eastAsia" w:ascii="宋体" w:eastAsia="宋体" w:cs="宋体"/>
          <w:color w:val="000000"/>
          <w:kern w:val="0"/>
          <w:sz w:val="24"/>
          <w:szCs w:val="24"/>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宋体" w:eastAsia="宋体" w:cs="宋体"/>
          <w:color w:val="000000"/>
          <w:kern w:val="0"/>
          <w:sz w:val="24"/>
          <w:szCs w:val="24"/>
        </w:rPr>
        <w:br w:type="page"/>
      </w:r>
    </w:p>
    <w:p w14:paraId="5EEAC6D7">
      <w:pPr>
        <w:autoSpaceDE w:val="0"/>
        <w:autoSpaceDN w:val="0"/>
        <w:adjustRightInd w:val="0"/>
        <w:ind w:left="315" w:leftChars="150"/>
        <w:jc w:val="left"/>
        <w:rPr>
          <w:rFonts w:ascii="宋体" w:eastAsia="宋体" w:cs="宋体"/>
          <w:color w:val="000000"/>
          <w:kern w:val="0"/>
          <w:sz w:val="24"/>
          <w:szCs w:val="24"/>
        </w:rPr>
      </w:pPr>
    </w:p>
    <w:p w14:paraId="33504D6A">
      <w:pPr>
        <w:widowControl/>
        <w:jc w:val="center"/>
        <w:rPr>
          <w:rFonts w:ascii="Times New Roman" w:hAnsi="Times New Roman" w:eastAsia="方正小标宋_GBK" w:cs="Times New Roman"/>
          <w:color w:val="000000"/>
          <w:kern w:val="0"/>
          <w:sz w:val="36"/>
          <w:szCs w:val="36"/>
        </w:rPr>
      </w:pPr>
      <w:r>
        <w:rPr>
          <w:rFonts w:ascii="Times New Roman" w:hAnsi="Times New Roman" w:eastAsia="方正小标宋_GBK" w:cs="Times New Roman"/>
          <w:color w:val="000000"/>
          <w:kern w:val="0"/>
          <w:sz w:val="36"/>
          <w:szCs w:val="36"/>
        </w:rPr>
        <w:t>政府性基金预算财政拨款收入支出决算表</w:t>
      </w:r>
    </w:p>
    <w:p w14:paraId="1A0DA907">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公开08表</w:t>
      </w:r>
    </w:p>
    <w:p w14:paraId="4EF21FAD">
      <w:pPr>
        <w:widowControl/>
        <w:ind w:right="420" w:firstLine="525" w:firstLineChars="250"/>
        <w:rPr>
          <w:rFonts w:ascii="宋体" w:hAnsi="宋体" w:cs="Times New Roman"/>
          <w:color w:val="000000"/>
          <w:kern w:val="0"/>
          <w:sz w:val="24"/>
          <w:szCs w:val="24"/>
        </w:rPr>
      </w:pP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单位：万元</w:t>
      </w:r>
    </w:p>
    <w:p w14:paraId="4E741436">
      <w:pPr>
        <w:widowControl/>
        <w:jc w:val="left"/>
        <w:rPr>
          <w:rFonts w:ascii="宋体" w:hAnsi="宋体" w:cs="Times New Roman"/>
          <w:color w:val="000000"/>
          <w:kern w:val="0"/>
          <w:sz w:val="24"/>
          <w:szCs w:val="24"/>
        </w:rPr>
      </w:pPr>
      <w:r>
        <w:rPr>
          <w:rFonts w:hint="eastAsia" w:ascii="宋体" w:hAnsi="宋体" w:eastAsia="宋体" w:cs="Times New Roman"/>
          <w:color w:val="000000"/>
          <w:kern w:val="0"/>
          <w:sz w:val="24"/>
          <w:szCs w:val="24"/>
          <w:lang w:eastAsia="zh-CN"/>
        </w:rPr>
        <w:pict>
          <v:shape id="_x0000_i1031" o:spt="75" alt="政府性基金" type="#_x0000_t75" style="height:81pt;width:744.1pt;" filled="f" o:preferrelative="t" stroked="f" coordsize="21600,21600">
            <v:path/>
            <v:fill on="f" focussize="0,0"/>
            <v:stroke on="f"/>
            <v:imagedata r:id="rId12" o:title="政府性基金"/>
            <o:lock v:ext="edit" aspectratio="t"/>
            <w10:wrap type="none"/>
            <w10:anchorlock/>
          </v:shape>
        </w:pict>
      </w:r>
    </w:p>
    <w:p w14:paraId="3F83C158">
      <w:pPr>
        <w:widowControl/>
        <w:jc w:val="left"/>
        <w:rPr>
          <w:rFonts w:ascii="宋体" w:hAnsi="宋体" w:cs="Times New Roman"/>
          <w:color w:val="000000"/>
          <w:kern w:val="0"/>
          <w:sz w:val="24"/>
          <w:szCs w:val="24"/>
        </w:rPr>
      </w:pPr>
      <w:r>
        <w:rPr>
          <w:rFonts w:ascii="宋体" w:hAnsi="宋体" w:cs="Times New Roman"/>
          <w:color w:val="000000"/>
          <w:kern w:val="0"/>
          <w:sz w:val="24"/>
          <w:szCs w:val="24"/>
        </w:rPr>
        <w:t>注：本表反映部门本年度政府性基金预算财政拨款收入、支出及结转和结余情况</w:t>
      </w:r>
    </w:p>
    <w:p w14:paraId="30F4A040">
      <w:pPr>
        <w:widowControl/>
        <w:ind w:firstLine="480" w:firstLineChars="200"/>
        <w:jc w:val="left"/>
        <w:rPr>
          <w:rFonts w:ascii="宋体" w:hAnsi="宋体" w:cs="Times New Roman"/>
          <w:color w:val="000000"/>
          <w:kern w:val="0"/>
          <w:sz w:val="24"/>
          <w:szCs w:val="24"/>
        </w:rPr>
      </w:pPr>
      <w:r>
        <w:rPr>
          <w:rFonts w:hint="eastAsia" w:ascii="宋体" w:hAnsi="宋体" w:cs="Times New Roman"/>
          <w:color w:val="000000"/>
          <w:kern w:val="0"/>
          <w:sz w:val="24"/>
          <w:szCs w:val="24"/>
        </w:rPr>
        <w:t>株洲市人民政府国有资产监督管理委员会没有政府性基金收入，也没有使用政府性基金安排的支出，故本表无数据。</w:t>
      </w:r>
    </w:p>
    <w:p w14:paraId="5811DD03">
      <w:pPr>
        <w:widowControl/>
        <w:jc w:val="left"/>
        <w:rPr>
          <w:rFonts w:ascii="宋体" w:hAnsi="宋体"/>
          <w:color w:val="000000"/>
          <w:sz w:val="24"/>
          <w:szCs w:val="24"/>
        </w:rPr>
      </w:pPr>
      <w:r>
        <w:rPr>
          <w:rFonts w:ascii="宋体" w:hAnsi="宋体"/>
          <w:color w:val="000000"/>
          <w:sz w:val="24"/>
          <w:szCs w:val="24"/>
        </w:rPr>
        <w:br w:type="page"/>
      </w:r>
    </w:p>
    <w:p w14:paraId="7B671E1C">
      <w:pPr>
        <w:widowControl/>
        <w:jc w:val="center"/>
        <w:rPr>
          <w:rFonts w:ascii="宋体" w:hAnsi="宋体"/>
          <w:color w:val="000000"/>
          <w:sz w:val="24"/>
          <w:szCs w:val="24"/>
        </w:rPr>
      </w:pPr>
      <w:r>
        <w:rPr>
          <w:rFonts w:hint="eastAsia" w:ascii="黑体" w:hAnsi="宋体" w:eastAsia="黑体" w:cs="黑体"/>
          <w:color w:val="000000"/>
          <w:kern w:val="0"/>
          <w:sz w:val="30"/>
          <w:szCs w:val="30"/>
        </w:rPr>
        <w:t>国有资本经营预算财政拨款支出决算表</w:t>
      </w:r>
    </w:p>
    <w:p w14:paraId="6AD3575E">
      <w:pPr>
        <w:widowControl/>
        <w:jc w:val="left"/>
        <w:rPr>
          <w:rFonts w:ascii="宋体" w:hAnsi="宋体"/>
          <w:color w:val="000000"/>
          <w:sz w:val="24"/>
          <w:szCs w:val="24"/>
        </w:rPr>
      </w:pPr>
    </w:p>
    <w:p w14:paraId="01AC0ABF">
      <w:pPr>
        <w:widowControl/>
        <w:jc w:val="center"/>
        <w:rPr>
          <w:rFonts w:ascii="Times New Roman" w:hAnsi="Times New Roman" w:eastAsia="仿宋_GB2312" w:cs="Times New Roman"/>
          <w:color w:val="000000"/>
          <w:kern w:val="0"/>
          <w:szCs w:val="21"/>
        </w:rPr>
      </w:pPr>
      <w:r>
        <w:rPr>
          <w:rFonts w:hint="eastAsia" w:eastAsia="仿宋_GB2312" w:cs="Times New Roman"/>
          <w:color w:val="000000"/>
          <w:kern w:val="0"/>
          <w:szCs w:val="21"/>
          <w:lang w:val="en-US" w:eastAsia="zh-CN"/>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公开0</w:t>
      </w:r>
      <w:r>
        <w:rPr>
          <w:rFonts w:hint="eastAsia" w:eastAsia="仿宋_GB2312" w:cs="Times New Roman"/>
          <w:color w:val="000000"/>
          <w:kern w:val="0"/>
          <w:szCs w:val="21"/>
          <w:lang w:val="en-US" w:eastAsia="zh-CN"/>
        </w:rPr>
        <w:t>9</w:t>
      </w:r>
      <w:r>
        <w:rPr>
          <w:rFonts w:ascii="Times New Roman" w:hAnsi="Times New Roman" w:eastAsia="仿宋_GB2312" w:cs="Times New Roman"/>
          <w:color w:val="000000"/>
          <w:kern w:val="0"/>
          <w:szCs w:val="21"/>
        </w:rPr>
        <w:t>表</w:t>
      </w:r>
    </w:p>
    <w:p w14:paraId="75A5026A">
      <w:pPr>
        <w:widowControl/>
        <w:ind w:right="420" w:firstLine="525" w:firstLineChars="250"/>
        <w:rPr>
          <w:rFonts w:ascii="宋体" w:hAnsi="宋体"/>
          <w:color w:val="000000"/>
          <w:sz w:val="24"/>
          <w:szCs w:val="24"/>
        </w:rPr>
      </w:pP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rPr>
        <w:t>株洲市人民政府国有资产监督管理委员会</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单位：万元</w:t>
      </w:r>
    </w:p>
    <w:p w14:paraId="186A3950">
      <w:pPr>
        <w:pStyle w:val="16"/>
        <w:rPr>
          <w:rFonts w:hint="eastAsia" w:eastAsia="黑体"/>
          <w:color w:val="000000"/>
          <w:sz w:val="72"/>
          <w:szCs w:val="72"/>
          <w:lang w:eastAsia="zh-CN"/>
        </w:rPr>
      </w:pPr>
      <w:r>
        <w:rPr>
          <w:rFonts w:hint="eastAsia" w:eastAsia="黑体"/>
          <w:color w:val="000000"/>
          <w:sz w:val="72"/>
          <w:szCs w:val="72"/>
          <w:lang w:eastAsia="zh-CN"/>
        </w:rPr>
        <w:pict>
          <v:shape id="_x0000_i1032" o:spt="75" alt="国有资本" type="#_x0000_t75" style="height:64pt;width:780.65pt;" filled="f" o:preferrelative="t" stroked="f" coordsize="21600,21600">
            <v:path/>
            <v:fill on="f" focussize="0,0"/>
            <v:stroke on="f"/>
            <v:imagedata r:id="rId13" o:title="国有资本"/>
            <o:lock v:ext="edit" aspectratio="t"/>
            <w10:wrap type="none"/>
            <w10:anchorlock/>
          </v:shape>
        </w:pict>
      </w:r>
    </w:p>
    <w:p w14:paraId="02BCCBB2">
      <w:pPr>
        <w:pStyle w:val="16"/>
        <w:rPr>
          <w:rFonts w:hint="eastAsia" w:eastAsia="黑体"/>
          <w:color w:val="000000"/>
          <w:sz w:val="72"/>
          <w:szCs w:val="72"/>
          <w:lang w:eastAsia="zh-CN"/>
        </w:rPr>
        <w:sectPr>
          <w:pgSz w:w="16838" w:h="11906" w:orient="landscape"/>
          <w:pgMar w:top="720" w:right="720" w:bottom="720" w:left="720" w:header="851" w:footer="992" w:gutter="0"/>
          <w:cols w:space="720" w:num="1"/>
          <w:docGrid w:type="lines" w:linePitch="312" w:charSpace="0"/>
        </w:sectPr>
      </w:pPr>
      <w:r>
        <w:rPr>
          <w:rFonts w:ascii="宋体" w:hAnsi="宋体" w:eastAsia="宋体" w:cs="宋体"/>
          <w:sz w:val="24"/>
          <w:szCs w:val="24"/>
        </w:rPr>
        <w:t>注：本表反映部门本年度国有资本经营预算财政拨款支出情况。</w:t>
      </w:r>
    </w:p>
    <w:p w14:paraId="455BC59C">
      <w:pPr>
        <w:pStyle w:val="16"/>
        <w:rPr>
          <w:sz w:val="72"/>
          <w:szCs w:val="72"/>
        </w:rPr>
      </w:pPr>
    </w:p>
    <w:p w14:paraId="375B2E3C">
      <w:pPr>
        <w:pStyle w:val="16"/>
        <w:rPr>
          <w:sz w:val="72"/>
          <w:szCs w:val="72"/>
        </w:rPr>
      </w:pPr>
    </w:p>
    <w:p w14:paraId="0E8F928B">
      <w:pPr>
        <w:pStyle w:val="16"/>
        <w:rPr>
          <w:sz w:val="72"/>
          <w:szCs w:val="72"/>
        </w:rPr>
      </w:pPr>
    </w:p>
    <w:p w14:paraId="0779AF92">
      <w:pPr>
        <w:pStyle w:val="16"/>
        <w:rPr>
          <w:sz w:val="72"/>
          <w:szCs w:val="72"/>
        </w:rPr>
      </w:pPr>
    </w:p>
    <w:p w14:paraId="667A1566">
      <w:pPr>
        <w:pStyle w:val="16"/>
        <w:jc w:val="center"/>
        <w:rPr>
          <w:sz w:val="72"/>
          <w:szCs w:val="72"/>
        </w:rPr>
      </w:pPr>
    </w:p>
    <w:p w14:paraId="722A8282">
      <w:pPr>
        <w:pStyle w:val="16"/>
        <w:jc w:val="center"/>
        <w:rPr>
          <w:sz w:val="72"/>
          <w:szCs w:val="72"/>
        </w:rPr>
      </w:pPr>
    </w:p>
    <w:p w14:paraId="28EF5424">
      <w:pPr>
        <w:pStyle w:val="16"/>
        <w:jc w:val="center"/>
        <w:rPr>
          <w:rFonts w:hint="eastAsia" w:ascii="方正小标宋简体" w:eastAsia="方正小标宋简体"/>
          <w:sz w:val="72"/>
          <w:szCs w:val="72"/>
        </w:rPr>
      </w:pPr>
      <w:r>
        <w:rPr>
          <w:rFonts w:hint="eastAsia" w:ascii="方正小标宋简体" w:eastAsia="方正小标宋简体"/>
          <w:sz w:val="72"/>
          <w:szCs w:val="72"/>
        </w:rPr>
        <w:t>第三部分</w:t>
      </w:r>
    </w:p>
    <w:p w14:paraId="440D28C5">
      <w:pPr>
        <w:pStyle w:val="16"/>
        <w:jc w:val="center"/>
        <w:rPr>
          <w:rFonts w:hint="eastAsia" w:ascii="方正小标宋简体" w:eastAsia="方正小标宋简体"/>
          <w:sz w:val="72"/>
          <w:szCs w:val="72"/>
        </w:rPr>
      </w:pPr>
    </w:p>
    <w:p w14:paraId="37212D1C">
      <w:pPr>
        <w:pStyle w:val="16"/>
        <w:jc w:val="center"/>
        <w:rPr>
          <w:rFonts w:hint="eastAsia" w:ascii="方正小标宋简体" w:eastAsia="方正小标宋简体"/>
          <w:sz w:val="72"/>
          <w:szCs w:val="72"/>
        </w:rPr>
      </w:pPr>
      <w:r>
        <w:rPr>
          <w:rFonts w:hint="eastAsia" w:ascii="方正小标宋简体" w:eastAsia="方正小标宋简体"/>
          <w:sz w:val="72"/>
          <w:szCs w:val="72"/>
        </w:rPr>
        <w:t>202</w:t>
      </w:r>
      <w:r>
        <w:rPr>
          <w:rFonts w:hint="eastAsia" w:ascii="方正小标宋简体" w:eastAsia="方正小标宋简体"/>
          <w:sz w:val="72"/>
          <w:szCs w:val="72"/>
          <w:lang w:val="en-US" w:eastAsia="zh-CN"/>
        </w:rPr>
        <w:t>3</w:t>
      </w:r>
      <w:r>
        <w:rPr>
          <w:rFonts w:hint="eastAsia" w:ascii="方正小标宋简体" w:eastAsia="方正小标宋简体"/>
          <w:sz w:val="72"/>
          <w:szCs w:val="72"/>
        </w:rPr>
        <w:t>年度部门决算情况说明</w:t>
      </w:r>
    </w:p>
    <w:p w14:paraId="79C466E0">
      <w:pPr>
        <w:pStyle w:val="16"/>
        <w:rPr>
          <w:rFonts w:hAnsi="黑体"/>
          <w:sz w:val="32"/>
          <w:szCs w:val="32"/>
        </w:rPr>
      </w:pPr>
      <w:r>
        <w:rPr>
          <w:rFonts w:hint="eastAsia" w:ascii="方正小标宋简体" w:eastAsia="方正小标宋简体"/>
          <w:sz w:val="72"/>
          <w:szCs w:val="72"/>
        </w:rPr>
        <w:br w:type="page"/>
      </w:r>
      <w:r>
        <w:rPr>
          <w:rFonts w:hint="eastAsia" w:hAnsi="黑体"/>
          <w:sz w:val="32"/>
          <w:szCs w:val="32"/>
        </w:rPr>
        <w:t>一、收入支出决算总体情况说明</w:t>
      </w:r>
    </w:p>
    <w:p w14:paraId="3E783DEF">
      <w:pPr>
        <w:pStyle w:val="16"/>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3</w:t>
      </w:r>
      <w:r>
        <w:rPr>
          <w:rFonts w:hint="eastAsia" w:ascii="仿宋_GB2312" w:hAnsi="宋体" w:eastAsia="仿宋_GB2312"/>
          <w:sz w:val="32"/>
          <w:szCs w:val="32"/>
        </w:rPr>
        <w:t>年度收、支总计</w:t>
      </w:r>
      <w:r>
        <w:rPr>
          <w:rFonts w:hint="eastAsia" w:ascii="仿宋_GB2312" w:hAnsi="宋体" w:eastAsia="仿宋_GB2312"/>
          <w:sz w:val="32"/>
          <w:szCs w:val="32"/>
          <w:lang w:val="en-US" w:eastAsia="zh-CN"/>
        </w:rPr>
        <w:t>1677.72</w:t>
      </w:r>
      <w:r>
        <w:rPr>
          <w:rFonts w:hint="eastAsia" w:ascii="仿宋_GB2312" w:hAnsi="宋体" w:eastAsia="仿宋_GB2312"/>
          <w:sz w:val="32"/>
          <w:szCs w:val="32"/>
        </w:rPr>
        <w:t>万元。与上年相比，</w:t>
      </w:r>
      <w:r>
        <w:rPr>
          <w:rFonts w:hint="eastAsia" w:ascii="仿宋_GB2312" w:hAnsi="宋体" w:eastAsia="仿宋_GB2312"/>
          <w:sz w:val="32"/>
          <w:szCs w:val="32"/>
          <w:lang w:val="en-US" w:eastAsia="zh-CN"/>
        </w:rPr>
        <w:t>减少700.17</w:t>
      </w:r>
      <w:r>
        <w:rPr>
          <w:rFonts w:hint="eastAsia" w:ascii="仿宋_GB2312" w:hAnsi="宋体" w:eastAsia="仿宋_GB2312"/>
          <w:sz w:val="32"/>
          <w:szCs w:val="32"/>
        </w:rPr>
        <w:t>万元，</w:t>
      </w:r>
      <w:r>
        <w:rPr>
          <w:rFonts w:hint="eastAsia" w:ascii="仿宋_GB2312" w:hAnsi="宋体" w:eastAsia="仿宋_GB2312"/>
          <w:sz w:val="32"/>
          <w:szCs w:val="32"/>
          <w:lang w:val="en-US" w:eastAsia="zh-CN"/>
        </w:rPr>
        <w:t>减少29.45%</w:t>
      </w:r>
      <w:r>
        <w:rPr>
          <w:rFonts w:hint="eastAsia" w:ascii="仿宋_GB2312" w:hAnsi="宋体" w:eastAsia="仿宋_GB2312"/>
          <w:sz w:val="32"/>
          <w:szCs w:val="32"/>
        </w:rPr>
        <w:t>，主要是因为</w:t>
      </w:r>
      <w:r>
        <w:rPr>
          <w:rFonts w:hint="eastAsia" w:ascii="仿宋_GB2312" w:hAnsi="宋体" w:eastAsia="仿宋_GB2312"/>
          <w:sz w:val="32"/>
          <w:szCs w:val="32"/>
          <w:lang w:val="en-US" w:eastAsia="zh-CN"/>
        </w:rPr>
        <w:t>过紧日子政策，整体财政支出下降</w:t>
      </w:r>
      <w:r>
        <w:rPr>
          <w:rFonts w:hint="eastAsia" w:ascii="仿宋_GB2312" w:hAnsi="宋体" w:eastAsia="仿宋_GB2312"/>
          <w:color w:val="000000"/>
          <w:sz w:val="32"/>
          <w:szCs w:val="32"/>
        </w:rPr>
        <w:t>。</w:t>
      </w:r>
    </w:p>
    <w:p w14:paraId="39FC761B">
      <w:pPr>
        <w:pStyle w:val="16"/>
        <w:spacing w:line="560" w:lineRule="exact"/>
        <w:rPr>
          <w:rFonts w:hAnsi="黑体"/>
          <w:sz w:val="32"/>
          <w:szCs w:val="32"/>
        </w:rPr>
      </w:pPr>
      <w:r>
        <w:rPr>
          <w:rFonts w:hint="eastAsia" w:hAnsi="黑体"/>
          <w:sz w:val="32"/>
          <w:szCs w:val="32"/>
        </w:rPr>
        <w:t>二、收入决算情况说明</w:t>
      </w:r>
    </w:p>
    <w:p w14:paraId="743B8674">
      <w:pPr>
        <w:pStyle w:val="16"/>
        <w:ind w:firstLine="640" w:firstLineChars="200"/>
        <w:rPr>
          <w:rFonts w:hint="eastAsia" w:ascii="仿宋_GB2312" w:hAnsi="宋体" w:eastAsia="仿宋_GB2312"/>
          <w:sz w:val="32"/>
          <w:szCs w:val="32"/>
        </w:rPr>
      </w:pPr>
      <w:r>
        <w:rPr>
          <w:rFonts w:hint="eastAsia" w:ascii="仿宋_GB2312" w:hAnsi="宋体" w:eastAsia="仿宋_GB2312"/>
          <w:sz w:val="32"/>
          <w:szCs w:val="32"/>
        </w:rPr>
        <w:t>本年收入合计</w:t>
      </w:r>
      <w:r>
        <w:rPr>
          <w:rFonts w:hint="eastAsia" w:ascii="仿宋_GB2312" w:hAnsi="宋体" w:eastAsia="仿宋_GB2312"/>
          <w:sz w:val="32"/>
          <w:szCs w:val="32"/>
          <w:lang w:val="en-US" w:eastAsia="zh-CN"/>
        </w:rPr>
        <w:t>1677.72</w:t>
      </w:r>
      <w:r>
        <w:rPr>
          <w:rFonts w:hint="eastAsia" w:ascii="仿宋_GB2312" w:hAnsi="宋体" w:eastAsia="仿宋_GB2312"/>
          <w:sz w:val="32"/>
          <w:szCs w:val="32"/>
        </w:rPr>
        <w:t>万元，其中：财政拨款收入</w:t>
      </w:r>
      <w:r>
        <w:rPr>
          <w:rFonts w:hint="eastAsia" w:ascii="仿宋_GB2312" w:hAnsi="宋体" w:eastAsia="仿宋_GB2312"/>
          <w:sz w:val="32"/>
          <w:szCs w:val="32"/>
          <w:lang w:val="en-US" w:eastAsia="zh-CN"/>
        </w:rPr>
        <w:t>1677.72</w:t>
      </w:r>
      <w:r>
        <w:rPr>
          <w:rFonts w:hint="eastAsia" w:ascii="仿宋_GB2312" w:hAnsi="宋体" w:eastAsia="仿宋_GB2312"/>
          <w:sz w:val="32"/>
          <w:szCs w:val="32"/>
        </w:rPr>
        <w:t>万元，占</w:t>
      </w:r>
      <w:r>
        <w:rPr>
          <w:rFonts w:hint="eastAsia" w:ascii="仿宋_GB2312" w:hAnsi="宋体" w:eastAsia="仿宋_GB2312"/>
          <w:sz w:val="32"/>
          <w:szCs w:val="32"/>
          <w:lang w:val="en-US" w:eastAsia="zh-CN"/>
        </w:rPr>
        <w:t>100</w:t>
      </w:r>
      <w:r>
        <w:rPr>
          <w:rFonts w:hint="eastAsia" w:ascii="仿宋_GB2312" w:hAnsi="宋体" w:eastAsia="仿宋_GB2312"/>
          <w:sz w:val="32"/>
          <w:szCs w:val="32"/>
        </w:rPr>
        <w:t>%。</w:t>
      </w:r>
    </w:p>
    <w:p w14:paraId="7B73D5D4">
      <w:pPr>
        <w:pStyle w:val="16"/>
        <w:spacing w:line="560" w:lineRule="exact"/>
        <w:rPr>
          <w:rFonts w:hAnsi="黑体"/>
          <w:sz w:val="32"/>
          <w:szCs w:val="32"/>
        </w:rPr>
      </w:pPr>
      <w:r>
        <w:rPr>
          <w:rFonts w:hint="eastAsia" w:hAnsi="黑体"/>
          <w:sz w:val="32"/>
          <w:szCs w:val="32"/>
        </w:rPr>
        <w:t>三、支出决算情况说明</w:t>
      </w:r>
    </w:p>
    <w:p w14:paraId="0FF9B5F6">
      <w:pPr>
        <w:pStyle w:val="16"/>
        <w:spacing w:line="560" w:lineRule="exact"/>
        <w:ind w:firstLine="640" w:firstLineChars="200"/>
        <w:rPr>
          <w:rFonts w:ascii="仿宋_GB2312" w:hAnsi="宋体" w:eastAsia="仿宋_GB2312"/>
          <w:color w:val="FF0000"/>
          <w:sz w:val="32"/>
          <w:szCs w:val="32"/>
        </w:rPr>
      </w:pPr>
      <w:r>
        <w:rPr>
          <w:rFonts w:hint="eastAsia" w:ascii="仿宋_GB2312" w:hAnsi="宋体" w:eastAsia="仿宋_GB2312"/>
          <w:sz w:val="32"/>
          <w:szCs w:val="32"/>
        </w:rPr>
        <w:t>本年支出合计</w:t>
      </w:r>
      <w:r>
        <w:rPr>
          <w:rFonts w:hint="eastAsia" w:ascii="仿宋_GB2312" w:hAnsi="宋体" w:eastAsia="仿宋_GB2312"/>
          <w:sz w:val="32"/>
          <w:szCs w:val="32"/>
          <w:lang w:val="en-US" w:eastAsia="zh-CN"/>
        </w:rPr>
        <w:t>1677.72</w:t>
      </w:r>
      <w:r>
        <w:rPr>
          <w:rFonts w:hint="eastAsia" w:ascii="仿宋_GB2312" w:hAnsi="宋体" w:eastAsia="仿宋_GB2312"/>
          <w:sz w:val="32"/>
          <w:szCs w:val="32"/>
        </w:rPr>
        <w:t>万元，其中：基本支出</w:t>
      </w:r>
      <w:r>
        <w:rPr>
          <w:rFonts w:hint="eastAsia" w:ascii="仿宋_GB2312" w:hAnsi="宋体" w:eastAsia="仿宋_GB2312"/>
          <w:sz w:val="32"/>
          <w:szCs w:val="32"/>
          <w:lang w:val="en-US" w:eastAsia="zh-CN"/>
        </w:rPr>
        <w:t>1262.05</w:t>
      </w:r>
      <w:r>
        <w:rPr>
          <w:rFonts w:hint="eastAsia" w:ascii="仿宋_GB2312" w:hAnsi="宋体" w:eastAsia="仿宋_GB2312"/>
          <w:sz w:val="32"/>
          <w:szCs w:val="32"/>
        </w:rPr>
        <w:t>万元，占</w:t>
      </w:r>
      <w:r>
        <w:rPr>
          <w:rFonts w:hint="eastAsia" w:ascii="仿宋_GB2312" w:hAnsi="宋体" w:eastAsia="仿宋_GB2312"/>
          <w:sz w:val="32"/>
          <w:szCs w:val="32"/>
          <w:lang w:val="en-US" w:eastAsia="zh-CN"/>
        </w:rPr>
        <w:t>75.22</w:t>
      </w:r>
      <w:r>
        <w:rPr>
          <w:rFonts w:hint="eastAsia" w:ascii="仿宋_GB2312" w:hAnsi="宋体" w:eastAsia="仿宋_GB2312"/>
          <w:sz w:val="32"/>
          <w:szCs w:val="32"/>
        </w:rPr>
        <w:t>%；项目支出</w:t>
      </w:r>
      <w:r>
        <w:rPr>
          <w:rFonts w:hint="eastAsia" w:ascii="仿宋_GB2312" w:hAnsi="宋体" w:eastAsia="仿宋_GB2312"/>
          <w:sz w:val="32"/>
          <w:szCs w:val="32"/>
          <w:lang w:val="en-US" w:eastAsia="zh-CN"/>
        </w:rPr>
        <w:t>415.67</w:t>
      </w:r>
      <w:r>
        <w:rPr>
          <w:rFonts w:hint="eastAsia" w:ascii="仿宋_GB2312" w:hAnsi="宋体" w:eastAsia="仿宋_GB2312"/>
          <w:sz w:val="32"/>
          <w:szCs w:val="32"/>
        </w:rPr>
        <w:t>万元，占</w:t>
      </w:r>
      <w:r>
        <w:rPr>
          <w:rFonts w:hint="eastAsia" w:ascii="仿宋_GB2312" w:hAnsi="宋体" w:eastAsia="仿宋_GB2312"/>
          <w:sz w:val="32"/>
          <w:szCs w:val="32"/>
          <w:lang w:val="en-US" w:eastAsia="zh-CN"/>
        </w:rPr>
        <w:t>24.78</w:t>
      </w:r>
      <w:r>
        <w:rPr>
          <w:rFonts w:hint="eastAsia" w:ascii="仿宋_GB2312" w:hAnsi="宋体" w:eastAsia="仿宋_GB2312"/>
          <w:sz w:val="32"/>
          <w:szCs w:val="32"/>
        </w:rPr>
        <w:t>%。</w:t>
      </w:r>
    </w:p>
    <w:p w14:paraId="47589FC2">
      <w:pPr>
        <w:pStyle w:val="16"/>
        <w:spacing w:line="560" w:lineRule="exact"/>
        <w:rPr>
          <w:rFonts w:hAnsi="黑体"/>
          <w:sz w:val="32"/>
          <w:szCs w:val="32"/>
        </w:rPr>
      </w:pPr>
      <w:r>
        <w:rPr>
          <w:rFonts w:hint="eastAsia" w:hAnsi="黑体"/>
          <w:sz w:val="32"/>
          <w:szCs w:val="32"/>
        </w:rPr>
        <w:t>四、财政拨款收入支出决算总体情况说明</w:t>
      </w:r>
    </w:p>
    <w:p w14:paraId="039F2CD8">
      <w:pPr>
        <w:pStyle w:val="16"/>
        <w:spacing w:line="560" w:lineRule="exact"/>
        <w:ind w:firstLine="640" w:firstLineChars="200"/>
        <w:rPr>
          <w:rFonts w:hint="eastAsia" w:ascii="仿宋_GB2312" w:hAnsi="宋体" w:eastAsia="仿宋_GB2312"/>
          <w:color w:val="FF0000"/>
          <w:sz w:val="32"/>
          <w:szCs w:val="32"/>
          <w:lang w:eastAsia="zh-CN"/>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3</w:t>
      </w:r>
      <w:r>
        <w:rPr>
          <w:rFonts w:hint="eastAsia" w:ascii="仿宋_GB2312" w:hAnsi="宋体" w:eastAsia="仿宋_GB2312"/>
          <w:sz w:val="32"/>
          <w:szCs w:val="32"/>
        </w:rPr>
        <w:t>年度财政拨款收、支总计</w:t>
      </w:r>
      <w:r>
        <w:rPr>
          <w:rFonts w:hint="eastAsia" w:ascii="仿宋_GB2312" w:hAnsi="宋体" w:eastAsia="仿宋_GB2312"/>
          <w:sz w:val="32"/>
          <w:szCs w:val="32"/>
          <w:lang w:val="en-US" w:eastAsia="zh-CN"/>
        </w:rPr>
        <w:t>1677.72</w:t>
      </w:r>
      <w:r>
        <w:rPr>
          <w:rFonts w:hint="eastAsia" w:ascii="仿宋_GB2312" w:hAnsi="宋体" w:eastAsia="仿宋_GB2312"/>
          <w:sz w:val="32"/>
          <w:szCs w:val="32"/>
        </w:rPr>
        <w:t>万元与上年相比，</w:t>
      </w:r>
      <w:r>
        <w:rPr>
          <w:rFonts w:hint="eastAsia" w:ascii="仿宋_GB2312" w:hAnsi="宋体" w:eastAsia="仿宋_GB2312"/>
          <w:sz w:val="32"/>
          <w:szCs w:val="32"/>
          <w:lang w:val="en-US" w:eastAsia="zh-CN"/>
        </w:rPr>
        <w:t>减少700.17</w:t>
      </w:r>
      <w:r>
        <w:rPr>
          <w:rFonts w:hint="eastAsia" w:ascii="仿宋_GB2312" w:hAnsi="宋体" w:eastAsia="仿宋_GB2312"/>
          <w:sz w:val="32"/>
          <w:szCs w:val="32"/>
        </w:rPr>
        <w:t>万元,</w:t>
      </w:r>
      <w:r>
        <w:rPr>
          <w:rFonts w:hint="eastAsia" w:ascii="仿宋_GB2312" w:hAnsi="宋体" w:eastAsia="仿宋_GB2312"/>
          <w:sz w:val="32"/>
          <w:szCs w:val="32"/>
          <w:lang w:val="en-US" w:eastAsia="zh-CN"/>
        </w:rPr>
        <w:t>减少29.45%</w:t>
      </w:r>
      <w:r>
        <w:rPr>
          <w:rFonts w:hint="eastAsia" w:ascii="仿宋_GB2312" w:hAnsi="宋体" w:eastAsia="仿宋_GB2312"/>
          <w:sz w:val="32"/>
          <w:szCs w:val="32"/>
        </w:rPr>
        <w:t>，主要是因为</w:t>
      </w:r>
      <w:r>
        <w:rPr>
          <w:rFonts w:hint="eastAsia" w:ascii="仿宋_GB2312" w:hAnsi="宋体" w:eastAsia="仿宋_GB2312"/>
          <w:sz w:val="32"/>
          <w:szCs w:val="32"/>
          <w:lang w:val="en-US" w:eastAsia="zh-CN"/>
        </w:rPr>
        <w:t>过紧日子政策，整体财政支出下降</w:t>
      </w:r>
      <w:r>
        <w:rPr>
          <w:rFonts w:hint="eastAsia" w:ascii="仿宋_GB2312" w:hAnsi="宋体" w:eastAsia="仿宋_GB2312"/>
          <w:color w:val="000000"/>
          <w:sz w:val="32"/>
          <w:szCs w:val="32"/>
        </w:rPr>
        <w:t>。</w:t>
      </w:r>
    </w:p>
    <w:p w14:paraId="633F9961">
      <w:pPr>
        <w:pStyle w:val="16"/>
        <w:spacing w:line="560" w:lineRule="exact"/>
        <w:rPr>
          <w:rFonts w:hAnsi="黑体"/>
          <w:sz w:val="32"/>
          <w:szCs w:val="32"/>
        </w:rPr>
      </w:pPr>
      <w:r>
        <w:rPr>
          <w:rFonts w:hint="eastAsia" w:hAnsi="黑体"/>
          <w:sz w:val="32"/>
          <w:szCs w:val="32"/>
        </w:rPr>
        <w:t>五、一般公共预算财政拨款支出决算情况说明</w:t>
      </w:r>
    </w:p>
    <w:p w14:paraId="3F77C27B">
      <w:pPr>
        <w:pStyle w:val="16"/>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（一）一般公共预算财政拨款支出决算总体情况</w:t>
      </w:r>
    </w:p>
    <w:p w14:paraId="329E67E6">
      <w:pPr>
        <w:pStyle w:val="16"/>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3</w:t>
      </w:r>
      <w:r>
        <w:rPr>
          <w:rFonts w:hint="eastAsia" w:ascii="仿宋_GB2312" w:hAnsi="宋体" w:eastAsia="仿宋_GB2312"/>
          <w:sz w:val="32"/>
          <w:szCs w:val="32"/>
        </w:rPr>
        <w:t>年度一般公共预算财政拨款支出</w:t>
      </w:r>
      <w:r>
        <w:rPr>
          <w:rFonts w:hint="eastAsia" w:ascii="仿宋_GB2312" w:hAnsi="宋体" w:eastAsia="仿宋_GB2312"/>
          <w:sz w:val="32"/>
          <w:szCs w:val="32"/>
          <w:lang w:val="en-US" w:eastAsia="zh-CN"/>
        </w:rPr>
        <w:t>1417.94</w:t>
      </w:r>
      <w:r>
        <w:rPr>
          <w:rFonts w:hint="eastAsia" w:ascii="仿宋_GB2312" w:hAnsi="宋体" w:eastAsia="仿宋_GB2312"/>
          <w:sz w:val="32"/>
          <w:szCs w:val="32"/>
        </w:rPr>
        <w:t>万元，占本年支出合计的</w:t>
      </w:r>
      <w:r>
        <w:rPr>
          <w:rFonts w:hint="eastAsia" w:ascii="仿宋_GB2312" w:hAnsi="宋体" w:eastAsia="仿宋_GB2312"/>
          <w:sz w:val="32"/>
          <w:szCs w:val="32"/>
          <w:lang w:val="en-US" w:eastAsia="zh-CN"/>
        </w:rPr>
        <w:t>84.52</w:t>
      </w:r>
      <w:r>
        <w:rPr>
          <w:rFonts w:hint="eastAsia" w:ascii="仿宋_GB2312" w:hAnsi="宋体" w:eastAsia="仿宋_GB2312"/>
          <w:sz w:val="32"/>
          <w:szCs w:val="32"/>
        </w:rPr>
        <w:t>%，与上年相比，一般公共预算财政拨款支出</w:t>
      </w:r>
      <w:r>
        <w:rPr>
          <w:rFonts w:hint="eastAsia" w:ascii="仿宋_GB2312" w:hAnsi="宋体" w:eastAsia="仿宋_GB2312"/>
          <w:sz w:val="32"/>
          <w:szCs w:val="32"/>
          <w:lang w:val="en-US" w:eastAsia="zh-CN"/>
        </w:rPr>
        <w:t>减少187.79</w:t>
      </w:r>
      <w:r>
        <w:rPr>
          <w:rFonts w:hint="eastAsia" w:ascii="仿宋_GB2312" w:hAnsi="宋体" w:eastAsia="仿宋_GB2312"/>
          <w:sz w:val="32"/>
          <w:szCs w:val="32"/>
        </w:rPr>
        <w:t>万元，</w:t>
      </w:r>
      <w:r>
        <w:rPr>
          <w:rFonts w:hint="eastAsia" w:ascii="仿宋_GB2312" w:hAnsi="宋体" w:eastAsia="仿宋_GB2312"/>
          <w:sz w:val="32"/>
          <w:szCs w:val="32"/>
          <w:lang w:val="en-US" w:eastAsia="zh-CN"/>
        </w:rPr>
        <w:t>减少11.69</w:t>
      </w:r>
      <w:r>
        <w:rPr>
          <w:rFonts w:hint="eastAsia" w:ascii="仿宋_GB2312" w:hAnsi="宋体" w:eastAsia="仿宋_GB2312"/>
          <w:sz w:val="32"/>
          <w:szCs w:val="32"/>
        </w:rPr>
        <w:t>%，主要是因为</w:t>
      </w:r>
      <w:r>
        <w:rPr>
          <w:rFonts w:hint="eastAsia" w:ascii="仿宋_GB2312" w:hAnsi="宋体" w:eastAsia="仿宋_GB2312"/>
          <w:sz w:val="32"/>
          <w:szCs w:val="32"/>
          <w:lang w:val="en-US" w:eastAsia="zh-CN"/>
        </w:rPr>
        <w:t>过紧日子政策，整体财政支出下降</w:t>
      </w:r>
      <w:r>
        <w:rPr>
          <w:rFonts w:hint="eastAsia" w:ascii="仿宋_GB2312" w:hAnsi="宋体" w:eastAsia="仿宋_GB2312"/>
          <w:color w:val="000000"/>
          <w:sz w:val="32"/>
          <w:szCs w:val="32"/>
        </w:rPr>
        <w:t>。</w:t>
      </w:r>
    </w:p>
    <w:p w14:paraId="13E93FCD">
      <w:pPr>
        <w:pStyle w:val="16"/>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（二）一般公共预算财政拨款支出决算结构情况</w:t>
      </w:r>
    </w:p>
    <w:p w14:paraId="39D11DBF">
      <w:pPr>
        <w:pStyle w:val="16"/>
        <w:spacing w:line="560" w:lineRule="exact"/>
        <w:ind w:firstLine="640" w:firstLineChars="200"/>
        <w:rPr>
          <w:rFonts w:ascii="仿宋_GB2312" w:hAnsi="宋体" w:eastAsia="仿宋_GB2312"/>
          <w:sz w:val="32"/>
          <w:szCs w:val="32"/>
          <w:highlight w:val="none"/>
        </w:rPr>
      </w:pPr>
      <w:r>
        <w:rPr>
          <w:rFonts w:hint="eastAsia" w:ascii="仿宋_GB2312" w:hAnsi="宋体" w:eastAsia="仿宋_GB2312"/>
          <w:sz w:val="32"/>
          <w:szCs w:val="32"/>
          <w:highlight w:val="none"/>
        </w:rPr>
        <w:t>202</w:t>
      </w:r>
      <w:r>
        <w:rPr>
          <w:rFonts w:hint="eastAsia" w:ascii="仿宋_GB2312" w:hAnsi="宋体" w:eastAsia="仿宋_GB2312"/>
          <w:sz w:val="32"/>
          <w:szCs w:val="32"/>
          <w:highlight w:val="none"/>
          <w:lang w:val="en-US" w:eastAsia="zh-CN"/>
        </w:rPr>
        <w:t>3</w:t>
      </w:r>
      <w:r>
        <w:rPr>
          <w:rFonts w:hint="eastAsia" w:ascii="仿宋_GB2312" w:hAnsi="宋体" w:eastAsia="仿宋_GB2312"/>
          <w:sz w:val="32"/>
          <w:szCs w:val="32"/>
          <w:highlight w:val="none"/>
        </w:rPr>
        <w:t>年度一般公共预算财政拨款支出</w:t>
      </w:r>
      <w:r>
        <w:rPr>
          <w:rFonts w:hint="eastAsia" w:ascii="仿宋_GB2312" w:hAnsi="宋体" w:eastAsia="仿宋_GB2312"/>
          <w:sz w:val="32"/>
          <w:szCs w:val="32"/>
          <w:highlight w:val="none"/>
          <w:lang w:val="en-US" w:eastAsia="zh-CN"/>
        </w:rPr>
        <w:t>1417.94</w:t>
      </w:r>
      <w:r>
        <w:rPr>
          <w:rFonts w:hint="eastAsia" w:ascii="仿宋_GB2312" w:hAnsi="宋体" w:eastAsia="仿宋_GB2312"/>
          <w:sz w:val="32"/>
          <w:szCs w:val="32"/>
          <w:highlight w:val="none"/>
        </w:rPr>
        <w:t>万元，主要用于以下方面：</w:t>
      </w:r>
      <w:r>
        <w:rPr>
          <w:rFonts w:hint="eastAsia" w:ascii="仿宋_GB2312" w:hAnsi="宋体" w:eastAsia="仿宋_GB2312"/>
          <w:color w:val="000000"/>
          <w:sz w:val="32"/>
          <w:szCs w:val="32"/>
          <w:highlight w:val="none"/>
        </w:rPr>
        <w:t>科学技术（类）支出</w:t>
      </w:r>
      <w:r>
        <w:rPr>
          <w:rFonts w:hint="eastAsia" w:ascii="仿宋_GB2312" w:hAnsi="宋体" w:eastAsia="仿宋_GB2312"/>
          <w:color w:val="000000"/>
          <w:sz w:val="32"/>
          <w:szCs w:val="32"/>
          <w:highlight w:val="none"/>
          <w:lang w:val="en-US" w:eastAsia="zh-CN"/>
        </w:rPr>
        <w:t>438.9</w:t>
      </w:r>
      <w:r>
        <w:rPr>
          <w:rFonts w:hint="eastAsia" w:ascii="仿宋_GB2312" w:hAnsi="宋体" w:eastAsia="仿宋_GB2312"/>
          <w:color w:val="000000"/>
          <w:sz w:val="32"/>
          <w:szCs w:val="32"/>
          <w:highlight w:val="none"/>
        </w:rPr>
        <w:t>万元，占</w:t>
      </w:r>
      <w:r>
        <w:rPr>
          <w:rFonts w:hint="eastAsia" w:ascii="仿宋_GB2312" w:hAnsi="宋体" w:eastAsia="仿宋_GB2312"/>
          <w:color w:val="000000"/>
          <w:sz w:val="32"/>
          <w:szCs w:val="32"/>
          <w:highlight w:val="none"/>
          <w:lang w:val="en-US" w:eastAsia="zh-CN"/>
        </w:rPr>
        <w:t>30.97</w:t>
      </w:r>
      <w:r>
        <w:rPr>
          <w:rFonts w:hint="eastAsia" w:ascii="仿宋_GB2312" w:hAnsi="宋体" w:eastAsia="仿宋_GB2312"/>
          <w:color w:val="000000"/>
          <w:sz w:val="32"/>
          <w:szCs w:val="32"/>
          <w:highlight w:val="none"/>
        </w:rPr>
        <w:t>%；社会保障和就业（类）支出：</w:t>
      </w:r>
      <w:r>
        <w:rPr>
          <w:rFonts w:hint="eastAsia" w:ascii="仿宋_GB2312" w:hAnsi="宋体" w:eastAsia="仿宋_GB2312"/>
          <w:color w:val="000000"/>
          <w:sz w:val="32"/>
          <w:szCs w:val="32"/>
          <w:highlight w:val="none"/>
          <w:lang w:val="en-US" w:eastAsia="zh-CN"/>
        </w:rPr>
        <w:t>105.06</w:t>
      </w:r>
      <w:r>
        <w:rPr>
          <w:rFonts w:hint="eastAsia" w:ascii="仿宋_GB2312" w:hAnsi="宋体" w:eastAsia="仿宋_GB2312"/>
          <w:color w:val="000000"/>
          <w:sz w:val="32"/>
          <w:szCs w:val="32"/>
          <w:highlight w:val="none"/>
        </w:rPr>
        <w:t>万元，占</w:t>
      </w:r>
      <w:r>
        <w:rPr>
          <w:rFonts w:hint="eastAsia" w:ascii="仿宋_GB2312" w:hAnsi="宋体" w:eastAsia="仿宋_GB2312"/>
          <w:color w:val="000000"/>
          <w:sz w:val="32"/>
          <w:szCs w:val="32"/>
          <w:highlight w:val="none"/>
          <w:lang w:val="en-US" w:eastAsia="zh-CN"/>
        </w:rPr>
        <w:t>7.4</w:t>
      </w:r>
      <w:r>
        <w:rPr>
          <w:rFonts w:hint="eastAsia" w:ascii="仿宋_GB2312" w:hAnsi="宋体" w:eastAsia="仿宋_GB2312"/>
          <w:color w:val="000000"/>
          <w:sz w:val="32"/>
          <w:szCs w:val="32"/>
          <w:highlight w:val="none"/>
        </w:rPr>
        <w:t>%;卫生健康（类）支出：</w:t>
      </w:r>
      <w:r>
        <w:rPr>
          <w:rFonts w:hint="eastAsia" w:ascii="仿宋_GB2312" w:hAnsi="宋体" w:eastAsia="仿宋_GB2312"/>
          <w:color w:val="000000"/>
          <w:sz w:val="32"/>
          <w:szCs w:val="32"/>
          <w:highlight w:val="none"/>
          <w:lang w:val="en-US" w:eastAsia="zh-CN"/>
        </w:rPr>
        <w:t>53.88</w:t>
      </w:r>
      <w:r>
        <w:rPr>
          <w:rFonts w:hint="eastAsia" w:ascii="仿宋_GB2312" w:hAnsi="宋体" w:eastAsia="仿宋_GB2312"/>
          <w:color w:val="000000"/>
          <w:sz w:val="32"/>
          <w:szCs w:val="32"/>
          <w:highlight w:val="none"/>
        </w:rPr>
        <w:t>万元，占</w:t>
      </w:r>
      <w:r>
        <w:rPr>
          <w:rFonts w:hint="eastAsia" w:ascii="仿宋_GB2312" w:hAnsi="宋体" w:eastAsia="仿宋_GB2312"/>
          <w:color w:val="000000"/>
          <w:sz w:val="32"/>
          <w:szCs w:val="32"/>
          <w:highlight w:val="none"/>
          <w:lang w:val="en-US" w:eastAsia="zh-CN"/>
        </w:rPr>
        <w:t>3.81</w:t>
      </w:r>
      <w:r>
        <w:rPr>
          <w:rFonts w:hint="eastAsia" w:ascii="仿宋_GB2312" w:hAnsi="宋体" w:eastAsia="仿宋_GB2312"/>
          <w:color w:val="000000"/>
          <w:sz w:val="32"/>
          <w:szCs w:val="32"/>
          <w:highlight w:val="none"/>
        </w:rPr>
        <w:t>%；资源勘探工业信息等（类）支出</w:t>
      </w:r>
      <w:r>
        <w:rPr>
          <w:rFonts w:hint="eastAsia" w:ascii="仿宋_GB2312" w:hAnsi="宋体" w:eastAsia="仿宋_GB2312"/>
          <w:color w:val="000000"/>
          <w:sz w:val="32"/>
          <w:szCs w:val="32"/>
          <w:highlight w:val="none"/>
          <w:lang w:val="en-US" w:eastAsia="zh-CN"/>
        </w:rPr>
        <w:t>765.58</w:t>
      </w:r>
      <w:r>
        <w:rPr>
          <w:rFonts w:hint="eastAsia" w:ascii="仿宋_GB2312" w:hAnsi="宋体" w:eastAsia="仿宋_GB2312"/>
          <w:color w:val="000000"/>
          <w:sz w:val="32"/>
          <w:szCs w:val="32"/>
          <w:highlight w:val="none"/>
        </w:rPr>
        <w:t>万元，占</w:t>
      </w:r>
      <w:r>
        <w:rPr>
          <w:rFonts w:hint="eastAsia" w:ascii="仿宋_GB2312" w:hAnsi="宋体" w:eastAsia="仿宋_GB2312"/>
          <w:color w:val="000000"/>
          <w:sz w:val="32"/>
          <w:szCs w:val="32"/>
          <w:highlight w:val="none"/>
          <w:lang w:val="en-US" w:eastAsia="zh-CN"/>
        </w:rPr>
        <w:t>54.00</w:t>
      </w:r>
      <w:r>
        <w:rPr>
          <w:rFonts w:hint="eastAsia" w:ascii="仿宋_GB2312" w:hAnsi="宋体" w:eastAsia="仿宋_GB2312"/>
          <w:color w:val="000000"/>
          <w:sz w:val="32"/>
          <w:szCs w:val="32"/>
          <w:highlight w:val="none"/>
        </w:rPr>
        <w:t>%</w:t>
      </w:r>
      <w:r>
        <w:rPr>
          <w:rFonts w:hint="eastAsia" w:ascii="仿宋_GB2312" w:hAnsi="宋体" w:eastAsia="仿宋_GB2312"/>
          <w:color w:val="000000"/>
          <w:sz w:val="32"/>
          <w:szCs w:val="32"/>
          <w:highlight w:val="none"/>
          <w:lang w:eastAsia="zh-CN"/>
        </w:rPr>
        <w:t>；</w:t>
      </w:r>
      <w:r>
        <w:rPr>
          <w:rFonts w:hint="eastAsia" w:ascii="仿宋_GB2312" w:hAnsi="宋体" w:eastAsia="仿宋_GB2312"/>
          <w:color w:val="000000"/>
          <w:sz w:val="32"/>
          <w:szCs w:val="32"/>
          <w:highlight w:val="none"/>
          <w:lang w:val="en-US" w:eastAsia="zh-CN"/>
        </w:rPr>
        <w:t>住房保障支出54.52，占3.82%</w:t>
      </w:r>
      <w:r>
        <w:rPr>
          <w:rFonts w:hint="eastAsia" w:ascii="仿宋_GB2312" w:hAnsi="宋体" w:eastAsia="仿宋_GB2312"/>
          <w:color w:val="000000"/>
          <w:sz w:val="32"/>
          <w:szCs w:val="32"/>
          <w:highlight w:val="none"/>
        </w:rPr>
        <w:t>。</w:t>
      </w:r>
    </w:p>
    <w:p w14:paraId="324A9F27">
      <w:pPr>
        <w:pStyle w:val="16"/>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（三）一般公共预算财政拨款支出决算具体情况</w:t>
      </w:r>
    </w:p>
    <w:p w14:paraId="32DC8B62">
      <w:pPr>
        <w:pStyle w:val="16"/>
        <w:ind w:firstLine="640" w:firstLineChars="200"/>
        <w:rPr>
          <w:rFonts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3</w:t>
      </w:r>
      <w:r>
        <w:rPr>
          <w:rFonts w:hint="eastAsia" w:ascii="仿宋_GB2312" w:hAnsi="宋体" w:eastAsia="仿宋_GB2312"/>
          <w:sz w:val="32"/>
          <w:szCs w:val="32"/>
        </w:rPr>
        <w:t>年度一般公共预算财政拨款支出年初预算数为</w:t>
      </w:r>
      <w:r>
        <w:rPr>
          <w:rFonts w:hint="eastAsia" w:ascii="仿宋_GB2312" w:hAnsi="宋体" w:eastAsia="仿宋_GB2312"/>
          <w:sz w:val="32"/>
          <w:szCs w:val="32"/>
          <w:lang w:val="en-US" w:eastAsia="zh-CN"/>
        </w:rPr>
        <w:t>1132.54</w:t>
      </w:r>
      <w:r>
        <w:rPr>
          <w:rFonts w:hint="eastAsia" w:ascii="仿宋_GB2312" w:hAnsi="宋体" w:eastAsia="仿宋_GB2312"/>
          <w:sz w:val="32"/>
          <w:szCs w:val="32"/>
        </w:rPr>
        <w:t>万元，一般公共预算财政拨款支出决算数为</w:t>
      </w:r>
      <w:r>
        <w:rPr>
          <w:rFonts w:hint="eastAsia" w:ascii="仿宋_GB2312" w:hAnsi="宋体" w:eastAsia="仿宋_GB2312"/>
          <w:sz w:val="32"/>
          <w:szCs w:val="32"/>
          <w:lang w:val="en-US" w:eastAsia="zh-CN"/>
        </w:rPr>
        <w:t>1417.94</w:t>
      </w:r>
      <w:r>
        <w:rPr>
          <w:rFonts w:hint="eastAsia" w:ascii="仿宋_GB2312" w:hAnsi="宋体" w:eastAsia="仿宋_GB2312"/>
          <w:sz w:val="32"/>
          <w:szCs w:val="32"/>
        </w:rPr>
        <w:t>万元，完成年初预算的</w:t>
      </w:r>
      <w:r>
        <w:rPr>
          <w:rFonts w:hint="eastAsia" w:ascii="仿宋_GB2312" w:hAnsi="宋体" w:eastAsia="仿宋_GB2312"/>
          <w:sz w:val="32"/>
          <w:szCs w:val="32"/>
          <w:lang w:val="en-US" w:eastAsia="zh-CN"/>
        </w:rPr>
        <w:t>125.20</w:t>
      </w:r>
      <w:r>
        <w:rPr>
          <w:rFonts w:hint="eastAsia" w:ascii="仿宋_GB2312" w:hAnsi="宋体" w:eastAsia="仿宋_GB2312"/>
          <w:sz w:val="32"/>
          <w:szCs w:val="32"/>
        </w:rPr>
        <w:t>%，其中：</w:t>
      </w:r>
    </w:p>
    <w:p w14:paraId="02C80C79">
      <w:pPr>
        <w:pStyle w:val="16"/>
        <w:numPr>
          <w:ilvl w:val="0"/>
          <w:numId w:val="1"/>
        </w:numPr>
        <w:spacing w:line="560" w:lineRule="exact"/>
        <w:ind w:firstLine="640" w:firstLineChars="200"/>
        <w:rPr>
          <w:rFonts w:hint="eastAsia" w:ascii="仿宋_GB2312" w:hAnsi="宋体" w:eastAsia="仿宋_GB2312"/>
          <w:sz w:val="32"/>
          <w:szCs w:val="32"/>
          <w:highlight w:val="none"/>
        </w:rPr>
      </w:pPr>
      <w:r>
        <w:rPr>
          <w:rFonts w:hint="eastAsia" w:ascii="仿宋_GB2312" w:hAnsi="宋体" w:eastAsia="仿宋_GB2312"/>
          <w:sz w:val="32"/>
          <w:szCs w:val="32"/>
          <w:highlight w:val="none"/>
        </w:rPr>
        <w:t>一般公共服务支出（类）发展与改革事务（款）其他发展与改革事务支出（项）。</w:t>
      </w:r>
    </w:p>
    <w:p w14:paraId="38573134">
      <w:pPr>
        <w:pStyle w:val="16"/>
        <w:spacing w:line="560" w:lineRule="exact"/>
        <w:ind w:firstLine="640" w:firstLineChars="200"/>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rPr>
        <w:t>年初预算为</w:t>
      </w:r>
      <w:r>
        <w:rPr>
          <w:rFonts w:hint="eastAsia" w:ascii="仿宋_GB2312" w:hAnsi="宋体" w:eastAsia="仿宋_GB2312"/>
          <w:sz w:val="32"/>
          <w:szCs w:val="32"/>
          <w:highlight w:val="none"/>
          <w:lang w:val="en-US" w:eastAsia="zh-CN"/>
        </w:rPr>
        <w:t>0</w:t>
      </w:r>
      <w:r>
        <w:rPr>
          <w:rFonts w:hint="eastAsia" w:ascii="仿宋_GB2312" w:hAnsi="宋体" w:eastAsia="仿宋_GB2312"/>
          <w:sz w:val="32"/>
          <w:szCs w:val="32"/>
          <w:highlight w:val="none"/>
        </w:rPr>
        <w:t>万元，支出决算为</w:t>
      </w:r>
      <w:r>
        <w:rPr>
          <w:rFonts w:hint="eastAsia" w:ascii="仿宋_GB2312" w:hAnsi="宋体" w:eastAsia="仿宋_GB2312"/>
          <w:sz w:val="32"/>
          <w:szCs w:val="32"/>
          <w:highlight w:val="none"/>
          <w:lang w:val="en-US" w:eastAsia="zh-CN"/>
        </w:rPr>
        <w:t>0</w:t>
      </w:r>
      <w:r>
        <w:rPr>
          <w:rFonts w:hint="eastAsia" w:ascii="仿宋_GB2312" w:hAnsi="宋体" w:eastAsia="仿宋_GB2312"/>
          <w:sz w:val="32"/>
          <w:szCs w:val="32"/>
          <w:highlight w:val="none"/>
        </w:rPr>
        <w:t>万元，完成年初预算的</w:t>
      </w:r>
      <w:r>
        <w:rPr>
          <w:rFonts w:hint="eastAsia" w:ascii="仿宋_GB2312" w:hAnsi="宋体" w:eastAsia="仿宋_GB2312"/>
          <w:sz w:val="32"/>
          <w:szCs w:val="32"/>
          <w:highlight w:val="none"/>
          <w:lang w:val="en-US" w:eastAsia="zh-CN"/>
        </w:rPr>
        <w:t>100</w:t>
      </w:r>
      <w:r>
        <w:rPr>
          <w:rFonts w:hint="eastAsia" w:ascii="仿宋_GB2312" w:hAnsi="宋体" w:eastAsia="仿宋_GB2312"/>
          <w:sz w:val="32"/>
          <w:szCs w:val="32"/>
          <w:highlight w:val="none"/>
        </w:rPr>
        <w:t>%</w:t>
      </w:r>
      <w:r>
        <w:rPr>
          <w:rFonts w:hint="eastAsia" w:ascii="仿宋_GB2312" w:hAnsi="宋体" w:eastAsia="仿宋_GB2312"/>
          <w:sz w:val="32"/>
          <w:szCs w:val="32"/>
          <w:highlight w:val="none"/>
          <w:lang w:eastAsia="zh-CN"/>
        </w:rPr>
        <w:t>。</w:t>
      </w:r>
    </w:p>
    <w:p w14:paraId="001FDCB6">
      <w:pPr>
        <w:pStyle w:val="16"/>
        <w:numPr>
          <w:ilvl w:val="0"/>
          <w:numId w:val="1"/>
        </w:numPr>
        <w:spacing w:line="560" w:lineRule="exact"/>
        <w:ind w:left="0" w:leftChars="0" w:firstLine="640" w:firstLineChars="200"/>
        <w:rPr>
          <w:rFonts w:hint="eastAsia" w:ascii="仿宋_GB2312" w:hAnsi="宋体" w:eastAsia="仿宋_GB2312"/>
          <w:sz w:val="32"/>
          <w:szCs w:val="32"/>
          <w:highlight w:val="none"/>
        </w:rPr>
      </w:pPr>
      <w:r>
        <w:rPr>
          <w:rFonts w:hint="eastAsia" w:ascii="仿宋_GB2312" w:hAnsi="宋体" w:eastAsia="仿宋_GB2312"/>
          <w:sz w:val="32"/>
          <w:szCs w:val="32"/>
          <w:highlight w:val="none"/>
        </w:rPr>
        <w:t>科学技术支出（类）其他科学技术支出（款） 其他科学技术支出（项）。</w:t>
      </w:r>
    </w:p>
    <w:p w14:paraId="4C566F15">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sz w:val="32"/>
          <w:szCs w:val="32"/>
          <w:highlight w:val="none"/>
        </w:rPr>
        <w:t>年初预算为</w:t>
      </w:r>
      <w:r>
        <w:rPr>
          <w:rFonts w:hint="eastAsia" w:ascii="仿宋_GB2312" w:hAnsi="宋体" w:eastAsia="仿宋_GB2312"/>
          <w:sz w:val="32"/>
          <w:szCs w:val="32"/>
          <w:highlight w:val="none"/>
          <w:lang w:val="en-US" w:eastAsia="zh-CN"/>
        </w:rPr>
        <w:t>238.9</w:t>
      </w:r>
      <w:r>
        <w:rPr>
          <w:rFonts w:hint="eastAsia" w:ascii="仿宋_GB2312" w:hAnsi="宋体" w:eastAsia="仿宋_GB2312"/>
          <w:sz w:val="32"/>
          <w:szCs w:val="32"/>
          <w:highlight w:val="none"/>
        </w:rPr>
        <w:t>万元，支出决算为</w:t>
      </w:r>
      <w:r>
        <w:rPr>
          <w:rFonts w:hint="eastAsia" w:ascii="仿宋_GB2312" w:hAnsi="宋体" w:eastAsia="仿宋_GB2312"/>
          <w:sz w:val="32"/>
          <w:szCs w:val="32"/>
          <w:highlight w:val="none"/>
          <w:lang w:val="en-US" w:eastAsia="zh-CN"/>
        </w:rPr>
        <w:t>438.9</w:t>
      </w:r>
      <w:r>
        <w:rPr>
          <w:rFonts w:hint="eastAsia" w:ascii="仿宋_GB2312" w:hAnsi="宋体" w:eastAsia="仿宋_GB2312"/>
          <w:sz w:val="32"/>
          <w:szCs w:val="32"/>
          <w:highlight w:val="none"/>
        </w:rPr>
        <w:t>万元，完成年初预算的</w:t>
      </w:r>
      <w:r>
        <w:rPr>
          <w:rFonts w:hint="eastAsia" w:ascii="仿宋_GB2312" w:hAnsi="宋体" w:eastAsia="仿宋_GB2312"/>
          <w:sz w:val="32"/>
          <w:szCs w:val="32"/>
          <w:highlight w:val="none"/>
          <w:lang w:val="en-US" w:eastAsia="zh-CN"/>
        </w:rPr>
        <w:t>183.71</w:t>
      </w:r>
      <w:r>
        <w:rPr>
          <w:rFonts w:hint="eastAsia" w:ascii="仿宋_GB2312" w:hAnsi="宋体" w:eastAsia="仿宋_GB2312"/>
          <w:sz w:val="32"/>
          <w:szCs w:val="32"/>
          <w:highlight w:val="none"/>
        </w:rPr>
        <w:t>%，决算数大于年初预算数的主要原因是：</w:t>
      </w:r>
      <w:r>
        <w:rPr>
          <w:rFonts w:hint="eastAsia" w:ascii="仿宋_GB2312" w:hAnsi="宋体" w:eastAsia="仿宋_GB2312"/>
          <w:color w:val="000000"/>
          <w:sz w:val="32"/>
          <w:szCs w:val="32"/>
          <w:highlight w:val="none"/>
        </w:rPr>
        <w:t>二级机构将非财政差额补助部分资金，即自筹资金纳入了决算范围。</w:t>
      </w:r>
    </w:p>
    <w:p w14:paraId="62BA2442">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3、社会保障和就业支出（类）行政事业单位养老支出（款）行政单位离退休（项）。</w:t>
      </w:r>
    </w:p>
    <w:p w14:paraId="68A8D4C9">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年初预算为</w:t>
      </w:r>
      <w:r>
        <w:rPr>
          <w:rFonts w:hint="eastAsia" w:ascii="仿宋_GB2312" w:hAnsi="宋体" w:eastAsia="仿宋_GB2312"/>
          <w:color w:val="000000"/>
          <w:sz w:val="32"/>
          <w:szCs w:val="32"/>
          <w:highlight w:val="none"/>
          <w:lang w:val="en-US" w:eastAsia="zh-CN"/>
        </w:rPr>
        <w:t>105.36</w:t>
      </w:r>
      <w:r>
        <w:rPr>
          <w:rFonts w:hint="eastAsia" w:ascii="仿宋_GB2312" w:hAnsi="宋体" w:eastAsia="仿宋_GB2312"/>
          <w:color w:val="000000"/>
          <w:sz w:val="32"/>
          <w:szCs w:val="32"/>
          <w:highlight w:val="none"/>
        </w:rPr>
        <w:t>万元，支出决算为</w:t>
      </w:r>
      <w:r>
        <w:rPr>
          <w:rFonts w:hint="eastAsia" w:ascii="仿宋_GB2312" w:hAnsi="宋体" w:eastAsia="仿宋_GB2312"/>
          <w:color w:val="000000"/>
          <w:sz w:val="32"/>
          <w:szCs w:val="32"/>
          <w:highlight w:val="none"/>
          <w:lang w:val="en-US" w:eastAsia="zh-CN"/>
        </w:rPr>
        <w:t>105.06</w:t>
      </w:r>
      <w:r>
        <w:rPr>
          <w:rFonts w:hint="eastAsia" w:ascii="仿宋_GB2312" w:hAnsi="宋体" w:eastAsia="仿宋_GB2312"/>
          <w:color w:val="000000"/>
          <w:sz w:val="32"/>
          <w:szCs w:val="32"/>
          <w:highlight w:val="none"/>
        </w:rPr>
        <w:t>万元，完成年初预算的</w:t>
      </w:r>
      <w:r>
        <w:rPr>
          <w:rFonts w:hint="eastAsia" w:ascii="仿宋_GB2312" w:hAnsi="宋体" w:eastAsia="仿宋_GB2312"/>
          <w:color w:val="000000"/>
          <w:sz w:val="32"/>
          <w:szCs w:val="32"/>
          <w:highlight w:val="none"/>
          <w:lang w:val="en-US" w:eastAsia="zh-CN"/>
        </w:rPr>
        <w:t>99.72</w:t>
      </w:r>
      <w:r>
        <w:rPr>
          <w:rFonts w:hint="eastAsia" w:ascii="仿宋_GB2312" w:hAnsi="宋体" w:eastAsia="仿宋_GB2312"/>
          <w:color w:val="000000"/>
          <w:sz w:val="32"/>
          <w:szCs w:val="32"/>
          <w:highlight w:val="none"/>
        </w:rPr>
        <w:t>%，决算数大于年初预算数的主要原因是：人员异动带来的养老金异动。</w:t>
      </w:r>
    </w:p>
    <w:p w14:paraId="65AFA97C">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lang w:val="en-US" w:eastAsia="zh-CN"/>
        </w:rPr>
        <w:t>4</w:t>
      </w:r>
      <w:r>
        <w:rPr>
          <w:rFonts w:hint="eastAsia" w:ascii="仿宋_GB2312" w:hAnsi="宋体" w:eastAsia="仿宋_GB2312"/>
          <w:color w:val="000000"/>
          <w:sz w:val="32"/>
          <w:szCs w:val="32"/>
          <w:highlight w:val="none"/>
        </w:rPr>
        <w:t>、卫生健康支出（类）行政事业单位医疗（款）行政单位医疗（项）。</w:t>
      </w:r>
    </w:p>
    <w:p w14:paraId="260CF6E5">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年初预算为</w:t>
      </w:r>
      <w:r>
        <w:rPr>
          <w:rFonts w:hint="eastAsia" w:ascii="仿宋_GB2312" w:hAnsi="宋体" w:eastAsia="仿宋_GB2312"/>
          <w:color w:val="000000"/>
          <w:sz w:val="32"/>
          <w:szCs w:val="32"/>
          <w:highlight w:val="none"/>
          <w:lang w:val="en-US" w:eastAsia="zh-CN"/>
        </w:rPr>
        <w:t>67.85</w:t>
      </w:r>
      <w:r>
        <w:rPr>
          <w:rFonts w:hint="eastAsia" w:ascii="仿宋_GB2312" w:hAnsi="宋体" w:eastAsia="仿宋_GB2312"/>
          <w:color w:val="000000"/>
          <w:sz w:val="32"/>
          <w:szCs w:val="32"/>
          <w:highlight w:val="none"/>
        </w:rPr>
        <w:t>万元，支出决算为</w:t>
      </w:r>
      <w:r>
        <w:rPr>
          <w:rFonts w:hint="eastAsia" w:ascii="仿宋_GB2312" w:hAnsi="宋体" w:eastAsia="仿宋_GB2312"/>
          <w:color w:val="000000"/>
          <w:sz w:val="32"/>
          <w:szCs w:val="32"/>
          <w:highlight w:val="none"/>
          <w:lang w:val="en-US" w:eastAsia="zh-CN"/>
        </w:rPr>
        <w:t>53.87</w:t>
      </w:r>
      <w:r>
        <w:rPr>
          <w:rFonts w:hint="eastAsia" w:ascii="仿宋_GB2312" w:hAnsi="宋体" w:eastAsia="仿宋_GB2312"/>
          <w:color w:val="000000"/>
          <w:sz w:val="32"/>
          <w:szCs w:val="32"/>
          <w:highlight w:val="none"/>
        </w:rPr>
        <w:t>万元，完成年初预算的</w:t>
      </w:r>
      <w:r>
        <w:rPr>
          <w:rFonts w:hint="eastAsia" w:ascii="仿宋_GB2312" w:hAnsi="宋体" w:eastAsia="仿宋_GB2312"/>
          <w:color w:val="000000"/>
          <w:sz w:val="32"/>
          <w:szCs w:val="32"/>
          <w:highlight w:val="none"/>
          <w:lang w:val="en-US" w:eastAsia="zh-CN"/>
        </w:rPr>
        <w:t>79.40</w:t>
      </w:r>
      <w:r>
        <w:rPr>
          <w:rFonts w:hint="eastAsia" w:ascii="仿宋_GB2312" w:hAnsi="宋体" w:eastAsia="仿宋_GB2312"/>
          <w:color w:val="000000"/>
          <w:sz w:val="32"/>
          <w:szCs w:val="32"/>
          <w:highlight w:val="none"/>
        </w:rPr>
        <w:t>%，决算数小于年初预算数的主要原因是：人员异动带来的工资异动。</w:t>
      </w:r>
    </w:p>
    <w:p w14:paraId="5189B150">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lang w:val="en-US" w:eastAsia="zh-CN"/>
        </w:rPr>
        <w:t>5</w:t>
      </w:r>
      <w:r>
        <w:rPr>
          <w:rFonts w:hint="eastAsia" w:ascii="仿宋_GB2312" w:hAnsi="宋体" w:eastAsia="仿宋_GB2312"/>
          <w:color w:val="000000"/>
          <w:sz w:val="32"/>
          <w:szCs w:val="32"/>
          <w:highlight w:val="none"/>
        </w:rPr>
        <w:t>、资源勘探工业信息等支出（类）国有资产监管（款）一般行政管理事务（项）。</w:t>
      </w:r>
    </w:p>
    <w:p w14:paraId="7C343B22">
      <w:pPr>
        <w:pStyle w:val="16"/>
        <w:numPr>
          <w:ilvl w:val="0"/>
          <w:numId w:val="0"/>
        </w:numPr>
        <w:spacing w:line="560" w:lineRule="exact"/>
        <w:ind w:firstLine="640" w:firstLineChars="200"/>
        <w:rPr>
          <w:rFonts w:hint="eastAsia" w:ascii="仿宋_GB2312" w:hAnsi="宋体" w:eastAsia="仿宋_GB2312"/>
          <w:color w:val="000000"/>
          <w:sz w:val="32"/>
          <w:szCs w:val="32"/>
          <w:highlight w:val="lightGray"/>
        </w:rPr>
      </w:pPr>
      <w:r>
        <w:rPr>
          <w:rFonts w:hint="eastAsia" w:ascii="仿宋_GB2312" w:hAnsi="宋体" w:eastAsia="仿宋_GB2312"/>
          <w:color w:val="000000"/>
          <w:sz w:val="32"/>
          <w:szCs w:val="32"/>
          <w:highlight w:val="none"/>
        </w:rPr>
        <w:t>年初预算为</w:t>
      </w:r>
      <w:r>
        <w:rPr>
          <w:rFonts w:hint="eastAsia" w:ascii="仿宋_GB2312" w:hAnsi="宋体" w:eastAsia="仿宋_GB2312"/>
          <w:color w:val="000000"/>
          <w:sz w:val="32"/>
          <w:szCs w:val="32"/>
          <w:highlight w:val="none"/>
          <w:lang w:val="en-US" w:eastAsia="zh-CN"/>
        </w:rPr>
        <w:t>672.82</w:t>
      </w:r>
      <w:r>
        <w:rPr>
          <w:rFonts w:hint="eastAsia" w:ascii="仿宋_GB2312" w:hAnsi="宋体" w:eastAsia="仿宋_GB2312"/>
          <w:color w:val="000000"/>
          <w:sz w:val="32"/>
          <w:szCs w:val="32"/>
          <w:highlight w:val="none"/>
        </w:rPr>
        <w:t>万元，支出决算为</w:t>
      </w:r>
      <w:r>
        <w:rPr>
          <w:rFonts w:hint="eastAsia" w:ascii="仿宋_GB2312" w:hAnsi="宋体" w:eastAsia="仿宋_GB2312"/>
          <w:color w:val="000000"/>
          <w:sz w:val="32"/>
          <w:szCs w:val="32"/>
          <w:highlight w:val="none"/>
          <w:lang w:val="en-US" w:eastAsia="zh-CN"/>
        </w:rPr>
        <w:t>693.89</w:t>
      </w:r>
      <w:r>
        <w:rPr>
          <w:rFonts w:hint="eastAsia" w:ascii="仿宋_GB2312" w:hAnsi="宋体" w:eastAsia="仿宋_GB2312"/>
          <w:color w:val="000000"/>
          <w:sz w:val="32"/>
          <w:szCs w:val="32"/>
          <w:highlight w:val="none"/>
        </w:rPr>
        <w:t>万元，完成年初预算的</w:t>
      </w:r>
      <w:r>
        <w:rPr>
          <w:rFonts w:hint="eastAsia" w:ascii="仿宋_GB2312" w:hAnsi="宋体" w:eastAsia="仿宋_GB2312"/>
          <w:color w:val="000000"/>
          <w:sz w:val="32"/>
          <w:szCs w:val="32"/>
          <w:highlight w:val="none"/>
          <w:lang w:val="en-US" w:eastAsia="zh-CN"/>
        </w:rPr>
        <w:t>103.13</w:t>
      </w:r>
      <w:r>
        <w:rPr>
          <w:rFonts w:hint="eastAsia" w:ascii="仿宋_GB2312" w:hAnsi="宋体" w:eastAsia="仿宋_GB2312"/>
          <w:color w:val="000000"/>
          <w:sz w:val="32"/>
          <w:szCs w:val="32"/>
          <w:highlight w:val="none"/>
        </w:rPr>
        <w:t>%，</w:t>
      </w:r>
      <w:r>
        <w:rPr>
          <w:rFonts w:hint="eastAsia" w:ascii="仿宋_GB2312" w:hAnsi="宋体" w:eastAsia="仿宋_GB2312"/>
          <w:color w:val="000000"/>
          <w:sz w:val="32"/>
          <w:szCs w:val="32"/>
          <w:highlight w:val="none"/>
          <w:lang w:val="en-US" w:eastAsia="zh-CN"/>
        </w:rPr>
        <w:t>决算数大于年初预算数的主要原因是：人员增加。</w:t>
      </w:r>
    </w:p>
    <w:p w14:paraId="3D92428C">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lang w:val="en-US" w:eastAsia="zh-CN"/>
        </w:rPr>
        <w:t>6</w:t>
      </w:r>
      <w:r>
        <w:rPr>
          <w:rFonts w:hint="eastAsia" w:ascii="仿宋_GB2312" w:hAnsi="宋体" w:eastAsia="仿宋_GB2312"/>
          <w:color w:val="000000"/>
          <w:sz w:val="32"/>
          <w:szCs w:val="32"/>
          <w:highlight w:val="none"/>
        </w:rPr>
        <w:t>、资源勘探工业信息等支出（类）国有资产监管（款）其他国有资产监管支出（项）。</w:t>
      </w:r>
    </w:p>
    <w:p w14:paraId="5C89E5AA">
      <w:pPr>
        <w:pStyle w:val="16"/>
        <w:numPr>
          <w:ilvl w:val="0"/>
          <w:numId w:val="0"/>
        </w:numPr>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年初预算为</w:t>
      </w:r>
      <w:r>
        <w:rPr>
          <w:rFonts w:hint="eastAsia" w:ascii="仿宋_GB2312" w:hAnsi="宋体" w:eastAsia="仿宋_GB2312"/>
          <w:color w:val="000000"/>
          <w:sz w:val="32"/>
          <w:szCs w:val="32"/>
          <w:highlight w:val="none"/>
          <w:lang w:val="en-US" w:eastAsia="zh-CN"/>
        </w:rPr>
        <w:t>66.7</w:t>
      </w:r>
      <w:r>
        <w:rPr>
          <w:rFonts w:hint="eastAsia" w:ascii="仿宋_GB2312" w:hAnsi="宋体" w:eastAsia="仿宋_GB2312"/>
          <w:color w:val="000000"/>
          <w:sz w:val="32"/>
          <w:szCs w:val="32"/>
          <w:highlight w:val="none"/>
        </w:rPr>
        <w:t>万元，支出决算为</w:t>
      </w:r>
      <w:r>
        <w:rPr>
          <w:rFonts w:hint="eastAsia" w:ascii="仿宋_GB2312" w:hAnsi="宋体" w:eastAsia="仿宋_GB2312"/>
          <w:color w:val="000000"/>
          <w:sz w:val="32"/>
          <w:szCs w:val="32"/>
          <w:highlight w:val="none"/>
          <w:lang w:val="en-US" w:eastAsia="zh-CN"/>
        </w:rPr>
        <w:t>66.7</w:t>
      </w:r>
      <w:r>
        <w:rPr>
          <w:rFonts w:hint="eastAsia" w:ascii="仿宋_GB2312" w:hAnsi="宋体" w:eastAsia="仿宋_GB2312"/>
          <w:color w:val="000000"/>
          <w:sz w:val="32"/>
          <w:szCs w:val="32"/>
          <w:highlight w:val="none"/>
        </w:rPr>
        <w:t>万元，完成年初预算的100%。</w:t>
      </w:r>
      <w:bookmarkStart w:id="3" w:name="_GoBack"/>
      <w:bookmarkEnd w:id="3"/>
    </w:p>
    <w:p w14:paraId="7319B500">
      <w:pPr>
        <w:pStyle w:val="16"/>
        <w:spacing w:line="560" w:lineRule="exact"/>
        <w:rPr>
          <w:rFonts w:hAnsi="黑体"/>
          <w:sz w:val="32"/>
          <w:szCs w:val="32"/>
        </w:rPr>
      </w:pPr>
      <w:r>
        <w:rPr>
          <w:rFonts w:hint="eastAsia" w:hAnsi="黑体"/>
          <w:sz w:val="32"/>
          <w:szCs w:val="32"/>
        </w:rPr>
        <w:t>六、一般公共预算财政拨款基本支出决算情况说明</w:t>
      </w:r>
    </w:p>
    <w:p w14:paraId="630A4DF9">
      <w:pPr>
        <w:pStyle w:val="16"/>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lang w:eastAsia="zh-CN"/>
        </w:rPr>
        <w:t>2023</w:t>
      </w:r>
      <w:r>
        <w:rPr>
          <w:rFonts w:hint="eastAsia" w:ascii="仿宋_GB2312" w:hAnsi="宋体" w:eastAsia="仿宋_GB2312"/>
          <w:sz w:val="32"/>
          <w:szCs w:val="32"/>
        </w:rPr>
        <w:t>年度一般公共预算财政拨款基本支出</w:t>
      </w:r>
      <w:r>
        <w:rPr>
          <w:rFonts w:hint="eastAsia" w:ascii="仿宋_GB2312" w:hAnsi="宋体" w:eastAsia="仿宋_GB2312"/>
          <w:sz w:val="32"/>
          <w:szCs w:val="32"/>
          <w:lang w:val="en-US" w:eastAsia="zh-CN"/>
        </w:rPr>
        <w:t>1262.05</w:t>
      </w:r>
      <w:r>
        <w:rPr>
          <w:rFonts w:hint="eastAsia" w:ascii="仿宋_GB2312" w:hAnsi="宋体" w:eastAsia="仿宋_GB2312"/>
          <w:sz w:val="32"/>
          <w:szCs w:val="32"/>
        </w:rPr>
        <w:t>万元，其中：人员经费</w:t>
      </w:r>
      <w:r>
        <w:rPr>
          <w:rFonts w:hint="eastAsia" w:ascii="仿宋_GB2312" w:hAnsi="宋体" w:eastAsia="仿宋_GB2312"/>
          <w:sz w:val="32"/>
          <w:szCs w:val="32"/>
          <w:lang w:val="en-US" w:eastAsia="zh-CN"/>
        </w:rPr>
        <w:t>1051.5</w:t>
      </w:r>
      <w:r>
        <w:rPr>
          <w:rFonts w:hint="eastAsia" w:ascii="仿宋_GB2312" w:hAnsi="宋体" w:eastAsia="仿宋_GB2312"/>
          <w:sz w:val="32"/>
          <w:szCs w:val="32"/>
        </w:rPr>
        <w:t>万元，占基本支出的</w:t>
      </w:r>
      <w:r>
        <w:rPr>
          <w:rFonts w:hint="eastAsia" w:ascii="仿宋_GB2312" w:hAnsi="宋体" w:eastAsia="仿宋_GB2312"/>
          <w:sz w:val="32"/>
          <w:szCs w:val="32"/>
          <w:lang w:val="en-US" w:eastAsia="zh-CN"/>
        </w:rPr>
        <w:t>83.32</w:t>
      </w:r>
      <w:r>
        <w:rPr>
          <w:rFonts w:hint="eastAsia" w:ascii="仿宋_GB2312" w:hAnsi="宋体" w:eastAsia="仿宋_GB2312"/>
          <w:sz w:val="32"/>
          <w:szCs w:val="32"/>
        </w:rPr>
        <w:t>%,主要包括基本工资、津贴补贴、奖金、绩效工资、机关事业单位基本养老保险缴费、职业年金缴费、职工基本医疗保险缴费、其他社会保障缴费、住房公积金、医疗费、生活补助、医疗费补助、奖励金、其他对个人和家庭的补助；公用经费</w:t>
      </w:r>
      <w:r>
        <w:rPr>
          <w:rFonts w:hint="eastAsia" w:ascii="仿宋_GB2312" w:hAnsi="宋体" w:eastAsia="仿宋_GB2312"/>
          <w:sz w:val="32"/>
          <w:szCs w:val="32"/>
          <w:lang w:val="en-US" w:eastAsia="zh-CN"/>
        </w:rPr>
        <w:t>210.55</w:t>
      </w:r>
      <w:r>
        <w:rPr>
          <w:rFonts w:hint="eastAsia" w:ascii="仿宋_GB2312" w:hAnsi="宋体" w:eastAsia="仿宋_GB2312"/>
          <w:sz w:val="32"/>
          <w:szCs w:val="32"/>
        </w:rPr>
        <w:t>万元，占基本支出的20.0%，主要包括办公费、印刷费、咨询费、水费、电费、邮电费、差旅费、维修（护）费、会议费、培训费、公务接待费、劳务费、委托业务费、工会经费、福利费、公务用车运行维护费、其他交通费用、其他商品和服务支出、</w:t>
      </w:r>
      <w:r>
        <w:rPr>
          <w:rFonts w:hint="eastAsia" w:ascii="仿宋_GB2312" w:hAnsi="宋体" w:eastAsia="仿宋_GB2312"/>
          <w:sz w:val="32"/>
          <w:szCs w:val="32"/>
          <w:lang w:val="en-US" w:eastAsia="zh-CN"/>
        </w:rPr>
        <w:t>办公设备购置</w:t>
      </w:r>
      <w:r>
        <w:rPr>
          <w:rFonts w:hint="eastAsia" w:ascii="仿宋_GB2312" w:hAnsi="宋体" w:eastAsia="仿宋_GB2312"/>
          <w:sz w:val="32"/>
          <w:szCs w:val="32"/>
        </w:rPr>
        <w:t>。</w:t>
      </w:r>
    </w:p>
    <w:p w14:paraId="1F11E1E9">
      <w:pPr>
        <w:pStyle w:val="16"/>
        <w:spacing w:line="560" w:lineRule="exact"/>
        <w:rPr>
          <w:rFonts w:hint="eastAsia" w:hAnsi="黑体"/>
          <w:sz w:val="32"/>
          <w:szCs w:val="32"/>
        </w:rPr>
      </w:pPr>
      <w:r>
        <w:rPr>
          <w:rFonts w:hint="eastAsia" w:hAnsi="黑体"/>
          <w:sz w:val="32"/>
          <w:szCs w:val="32"/>
        </w:rPr>
        <w:t>七、一般公共预算财政拨款三公经费支出决算情况说明</w:t>
      </w:r>
    </w:p>
    <w:p w14:paraId="4AC5D35C">
      <w:pPr>
        <w:pStyle w:val="16"/>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（一）“三公”经费财政拨款支出决算总体情况说明</w:t>
      </w:r>
    </w:p>
    <w:p w14:paraId="4277CE10">
      <w:pPr>
        <w:pStyle w:val="16"/>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“三公”经费财政拨款支出预算为</w:t>
      </w:r>
      <w:r>
        <w:rPr>
          <w:rFonts w:hint="eastAsia" w:ascii="仿宋_GB2312" w:hAnsi="宋体" w:eastAsia="仿宋_GB2312"/>
          <w:sz w:val="32"/>
          <w:szCs w:val="32"/>
          <w:lang w:val="en-US" w:eastAsia="zh-CN"/>
        </w:rPr>
        <w:t>7.98</w:t>
      </w:r>
      <w:r>
        <w:rPr>
          <w:rFonts w:hint="eastAsia" w:ascii="仿宋_GB2312" w:hAnsi="宋体" w:eastAsia="仿宋_GB2312"/>
          <w:sz w:val="32"/>
          <w:szCs w:val="32"/>
        </w:rPr>
        <w:t>万元，支出决算为</w:t>
      </w:r>
      <w:r>
        <w:rPr>
          <w:rFonts w:hint="eastAsia" w:ascii="仿宋_GB2312" w:hAnsi="宋体" w:eastAsia="仿宋_GB2312"/>
          <w:sz w:val="32"/>
          <w:szCs w:val="32"/>
          <w:lang w:val="en-US" w:eastAsia="zh-CN"/>
        </w:rPr>
        <w:t>7.98</w:t>
      </w:r>
      <w:r>
        <w:rPr>
          <w:rFonts w:hint="eastAsia" w:ascii="仿宋_GB2312" w:hAnsi="宋体" w:eastAsia="仿宋_GB2312"/>
          <w:sz w:val="32"/>
          <w:szCs w:val="32"/>
        </w:rPr>
        <w:t>万元，完成预算的</w:t>
      </w:r>
      <w:r>
        <w:rPr>
          <w:rFonts w:hint="eastAsia" w:ascii="仿宋_GB2312" w:hAnsi="宋体" w:eastAsia="仿宋_GB2312"/>
          <w:sz w:val="32"/>
          <w:szCs w:val="32"/>
          <w:lang w:val="en-US" w:eastAsia="zh-CN"/>
        </w:rPr>
        <w:t>100</w:t>
      </w:r>
      <w:r>
        <w:rPr>
          <w:rFonts w:hint="eastAsia" w:ascii="仿宋_GB2312" w:hAnsi="宋体" w:eastAsia="仿宋_GB2312"/>
          <w:sz w:val="32"/>
          <w:szCs w:val="32"/>
        </w:rPr>
        <w:t>%。其中：</w:t>
      </w:r>
    </w:p>
    <w:p w14:paraId="4AF48FD5">
      <w:pPr>
        <w:pStyle w:val="16"/>
        <w:spacing w:line="560" w:lineRule="exact"/>
        <w:ind w:firstLine="640" w:firstLineChars="200"/>
        <w:rPr>
          <w:rFonts w:hint="eastAsia" w:ascii="仿宋_GB2312" w:hAnsi="宋体" w:eastAsia="仿宋_GB2312"/>
          <w:sz w:val="32"/>
          <w:szCs w:val="32"/>
          <w:u w:val="single"/>
          <w:lang w:eastAsia="zh-CN"/>
        </w:rPr>
      </w:pPr>
      <w:r>
        <w:rPr>
          <w:rFonts w:hint="eastAsia" w:ascii="仿宋_GB2312" w:hAnsi="宋体" w:eastAsia="仿宋_GB2312"/>
          <w:sz w:val="32"/>
          <w:szCs w:val="32"/>
        </w:rPr>
        <w:t>因公出国（境）费支出预算为</w:t>
      </w:r>
      <w:r>
        <w:rPr>
          <w:rFonts w:hint="eastAsia" w:ascii="仿宋_GB2312" w:hAnsi="宋体" w:eastAsia="仿宋_GB2312"/>
          <w:sz w:val="32"/>
          <w:szCs w:val="32"/>
          <w:lang w:val="en-US" w:eastAsia="zh-CN"/>
        </w:rPr>
        <w:t>0</w:t>
      </w:r>
      <w:r>
        <w:rPr>
          <w:rFonts w:hint="eastAsia" w:ascii="仿宋_GB2312" w:hAnsi="宋体" w:eastAsia="仿宋_GB2312"/>
          <w:sz w:val="32"/>
          <w:szCs w:val="32"/>
        </w:rPr>
        <w:t>万元，支出决算为</w:t>
      </w:r>
      <w:r>
        <w:rPr>
          <w:rFonts w:hint="eastAsia" w:ascii="仿宋_GB2312" w:hAnsi="宋体" w:eastAsia="仿宋_GB2312"/>
          <w:sz w:val="32"/>
          <w:szCs w:val="32"/>
          <w:lang w:val="en-US" w:eastAsia="zh-CN"/>
        </w:rPr>
        <w:t>0</w:t>
      </w:r>
      <w:r>
        <w:rPr>
          <w:rFonts w:hint="eastAsia" w:ascii="仿宋_GB2312" w:hAnsi="宋体" w:eastAsia="仿宋_GB2312"/>
          <w:sz w:val="32"/>
          <w:szCs w:val="32"/>
        </w:rPr>
        <w:t>万元，完成预算的</w:t>
      </w:r>
      <w:r>
        <w:rPr>
          <w:rFonts w:hint="eastAsia" w:ascii="仿宋_GB2312" w:hAnsi="宋体" w:eastAsia="仿宋_GB2312"/>
          <w:sz w:val="32"/>
          <w:szCs w:val="32"/>
          <w:lang w:val="en-US" w:eastAsia="zh-CN"/>
        </w:rPr>
        <w:t>100</w:t>
      </w:r>
      <w:r>
        <w:rPr>
          <w:rFonts w:hint="eastAsia" w:ascii="仿宋_GB2312" w:hAnsi="宋体" w:eastAsia="仿宋_GB2312"/>
          <w:sz w:val="32"/>
          <w:szCs w:val="32"/>
        </w:rPr>
        <w:t>%</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原因是今年我委没有接到因公出国（境）的工作任务</w:t>
      </w:r>
      <w:r>
        <w:rPr>
          <w:rFonts w:hint="eastAsia" w:ascii="仿宋_GB2312" w:hAnsi="宋体" w:eastAsia="仿宋_GB2312"/>
          <w:sz w:val="32"/>
          <w:szCs w:val="32"/>
          <w:lang w:eastAsia="zh-CN"/>
        </w:rPr>
        <w:t>。</w:t>
      </w:r>
    </w:p>
    <w:p w14:paraId="65BE7D23">
      <w:pPr>
        <w:pStyle w:val="16"/>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公务接待费支出预算为</w:t>
      </w:r>
      <w:r>
        <w:rPr>
          <w:rFonts w:hint="eastAsia" w:ascii="仿宋_GB2312" w:hAnsi="宋体" w:eastAsia="仿宋_GB2312"/>
          <w:sz w:val="32"/>
          <w:szCs w:val="32"/>
          <w:lang w:val="en-US" w:eastAsia="zh-CN"/>
        </w:rPr>
        <w:t>0.98</w:t>
      </w:r>
      <w:r>
        <w:rPr>
          <w:rFonts w:hint="eastAsia" w:ascii="仿宋_GB2312" w:hAnsi="宋体" w:eastAsia="仿宋_GB2312"/>
          <w:sz w:val="32"/>
          <w:szCs w:val="32"/>
        </w:rPr>
        <w:t>万元，支出决算为</w:t>
      </w:r>
      <w:r>
        <w:rPr>
          <w:rFonts w:hint="eastAsia" w:ascii="仿宋_GB2312" w:hAnsi="宋体" w:eastAsia="仿宋_GB2312"/>
          <w:sz w:val="32"/>
          <w:szCs w:val="32"/>
          <w:lang w:val="en-US" w:eastAsia="zh-CN"/>
        </w:rPr>
        <w:t>0.98</w:t>
      </w:r>
      <w:r>
        <w:rPr>
          <w:rFonts w:hint="eastAsia" w:ascii="仿宋_GB2312" w:hAnsi="宋体" w:eastAsia="仿宋_GB2312"/>
          <w:sz w:val="32"/>
          <w:szCs w:val="32"/>
        </w:rPr>
        <w:t>万元，完成预算的</w:t>
      </w:r>
      <w:r>
        <w:rPr>
          <w:rFonts w:hint="eastAsia" w:ascii="仿宋_GB2312" w:hAnsi="宋体" w:eastAsia="仿宋_GB2312"/>
          <w:sz w:val="32"/>
          <w:szCs w:val="32"/>
          <w:lang w:val="en-US" w:eastAsia="zh-CN"/>
        </w:rPr>
        <w:t>100</w:t>
      </w:r>
      <w:r>
        <w:rPr>
          <w:rFonts w:hint="eastAsia" w:ascii="仿宋_GB2312" w:hAnsi="宋体" w:eastAsia="仿宋_GB2312"/>
          <w:sz w:val="32"/>
          <w:szCs w:val="32"/>
        </w:rPr>
        <w:t>%，</w:t>
      </w:r>
      <w:r>
        <w:rPr>
          <w:rFonts w:hint="eastAsia" w:ascii="仿宋_GB2312" w:hAnsi="宋体" w:eastAsia="仿宋_GB2312"/>
          <w:sz w:val="32"/>
          <w:szCs w:val="32"/>
          <w:u w:val="none"/>
        </w:rPr>
        <w:t>与上年相比</w:t>
      </w:r>
      <w:r>
        <w:rPr>
          <w:rFonts w:hint="eastAsia" w:ascii="仿宋_GB2312" w:hAnsi="宋体" w:eastAsia="仿宋_GB2312"/>
          <w:sz w:val="32"/>
          <w:szCs w:val="32"/>
          <w:u w:val="none"/>
          <w:lang w:val="en-US" w:eastAsia="zh-CN"/>
        </w:rPr>
        <w:t>增加0.47</w:t>
      </w:r>
      <w:r>
        <w:rPr>
          <w:rFonts w:hint="eastAsia" w:ascii="仿宋_GB2312" w:hAnsi="宋体" w:eastAsia="仿宋_GB2312"/>
          <w:sz w:val="32"/>
          <w:szCs w:val="32"/>
          <w:u w:val="none"/>
        </w:rPr>
        <w:t>万元，</w:t>
      </w:r>
      <w:r>
        <w:rPr>
          <w:rFonts w:hint="eastAsia" w:ascii="仿宋_GB2312" w:hAnsi="宋体" w:eastAsia="仿宋_GB2312"/>
          <w:sz w:val="32"/>
          <w:szCs w:val="32"/>
          <w:u w:val="none"/>
          <w:lang w:val="en-US" w:eastAsia="zh-CN"/>
        </w:rPr>
        <w:t>增加92.15</w:t>
      </w:r>
      <w:r>
        <w:rPr>
          <w:rFonts w:hint="eastAsia" w:ascii="仿宋_GB2312" w:hAnsi="宋体" w:eastAsia="仿宋_GB2312"/>
          <w:sz w:val="32"/>
          <w:szCs w:val="32"/>
          <w:u w:val="none"/>
        </w:rPr>
        <w:t>%,</w:t>
      </w:r>
      <w:r>
        <w:rPr>
          <w:rFonts w:hint="eastAsia" w:ascii="仿宋_GB2312" w:hAnsi="宋体" w:eastAsia="仿宋_GB2312"/>
          <w:sz w:val="32"/>
          <w:szCs w:val="32"/>
          <w:u w:val="none"/>
          <w:lang w:val="en-US" w:eastAsia="zh-CN"/>
        </w:rPr>
        <w:t>增加</w:t>
      </w:r>
      <w:r>
        <w:rPr>
          <w:rFonts w:hint="eastAsia" w:ascii="仿宋_GB2312" w:hAnsi="宋体" w:eastAsia="仿宋_GB2312"/>
          <w:sz w:val="32"/>
          <w:szCs w:val="32"/>
          <w:u w:val="none"/>
        </w:rPr>
        <w:t>的主要原因是</w:t>
      </w:r>
      <w:r>
        <w:rPr>
          <w:rFonts w:hint="eastAsia" w:ascii="仿宋_GB2312" w:hAnsi="宋体" w:eastAsia="仿宋_GB2312"/>
          <w:sz w:val="32"/>
          <w:szCs w:val="32"/>
          <w:u w:val="none"/>
          <w:lang w:eastAsia="zh-CN"/>
        </w:rPr>
        <w:t>由于</w:t>
      </w:r>
      <w:r>
        <w:rPr>
          <w:rFonts w:hint="eastAsia" w:ascii="仿宋_GB2312" w:hAnsi="宋体" w:eastAsia="仿宋_GB2312"/>
          <w:sz w:val="32"/>
          <w:szCs w:val="32"/>
          <w:u w:val="none"/>
          <w:lang w:val="en-US" w:eastAsia="zh-CN"/>
        </w:rPr>
        <w:t>国企改革工作取得成绩，与各个市州联系加强</w:t>
      </w:r>
      <w:r>
        <w:rPr>
          <w:rFonts w:hint="eastAsia" w:ascii="仿宋_GB2312" w:hAnsi="宋体" w:eastAsia="仿宋_GB2312"/>
          <w:sz w:val="32"/>
          <w:szCs w:val="32"/>
          <w:u w:val="none"/>
        </w:rPr>
        <w:t>。</w:t>
      </w:r>
    </w:p>
    <w:p w14:paraId="531F5D9A">
      <w:pPr>
        <w:pStyle w:val="16"/>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公务用车运行维护费支出预算为</w:t>
      </w:r>
      <w:r>
        <w:rPr>
          <w:rFonts w:hint="eastAsia" w:ascii="仿宋_GB2312" w:hAnsi="宋体" w:eastAsia="仿宋_GB2312"/>
          <w:sz w:val="32"/>
          <w:szCs w:val="32"/>
          <w:lang w:val="en-US" w:eastAsia="zh-CN"/>
        </w:rPr>
        <w:t>7</w:t>
      </w:r>
      <w:r>
        <w:rPr>
          <w:rFonts w:hint="eastAsia" w:ascii="仿宋_GB2312" w:hAnsi="宋体" w:eastAsia="仿宋_GB2312"/>
          <w:sz w:val="32"/>
          <w:szCs w:val="32"/>
        </w:rPr>
        <w:t>万元，支出决算为</w:t>
      </w:r>
      <w:r>
        <w:rPr>
          <w:rFonts w:hint="eastAsia" w:ascii="仿宋_GB2312" w:hAnsi="宋体" w:eastAsia="仿宋_GB2312"/>
          <w:sz w:val="32"/>
          <w:szCs w:val="32"/>
          <w:lang w:val="en-US" w:eastAsia="zh-CN"/>
        </w:rPr>
        <w:t>7</w:t>
      </w:r>
      <w:r>
        <w:rPr>
          <w:rFonts w:hint="eastAsia" w:ascii="仿宋_GB2312" w:hAnsi="宋体" w:eastAsia="仿宋_GB2312"/>
          <w:sz w:val="32"/>
          <w:szCs w:val="32"/>
        </w:rPr>
        <w:t>万元，完成预算的</w:t>
      </w:r>
      <w:r>
        <w:rPr>
          <w:rFonts w:hint="eastAsia" w:ascii="仿宋_GB2312" w:hAnsi="宋体" w:eastAsia="仿宋_GB2312"/>
          <w:sz w:val="32"/>
          <w:szCs w:val="32"/>
          <w:lang w:val="en-US" w:eastAsia="zh-CN"/>
        </w:rPr>
        <w:t>100</w:t>
      </w:r>
      <w:r>
        <w:rPr>
          <w:rFonts w:hint="eastAsia" w:ascii="仿宋_GB2312" w:hAnsi="宋体" w:eastAsia="仿宋_GB2312"/>
          <w:sz w:val="32"/>
          <w:szCs w:val="32"/>
        </w:rPr>
        <w:t>%，与上年相比</w:t>
      </w:r>
      <w:r>
        <w:rPr>
          <w:rFonts w:hint="eastAsia" w:ascii="仿宋_GB2312" w:hAnsi="宋体" w:eastAsia="仿宋_GB2312"/>
          <w:sz w:val="32"/>
          <w:szCs w:val="32"/>
          <w:lang w:val="en-US" w:eastAsia="zh-CN"/>
        </w:rPr>
        <w:t>增加2</w:t>
      </w:r>
      <w:r>
        <w:rPr>
          <w:rFonts w:hint="eastAsia" w:ascii="仿宋_GB2312" w:hAnsi="宋体" w:eastAsia="仿宋_GB2312"/>
          <w:sz w:val="32"/>
          <w:szCs w:val="32"/>
        </w:rPr>
        <w:t>万元，</w:t>
      </w:r>
      <w:r>
        <w:rPr>
          <w:rFonts w:hint="eastAsia" w:ascii="仿宋_GB2312" w:hAnsi="宋体" w:eastAsia="仿宋_GB2312"/>
          <w:sz w:val="32"/>
          <w:szCs w:val="32"/>
          <w:lang w:val="en-US" w:eastAsia="zh-CN"/>
        </w:rPr>
        <w:t>增加40</w:t>
      </w:r>
      <w:r>
        <w:rPr>
          <w:rFonts w:hint="eastAsia" w:ascii="仿宋_GB2312" w:hAnsi="宋体" w:eastAsia="仿宋_GB2312"/>
          <w:sz w:val="32"/>
          <w:szCs w:val="32"/>
        </w:rPr>
        <w:t>%,</w:t>
      </w:r>
      <w:r>
        <w:rPr>
          <w:rFonts w:hint="eastAsia" w:ascii="仿宋_GB2312" w:hAnsi="宋体" w:eastAsia="仿宋_GB2312"/>
          <w:sz w:val="32"/>
          <w:szCs w:val="32"/>
          <w:lang w:val="en-US" w:eastAsia="zh-CN"/>
        </w:rPr>
        <w:t>增加</w:t>
      </w:r>
      <w:r>
        <w:rPr>
          <w:rFonts w:hint="eastAsia" w:ascii="仿宋_GB2312" w:hAnsi="宋体" w:eastAsia="仿宋_GB2312"/>
          <w:sz w:val="32"/>
          <w:szCs w:val="32"/>
        </w:rPr>
        <w:t>的主要原因是</w:t>
      </w:r>
      <w:r>
        <w:rPr>
          <w:rFonts w:hint="eastAsia" w:ascii="仿宋_GB2312" w:hAnsi="宋体" w:eastAsia="仿宋_GB2312"/>
          <w:sz w:val="32"/>
          <w:szCs w:val="32"/>
          <w:lang w:val="en-US" w:eastAsia="zh-CN"/>
        </w:rPr>
        <w:t>国资工作需要，整体工作增加，公车运行费用增加</w:t>
      </w:r>
      <w:r>
        <w:rPr>
          <w:rFonts w:hint="eastAsia" w:ascii="仿宋_GB2312" w:hAnsi="宋体" w:eastAsia="仿宋_GB2312"/>
          <w:sz w:val="32"/>
          <w:szCs w:val="32"/>
        </w:rPr>
        <w:t>。</w:t>
      </w:r>
    </w:p>
    <w:p w14:paraId="291AE015">
      <w:pPr>
        <w:pStyle w:val="16"/>
        <w:spacing w:line="560" w:lineRule="exact"/>
        <w:ind w:firstLine="643" w:firstLineChars="200"/>
        <w:rPr>
          <w:rFonts w:ascii="宋体" w:hAnsi="宋体" w:eastAsia="宋体"/>
          <w:b/>
          <w:sz w:val="32"/>
          <w:szCs w:val="32"/>
        </w:rPr>
      </w:pPr>
      <w:r>
        <w:rPr>
          <w:rFonts w:hint="eastAsia" w:ascii="仿宋_GB2312" w:hAnsi="宋体" w:eastAsia="仿宋_GB2312"/>
          <w:b/>
          <w:sz w:val="32"/>
          <w:szCs w:val="32"/>
        </w:rPr>
        <w:t>（二）“三公”经费财政拨款支出决算具体情况说明</w:t>
      </w:r>
    </w:p>
    <w:p w14:paraId="073B8CD2">
      <w:pPr>
        <w:pStyle w:val="16"/>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lang w:eastAsia="zh-CN"/>
        </w:rPr>
        <w:t>2023</w:t>
      </w:r>
      <w:r>
        <w:rPr>
          <w:rFonts w:hint="eastAsia" w:ascii="仿宋_GB2312" w:hAnsi="宋体" w:eastAsia="仿宋_GB2312"/>
          <w:sz w:val="32"/>
          <w:szCs w:val="32"/>
        </w:rPr>
        <w:t>年度“三公”经费财政拨款支出决算中，公务接待费支出决算</w:t>
      </w:r>
      <w:r>
        <w:rPr>
          <w:rFonts w:hint="eastAsia" w:ascii="仿宋_GB2312" w:hAnsi="宋体" w:eastAsia="仿宋_GB2312"/>
          <w:sz w:val="32"/>
          <w:szCs w:val="32"/>
          <w:lang w:val="en-US" w:eastAsia="zh-CN"/>
        </w:rPr>
        <w:t>0.98</w:t>
      </w:r>
      <w:r>
        <w:rPr>
          <w:rFonts w:hint="eastAsia" w:ascii="仿宋_GB2312" w:hAnsi="宋体" w:eastAsia="仿宋_GB2312"/>
          <w:sz w:val="32"/>
          <w:szCs w:val="32"/>
        </w:rPr>
        <w:t>万元，占</w:t>
      </w:r>
      <w:r>
        <w:rPr>
          <w:rFonts w:hint="eastAsia" w:ascii="仿宋_GB2312" w:hAnsi="宋体" w:eastAsia="仿宋_GB2312"/>
          <w:sz w:val="32"/>
          <w:szCs w:val="32"/>
          <w:lang w:val="en-US" w:eastAsia="zh-CN"/>
        </w:rPr>
        <w:t>12.28</w:t>
      </w:r>
      <w:r>
        <w:rPr>
          <w:rFonts w:hint="eastAsia" w:ascii="仿宋_GB2312" w:hAnsi="宋体" w:eastAsia="仿宋_GB2312"/>
          <w:sz w:val="32"/>
          <w:szCs w:val="32"/>
        </w:rPr>
        <w:t>%,因公出国（境）费支出决算</w:t>
      </w:r>
      <w:r>
        <w:rPr>
          <w:rFonts w:hint="eastAsia" w:ascii="仿宋_GB2312" w:hAnsi="宋体" w:eastAsia="仿宋_GB2312"/>
          <w:sz w:val="32"/>
          <w:szCs w:val="32"/>
          <w:lang w:val="en-US" w:eastAsia="zh-CN"/>
        </w:rPr>
        <w:t>0</w:t>
      </w:r>
      <w:r>
        <w:rPr>
          <w:rFonts w:hint="eastAsia" w:ascii="仿宋_GB2312" w:hAnsi="宋体" w:eastAsia="仿宋_GB2312"/>
          <w:sz w:val="32"/>
          <w:szCs w:val="32"/>
        </w:rPr>
        <w:t>万元，占</w:t>
      </w:r>
      <w:r>
        <w:rPr>
          <w:rFonts w:hint="eastAsia" w:ascii="仿宋_GB2312" w:hAnsi="宋体" w:eastAsia="仿宋_GB2312"/>
          <w:sz w:val="32"/>
          <w:szCs w:val="32"/>
          <w:lang w:val="en-US" w:eastAsia="zh-CN"/>
        </w:rPr>
        <w:t>0.0</w:t>
      </w:r>
      <w:r>
        <w:rPr>
          <w:rFonts w:hint="eastAsia" w:ascii="仿宋_GB2312" w:hAnsi="宋体" w:eastAsia="仿宋_GB2312"/>
          <w:sz w:val="32"/>
          <w:szCs w:val="32"/>
        </w:rPr>
        <w:t>%,公务用车运行维护费支出决算</w:t>
      </w:r>
      <w:r>
        <w:rPr>
          <w:rFonts w:hint="eastAsia" w:ascii="仿宋_GB2312" w:hAnsi="宋体" w:eastAsia="仿宋_GB2312"/>
          <w:sz w:val="32"/>
          <w:szCs w:val="32"/>
          <w:lang w:val="en-US" w:eastAsia="zh-CN"/>
        </w:rPr>
        <w:t>7</w:t>
      </w:r>
      <w:r>
        <w:rPr>
          <w:rFonts w:hint="eastAsia" w:ascii="仿宋_GB2312" w:hAnsi="宋体" w:eastAsia="仿宋_GB2312"/>
          <w:sz w:val="32"/>
          <w:szCs w:val="32"/>
        </w:rPr>
        <w:t>万元，占</w:t>
      </w:r>
      <w:r>
        <w:rPr>
          <w:rFonts w:hint="eastAsia" w:ascii="仿宋_GB2312" w:hAnsi="宋体" w:eastAsia="仿宋_GB2312"/>
          <w:sz w:val="32"/>
          <w:szCs w:val="32"/>
          <w:lang w:val="en-US" w:eastAsia="zh-CN"/>
        </w:rPr>
        <w:t>87.72</w:t>
      </w:r>
      <w:r>
        <w:rPr>
          <w:rFonts w:hint="eastAsia" w:ascii="仿宋_GB2312" w:hAnsi="宋体" w:eastAsia="仿宋_GB2312"/>
          <w:sz w:val="32"/>
          <w:szCs w:val="32"/>
        </w:rPr>
        <w:t>%。其中：</w:t>
      </w:r>
    </w:p>
    <w:p w14:paraId="09A409EC">
      <w:pPr>
        <w:pStyle w:val="16"/>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1、因公出国（境）费支出决算为</w:t>
      </w:r>
      <w:r>
        <w:rPr>
          <w:rFonts w:hint="eastAsia" w:ascii="仿宋_GB2312" w:hAnsi="宋体" w:eastAsia="仿宋_GB2312"/>
          <w:sz w:val="32"/>
          <w:szCs w:val="32"/>
          <w:lang w:val="en-US" w:eastAsia="zh-CN"/>
        </w:rPr>
        <w:t>0</w:t>
      </w:r>
      <w:r>
        <w:rPr>
          <w:rFonts w:hint="eastAsia" w:ascii="仿宋_GB2312" w:hAnsi="宋体" w:eastAsia="仿宋_GB2312"/>
          <w:sz w:val="32"/>
          <w:szCs w:val="32"/>
        </w:rPr>
        <w:t>万元，全年安排因公出国（境）团组</w:t>
      </w:r>
      <w:r>
        <w:rPr>
          <w:rFonts w:hint="eastAsia" w:ascii="仿宋_GB2312" w:hAnsi="宋体" w:eastAsia="仿宋_GB2312"/>
          <w:sz w:val="32"/>
          <w:szCs w:val="32"/>
          <w:lang w:val="en-US" w:eastAsia="zh-CN"/>
        </w:rPr>
        <w:t>0</w:t>
      </w:r>
      <w:r>
        <w:rPr>
          <w:rFonts w:hint="eastAsia" w:ascii="仿宋_GB2312" w:hAnsi="宋体" w:eastAsia="仿宋_GB2312"/>
          <w:sz w:val="32"/>
          <w:szCs w:val="32"/>
        </w:rPr>
        <w:t>个，累计</w:t>
      </w:r>
      <w:r>
        <w:rPr>
          <w:rFonts w:hint="eastAsia" w:ascii="仿宋_GB2312" w:hAnsi="宋体" w:eastAsia="仿宋_GB2312"/>
          <w:sz w:val="32"/>
          <w:szCs w:val="32"/>
          <w:lang w:val="en-US" w:eastAsia="zh-CN"/>
        </w:rPr>
        <w:t>0</w:t>
      </w:r>
      <w:r>
        <w:rPr>
          <w:rFonts w:hint="eastAsia" w:ascii="仿宋_GB2312" w:hAnsi="宋体" w:eastAsia="仿宋_GB2312"/>
          <w:sz w:val="32"/>
          <w:szCs w:val="32"/>
        </w:rPr>
        <w:t>人次（精确到个人）</w:t>
      </w:r>
      <w:r>
        <w:rPr>
          <w:rFonts w:hint="eastAsia" w:ascii="仿宋_GB2312" w:hAnsi="宋体" w:eastAsia="仿宋_GB2312"/>
          <w:sz w:val="32"/>
          <w:szCs w:val="32"/>
          <w:lang w:eastAsia="zh-CN"/>
        </w:rPr>
        <w:t>。</w:t>
      </w:r>
      <w:r>
        <w:rPr>
          <w:rFonts w:hint="eastAsia" w:ascii="仿宋_GB2312" w:hAnsi="宋体" w:eastAsia="仿宋_GB2312"/>
          <w:sz w:val="32"/>
          <w:szCs w:val="32"/>
        </w:rPr>
        <w:t xml:space="preserve">    </w:t>
      </w:r>
    </w:p>
    <w:p w14:paraId="5656FFE2">
      <w:pPr>
        <w:pStyle w:val="16"/>
        <w:spacing w:line="560" w:lineRule="exact"/>
        <w:ind w:firstLine="800" w:firstLineChars="250"/>
        <w:rPr>
          <w:rFonts w:ascii="仿宋_GB2312" w:hAnsi="宋体" w:eastAsia="仿宋_GB2312"/>
          <w:sz w:val="32"/>
          <w:szCs w:val="32"/>
        </w:rPr>
      </w:pPr>
      <w:r>
        <w:rPr>
          <w:rFonts w:hint="eastAsia" w:ascii="仿宋_GB2312" w:hAnsi="宋体" w:eastAsia="仿宋_GB2312"/>
          <w:sz w:val="32"/>
          <w:szCs w:val="32"/>
        </w:rPr>
        <w:t>2、公务接待费支出决算为</w:t>
      </w:r>
      <w:r>
        <w:rPr>
          <w:rFonts w:hint="eastAsia" w:ascii="仿宋_GB2312" w:hAnsi="宋体" w:eastAsia="仿宋_GB2312"/>
          <w:sz w:val="32"/>
          <w:szCs w:val="32"/>
          <w:lang w:val="en-US" w:eastAsia="zh-CN"/>
        </w:rPr>
        <w:t>0.98</w:t>
      </w:r>
      <w:r>
        <w:rPr>
          <w:rFonts w:hint="eastAsia" w:ascii="仿宋_GB2312" w:hAnsi="宋体" w:eastAsia="仿宋_GB2312"/>
          <w:sz w:val="32"/>
          <w:szCs w:val="32"/>
        </w:rPr>
        <w:t>万元，全年共接待来访团组</w:t>
      </w:r>
      <w:r>
        <w:rPr>
          <w:rFonts w:hint="eastAsia" w:ascii="仿宋_GB2312" w:hAnsi="宋体" w:eastAsia="仿宋_GB2312"/>
          <w:sz w:val="32"/>
          <w:szCs w:val="32"/>
          <w:lang w:val="en-US" w:eastAsia="zh-CN"/>
        </w:rPr>
        <w:t>8</w:t>
      </w:r>
      <w:r>
        <w:rPr>
          <w:rFonts w:hint="eastAsia" w:ascii="仿宋_GB2312" w:hAnsi="宋体" w:eastAsia="仿宋_GB2312"/>
          <w:sz w:val="32"/>
          <w:szCs w:val="32"/>
        </w:rPr>
        <w:t>个、来宾</w:t>
      </w:r>
      <w:r>
        <w:rPr>
          <w:rFonts w:hint="eastAsia" w:ascii="仿宋_GB2312" w:hAnsi="宋体" w:eastAsia="仿宋_GB2312"/>
          <w:sz w:val="32"/>
          <w:szCs w:val="32"/>
          <w:lang w:val="en-US" w:eastAsia="zh-CN"/>
        </w:rPr>
        <w:t>89</w:t>
      </w:r>
      <w:r>
        <w:rPr>
          <w:rFonts w:hint="eastAsia" w:ascii="仿宋_GB2312" w:hAnsi="宋体" w:eastAsia="仿宋_GB2312"/>
          <w:sz w:val="32"/>
          <w:szCs w:val="32"/>
        </w:rPr>
        <w:t>人次，主要是接待各其他市州国资委来我委调研考察发生的接待支出。</w:t>
      </w:r>
    </w:p>
    <w:p w14:paraId="25834058">
      <w:pPr>
        <w:spacing w:line="560" w:lineRule="exact"/>
        <w:ind w:firstLine="800" w:firstLineChars="250"/>
      </w:pPr>
      <w:r>
        <w:rPr>
          <w:rFonts w:hint="eastAsia" w:ascii="仿宋_GB2312" w:hAnsi="宋体" w:eastAsia="仿宋_GB2312"/>
          <w:sz w:val="32"/>
          <w:szCs w:val="32"/>
        </w:rPr>
        <w:t>3、公务用车运行维护费支出决算为</w:t>
      </w:r>
      <w:r>
        <w:rPr>
          <w:rFonts w:hint="eastAsia" w:ascii="仿宋_GB2312" w:hAnsi="宋体" w:eastAsia="仿宋_GB2312"/>
          <w:sz w:val="32"/>
          <w:szCs w:val="32"/>
          <w:lang w:val="en-US" w:eastAsia="zh-CN"/>
        </w:rPr>
        <w:t>7</w:t>
      </w:r>
      <w:r>
        <w:rPr>
          <w:rFonts w:hint="eastAsia" w:ascii="仿宋_GB2312" w:hAnsi="宋体" w:eastAsia="仿宋_GB2312"/>
          <w:sz w:val="32"/>
          <w:szCs w:val="32"/>
        </w:rPr>
        <w:t>万元，主要是燃油费、维修费、保险费等支出，截止</w:t>
      </w:r>
      <w:r>
        <w:rPr>
          <w:rFonts w:hint="eastAsia" w:ascii="仿宋_GB2312" w:hAnsi="宋体" w:eastAsia="仿宋_GB2312"/>
          <w:sz w:val="32"/>
          <w:szCs w:val="32"/>
          <w:lang w:eastAsia="zh-CN"/>
        </w:rPr>
        <w:t>2023</w:t>
      </w:r>
      <w:r>
        <w:rPr>
          <w:rFonts w:hint="eastAsia" w:ascii="仿宋_GB2312" w:hAnsi="宋体" w:eastAsia="仿宋_GB2312"/>
          <w:sz w:val="32"/>
          <w:szCs w:val="32"/>
        </w:rPr>
        <w:t>年12月31日，我单位开支财政拨款的公务用车保有量为</w:t>
      </w:r>
      <w:r>
        <w:rPr>
          <w:rFonts w:hint="eastAsia" w:ascii="仿宋_GB2312" w:hAnsi="宋体" w:eastAsia="仿宋_GB2312"/>
          <w:sz w:val="32"/>
          <w:szCs w:val="32"/>
          <w:lang w:val="en-US" w:eastAsia="zh-CN"/>
        </w:rPr>
        <w:t>2</w:t>
      </w:r>
      <w:r>
        <w:rPr>
          <w:rFonts w:hint="eastAsia" w:ascii="仿宋_GB2312" w:hAnsi="宋体" w:eastAsia="仿宋_GB2312"/>
          <w:sz w:val="32"/>
          <w:szCs w:val="32"/>
        </w:rPr>
        <w:t>辆。</w:t>
      </w:r>
    </w:p>
    <w:p w14:paraId="076D7EB7">
      <w:pPr>
        <w:pStyle w:val="16"/>
        <w:spacing w:line="560" w:lineRule="exact"/>
        <w:rPr>
          <w:rFonts w:hAnsi="黑体"/>
          <w:sz w:val="32"/>
          <w:szCs w:val="32"/>
        </w:rPr>
      </w:pPr>
      <w:r>
        <w:rPr>
          <w:rFonts w:hint="eastAsia" w:hAnsi="黑体"/>
          <w:sz w:val="32"/>
          <w:szCs w:val="32"/>
        </w:rPr>
        <w:t>八、政府性基金预算收入支出决算情况</w:t>
      </w:r>
    </w:p>
    <w:p w14:paraId="26DB4793">
      <w:pPr>
        <w:pStyle w:val="16"/>
        <w:spacing w:line="560" w:lineRule="exact"/>
        <w:rPr>
          <w:rFonts w:hint="eastAsia" w:ascii="仿宋_GB2312" w:hAnsi="宋体" w:eastAsia="仿宋_GB2312"/>
          <w:sz w:val="32"/>
          <w:szCs w:val="32"/>
        </w:rPr>
      </w:pPr>
      <w:r>
        <w:rPr>
          <w:rFonts w:hint="eastAsia" w:ascii="仿宋_GB2312" w:hAnsi="宋体" w:eastAsia="仿宋_GB2312"/>
          <w:sz w:val="32"/>
          <w:szCs w:val="32"/>
        </w:rPr>
        <w:t xml:space="preserve">    本单位没有政府性基金收入，也没有使用政府性基金安排的支出。</w:t>
      </w:r>
    </w:p>
    <w:p w14:paraId="71CCC0A4">
      <w:pPr>
        <w:pStyle w:val="16"/>
        <w:spacing w:line="560" w:lineRule="exact"/>
        <w:rPr>
          <w:rFonts w:hAnsi="黑体"/>
          <w:sz w:val="32"/>
          <w:szCs w:val="32"/>
        </w:rPr>
      </w:pPr>
      <w:r>
        <w:rPr>
          <w:rFonts w:hint="eastAsia" w:hAnsi="黑体"/>
          <w:sz w:val="32"/>
          <w:szCs w:val="32"/>
        </w:rPr>
        <w:t>九、国有资本经营预算支出决算情况说明</w:t>
      </w:r>
    </w:p>
    <w:p w14:paraId="0B4874AE">
      <w:pPr>
        <w:pStyle w:val="16"/>
        <w:spacing w:line="560" w:lineRule="exact"/>
        <w:ind w:firstLine="640" w:firstLineChars="200"/>
        <w:rPr>
          <w:rFonts w:hint="eastAsia" w:ascii="仿宋_GB2312" w:hAnsi="宋体" w:eastAsia="仿宋_GB2312"/>
          <w:color w:val="000000"/>
          <w:sz w:val="32"/>
          <w:szCs w:val="32"/>
          <w:highlight w:val="none"/>
        </w:rPr>
      </w:pPr>
      <w:r>
        <w:rPr>
          <w:rFonts w:hint="eastAsia" w:ascii="仿宋_GB2312" w:hAnsi="宋体" w:eastAsia="仿宋_GB2312"/>
          <w:sz w:val="32"/>
          <w:szCs w:val="32"/>
          <w:highlight w:val="none"/>
          <w:u w:val="none"/>
          <w:lang w:eastAsia="zh-CN"/>
        </w:rPr>
        <w:t>2023</w:t>
      </w:r>
      <w:r>
        <w:rPr>
          <w:rFonts w:hint="eastAsia" w:ascii="仿宋_GB2312" w:hAnsi="宋体" w:eastAsia="仿宋_GB2312"/>
          <w:sz w:val="32"/>
          <w:szCs w:val="32"/>
          <w:highlight w:val="none"/>
          <w:u w:val="none"/>
        </w:rPr>
        <w:t>年度国有资本经营预算财政拨款收入</w:t>
      </w:r>
      <w:r>
        <w:rPr>
          <w:rFonts w:hint="eastAsia" w:ascii="仿宋_GB2312" w:hAnsi="宋体" w:eastAsia="仿宋_GB2312"/>
          <w:sz w:val="32"/>
          <w:szCs w:val="32"/>
          <w:highlight w:val="none"/>
          <w:u w:val="none"/>
          <w:lang w:val="en-US" w:eastAsia="zh-CN"/>
        </w:rPr>
        <w:t>259.79</w:t>
      </w:r>
      <w:r>
        <w:rPr>
          <w:rFonts w:hint="eastAsia" w:ascii="仿宋_GB2312" w:hAnsi="宋体" w:eastAsia="仿宋_GB2312"/>
          <w:sz w:val="32"/>
          <w:szCs w:val="32"/>
          <w:highlight w:val="none"/>
          <w:u w:val="none"/>
        </w:rPr>
        <w:t>万元，年初结转和结余</w:t>
      </w:r>
      <w:r>
        <w:rPr>
          <w:rFonts w:hint="eastAsia" w:ascii="仿宋_GB2312" w:hAnsi="宋体" w:eastAsia="仿宋_GB2312"/>
          <w:sz w:val="32"/>
          <w:szCs w:val="32"/>
          <w:highlight w:val="none"/>
          <w:u w:val="none"/>
          <w:lang w:val="en-US" w:eastAsia="zh-CN"/>
        </w:rPr>
        <w:t>0</w:t>
      </w:r>
      <w:r>
        <w:rPr>
          <w:rFonts w:hint="eastAsia" w:ascii="仿宋_GB2312" w:hAnsi="宋体" w:eastAsia="仿宋_GB2312"/>
          <w:sz w:val="32"/>
          <w:szCs w:val="32"/>
          <w:highlight w:val="none"/>
          <w:u w:val="none"/>
        </w:rPr>
        <w:t>万元；支出</w:t>
      </w:r>
      <w:r>
        <w:rPr>
          <w:rFonts w:hint="eastAsia" w:ascii="仿宋_GB2312" w:hAnsi="宋体" w:eastAsia="仿宋_GB2312"/>
          <w:sz w:val="32"/>
          <w:szCs w:val="32"/>
          <w:highlight w:val="none"/>
          <w:u w:val="none"/>
          <w:lang w:val="en-US" w:eastAsia="zh-CN"/>
        </w:rPr>
        <w:t>259.79</w:t>
      </w:r>
      <w:r>
        <w:rPr>
          <w:rFonts w:hint="eastAsia" w:ascii="仿宋_GB2312" w:hAnsi="宋体" w:eastAsia="仿宋_GB2312"/>
          <w:sz w:val="32"/>
          <w:szCs w:val="32"/>
          <w:highlight w:val="none"/>
          <w:u w:val="none"/>
        </w:rPr>
        <w:t>万元，其中基本支出</w:t>
      </w:r>
      <w:r>
        <w:rPr>
          <w:rFonts w:hint="eastAsia" w:ascii="仿宋_GB2312" w:hAnsi="宋体" w:eastAsia="仿宋_GB2312"/>
          <w:sz w:val="32"/>
          <w:szCs w:val="32"/>
          <w:highlight w:val="none"/>
          <w:u w:val="none"/>
          <w:lang w:val="en-US" w:eastAsia="zh-CN"/>
        </w:rPr>
        <w:t>0</w:t>
      </w:r>
      <w:r>
        <w:rPr>
          <w:rFonts w:hint="eastAsia" w:ascii="仿宋_GB2312" w:hAnsi="宋体" w:eastAsia="仿宋_GB2312"/>
          <w:sz w:val="32"/>
          <w:szCs w:val="32"/>
          <w:highlight w:val="none"/>
          <w:u w:val="none"/>
        </w:rPr>
        <w:t>万元，项目支出</w:t>
      </w:r>
      <w:r>
        <w:rPr>
          <w:rFonts w:hint="eastAsia" w:ascii="仿宋_GB2312" w:hAnsi="宋体" w:eastAsia="仿宋_GB2312"/>
          <w:sz w:val="32"/>
          <w:szCs w:val="32"/>
          <w:highlight w:val="none"/>
          <w:u w:val="none"/>
          <w:lang w:val="en-US" w:eastAsia="zh-CN"/>
        </w:rPr>
        <w:t>259.79</w:t>
      </w:r>
      <w:r>
        <w:rPr>
          <w:rFonts w:hint="eastAsia" w:ascii="仿宋_GB2312" w:hAnsi="宋体" w:eastAsia="仿宋_GB2312"/>
          <w:sz w:val="32"/>
          <w:szCs w:val="32"/>
          <w:highlight w:val="none"/>
          <w:u w:val="none"/>
        </w:rPr>
        <w:t>万元；年末结转和结余</w:t>
      </w:r>
      <w:r>
        <w:rPr>
          <w:rFonts w:hint="eastAsia" w:ascii="仿宋_GB2312" w:hAnsi="宋体" w:eastAsia="仿宋_GB2312"/>
          <w:sz w:val="32"/>
          <w:szCs w:val="32"/>
          <w:highlight w:val="none"/>
          <w:u w:val="none"/>
          <w:lang w:val="en-US" w:eastAsia="zh-CN"/>
        </w:rPr>
        <w:t>0</w:t>
      </w:r>
      <w:r>
        <w:rPr>
          <w:rFonts w:hint="eastAsia" w:ascii="仿宋_GB2312" w:hAnsi="宋体" w:eastAsia="仿宋_GB2312"/>
          <w:sz w:val="32"/>
          <w:szCs w:val="32"/>
          <w:highlight w:val="none"/>
          <w:u w:val="none"/>
        </w:rPr>
        <w:t>万元。</w:t>
      </w:r>
    </w:p>
    <w:p w14:paraId="3A130C58">
      <w:pPr>
        <w:pStyle w:val="16"/>
        <w:spacing w:line="560" w:lineRule="exact"/>
        <w:rPr>
          <w:rFonts w:hAnsi="黑体"/>
          <w:sz w:val="32"/>
          <w:szCs w:val="32"/>
        </w:rPr>
      </w:pPr>
      <w:r>
        <w:rPr>
          <w:rFonts w:hint="eastAsia" w:hAnsi="黑体"/>
          <w:sz w:val="32"/>
          <w:szCs w:val="32"/>
        </w:rPr>
        <w:t>十、机关运行经费支出说明</w:t>
      </w:r>
    </w:p>
    <w:p w14:paraId="336C4926">
      <w:pPr>
        <w:pStyle w:val="16"/>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highlight w:val="none"/>
          <w:lang w:eastAsia="zh-CN"/>
        </w:rPr>
        <w:t>2023</w:t>
      </w:r>
      <w:r>
        <w:rPr>
          <w:rFonts w:hint="eastAsia" w:ascii="仿宋_GB2312" w:hAnsi="宋体" w:eastAsia="仿宋_GB2312"/>
          <w:sz w:val="32"/>
          <w:szCs w:val="32"/>
          <w:highlight w:val="none"/>
        </w:rPr>
        <w:t>年度，机关运行经费支出</w:t>
      </w:r>
      <w:r>
        <w:rPr>
          <w:rFonts w:hint="eastAsia" w:ascii="仿宋_GB2312" w:hAnsi="宋体" w:eastAsia="仿宋_GB2312"/>
          <w:sz w:val="32"/>
          <w:szCs w:val="32"/>
          <w:highlight w:val="none"/>
          <w:lang w:val="en-US" w:eastAsia="zh-CN"/>
        </w:rPr>
        <w:t>183.94</w:t>
      </w:r>
      <w:r>
        <w:rPr>
          <w:rFonts w:hint="eastAsia" w:ascii="仿宋_GB2312" w:hAnsi="宋体" w:eastAsia="仿宋_GB2312"/>
          <w:sz w:val="32"/>
          <w:szCs w:val="32"/>
          <w:highlight w:val="none"/>
        </w:rPr>
        <w:t>万元，比年初预算数减少</w:t>
      </w:r>
      <w:r>
        <w:rPr>
          <w:rFonts w:hint="eastAsia" w:ascii="仿宋_GB2312" w:hAnsi="宋体" w:eastAsia="仿宋_GB2312"/>
          <w:sz w:val="32"/>
          <w:szCs w:val="32"/>
          <w:highlight w:val="none"/>
          <w:lang w:val="en-US" w:eastAsia="zh-CN"/>
        </w:rPr>
        <w:t>28.7</w:t>
      </w:r>
      <w:r>
        <w:rPr>
          <w:rFonts w:hint="eastAsia" w:ascii="仿宋_GB2312" w:hAnsi="宋体" w:eastAsia="仿宋_GB2312"/>
          <w:sz w:val="32"/>
          <w:szCs w:val="32"/>
          <w:highlight w:val="none"/>
        </w:rPr>
        <w:t>万元，降低</w:t>
      </w:r>
      <w:r>
        <w:rPr>
          <w:rFonts w:hint="eastAsia" w:ascii="仿宋_GB2312" w:hAnsi="宋体" w:eastAsia="仿宋_GB2312"/>
          <w:sz w:val="32"/>
          <w:szCs w:val="32"/>
          <w:highlight w:val="none"/>
          <w:lang w:val="en-US" w:eastAsia="zh-CN"/>
        </w:rPr>
        <w:t>13.49</w:t>
      </w:r>
      <w:r>
        <w:rPr>
          <w:rFonts w:hint="eastAsia" w:ascii="仿宋_GB2312" w:hAnsi="宋体" w:eastAsia="仿宋_GB2312"/>
          <w:sz w:val="32"/>
          <w:szCs w:val="32"/>
          <w:highlight w:val="none"/>
        </w:rPr>
        <w:t>%,主要原因是：</w:t>
      </w:r>
      <w:r>
        <w:rPr>
          <w:rFonts w:hint="eastAsia" w:ascii="仿宋_GB2312" w:hAnsi="宋体" w:eastAsia="仿宋_GB2312"/>
          <w:sz w:val="32"/>
          <w:szCs w:val="32"/>
          <w:highlight w:val="none"/>
          <w:lang w:eastAsia="zh-CN"/>
        </w:rPr>
        <w:t>部门严控运转经费开支</w:t>
      </w:r>
      <w:r>
        <w:rPr>
          <w:rFonts w:hint="eastAsia" w:ascii="仿宋_GB2312" w:hAnsi="宋体" w:eastAsia="仿宋_GB2312"/>
          <w:sz w:val="32"/>
          <w:szCs w:val="32"/>
          <w:highlight w:val="none"/>
        </w:rPr>
        <w:t>；比上年决算数减少</w:t>
      </w:r>
      <w:r>
        <w:rPr>
          <w:rFonts w:hint="eastAsia" w:ascii="仿宋_GB2312" w:hAnsi="宋体" w:eastAsia="仿宋_GB2312"/>
          <w:sz w:val="32"/>
          <w:szCs w:val="32"/>
          <w:highlight w:val="none"/>
          <w:lang w:val="en-US" w:eastAsia="zh-CN"/>
        </w:rPr>
        <w:t>12.13</w:t>
      </w:r>
      <w:r>
        <w:rPr>
          <w:rFonts w:hint="eastAsia" w:ascii="仿宋_GB2312" w:hAnsi="宋体" w:eastAsia="仿宋_GB2312"/>
          <w:sz w:val="32"/>
          <w:szCs w:val="32"/>
          <w:highlight w:val="none"/>
        </w:rPr>
        <w:t>万元，降低</w:t>
      </w:r>
      <w:r>
        <w:rPr>
          <w:rFonts w:hint="eastAsia" w:ascii="仿宋_GB2312" w:hAnsi="宋体" w:eastAsia="仿宋_GB2312"/>
          <w:sz w:val="32"/>
          <w:szCs w:val="32"/>
          <w:highlight w:val="none"/>
          <w:lang w:val="en-US" w:eastAsia="zh-CN"/>
        </w:rPr>
        <w:t>6.19</w:t>
      </w:r>
      <w:r>
        <w:rPr>
          <w:rFonts w:hint="eastAsia" w:ascii="仿宋_GB2312" w:hAnsi="宋体" w:eastAsia="仿宋_GB2312"/>
          <w:sz w:val="32"/>
          <w:szCs w:val="32"/>
          <w:highlight w:val="none"/>
        </w:rPr>
        <w:t>%。主要</w:t>
      </w:r>
      <w:r>
        <w:rPr>
          <w:rFonts w:hint="eastAsia" w:ascii="仿宋_GB2312" w:hAnsi="宋体" w:eastAsia="仿宋_GB2312"/>
          <w:sz w:val="32"/>
          <w:szCs w:val="32"/>
        </w:rPr>
        <w:t>原因是：</w:t>
      </w:r>
      <w:r>
        <w:rPr>
          <w:rFonts w:hint="eastAsia" w:ascii="仿宋_GB2312" w:hAnsi="宋体" w:eastAsia="仿宋_GB2312"/>
          <w:sz w:val="32"/>
          <w:szCs w:val="32"/>
          <w:lang w:eastAsia="zh-CN"/>
        </w:rPr>
        <w:t>财政局相应要求，严格控制运转经费</w:t>
      </w:r>
      <w:r>
        <w:rPr>
          <w:rFonts w:hint="eastAsia" w:ascii="仿宋_GB2312" w:hAnsi="宋体" w:eastAsia="仿宋_GB2312"/>
          <w:sz w:val="32"/>
          <w:szCs w:val="32"/>
        </w:rPr>
        <w:t>。</w:t>
      </w:r>
    </w:p>
    <w:p w14:paraId="32921ECF">
      <w:pPr>
        <w:pStyle w:val="16"/>
        <w:spacing w:line="560" w:lineRule="exact"/>
        <w:rPr>
          <w:rFonts w:hAnsi="黑体"/>
          <w:sz w:val="32"/>
          <w:szCs w:val="32"/>
          <w:highlight w:val="none"/>
        </w:rPr>
      </w:pPr>
      <w:r>
        <w:rPr>
          <w:rFonts w:hint="eastAsia" w:hAnsi="黑体"/>
          <w:sz w:val="32"/>
          <w:szCs w:val="32"/>
          <w:highlight w:val="none"/>
        </w:rPr>
        <w:t>十一、一般性支出情况说明</w:t>
      </w:r>
    </w:p>
    <w:p w14:paraId="3AF45B90">
      <w:pPr>
        <w:pStyle w:val="16"/>
        <w:ind w:left="105" w:leftChars="50" w:firstLine="480" w:firstLineChars="150"/>
        <w:rPr>
          <w:rFonts w:ascii="仿宋_GB2312" w:hAnsi="宋体" w:eastAsia="仿宋_GB2312"/>
          <w:color w:val="000000"/>
          <w:sz w:val="32"/>
          <w:szCs w:val="32"/>
        </w:rPr>
      </w:pPr>
      <w:r>
        <w:rPr>
          <w:rFonts w:hint="eastAsia" w:ascii="仿宋_GB2312" w:hAnsi="宋体" w:eastAsia="仿宋_GB2312"/>
          <w:color w:val="000000"/>
          <w:sz w:val="32"/>
          <w:szCs w:val="32"/>
          <w:lang w:eastAsia="zh-CN"/>
        </w:rPr>
        <w:t>2023</w:t>
      </w:r>
      <w:r>
        <w:rPr>
          <w:rFonts w:hint="eastAsia" w:ascii="仿宋_GB2312" w:hAnsi="宋体" w:eastAsia="仿宋_GB2312"/>
          <w:color w:val="000000"/>
          <w:sz w:val="32"/>
          <w:szCs w:val="32"/>
        </w:rPr>
        <w:t>年开支会议费</w:t>
      </w:r>
      <w:r>
        <w:rPr>
          <w:rFonts w:hint="eastAsia" w:ascii="仿宋_GB2312" w:hAnsi="宋体" w:eastAsia="仿宋_GB2312"/>
          <w:color w:val="000000"/>
          <w:sz w:val="32"/>
          <w:szCs w:val="32"/>
          <w:lang w:val="en-US" w:eastAsia="zh-CN"/>
        </w:rPr>
        <w:t>3</w:t>
      </w:r>
      <w:r>
        <w:rPr>
          <w:rFonts w:hint="eastAsia" w:ascii="仿宋_GB2312" w:hAnsi="宋体" w:eastAsia="仿宋_GB2312"/>
          <w:color w:val="000000"/>
          <w:sz w:val="32"/>
          <w:szCs w:val="32"/>
        </w:rPr>
        <w:t>.00万元，用于召开年度国资监管工作</w:t>
      </w:r>
      <w:r>
        <w:rPr>
          <w:rFonts w:hint="eastAsia" w:ascii="仿宋_GB2312" w:hAnsi="宋体" w:eastAsia="仿宋_GB2312"/>
          <w:color w:val="000000"/>
          <w:sz w:val="32"/>
          <w:szCs w:val="32"/>
          <w:lang w:val="en-US" w:eastAsia="zh-CN"/>
        </w:rPr>
        <w:t>系列</w:t>
      </w:r>
      <w:r>
        <w:rPr>
          <w:rFonts w:hint="eastAsia" w:ascii="仿宋_GB2312" w:hAnsi="宋体" w:eastAsia="仿宋_GB2312"/>
          <w:color w:val="000000"/>
          <w:sz w:val="32"/>
          <w:szCs w:val="32"/>
        </w:rPr>
        <w:t>会议，人数</w:t>
      </w:r>
      <w:r>
        <w:rPr>
          <w:rFonts w:hint="eastAsia" w:ascii="仿宋_GB2312" w:hAnsi="宋体" w:eastAsia="仿宋_GB2312"/>
          <w:color w:val="000000"/>
          <w:sz w:val="32"/>
          <w:szCs w:val="32"/>
          <w:lang w:eastAsia="zh-CN"/>
        </w:rPr>
        <w:t>百</w:t>
      </w:r>
      <w:r>
        <w:rPr>
          <w:rFonts w:hint="eastAsia" w:ascii="仿宋_GB2312" w:hAnsi="宋体" w:eastAsia="仿宋_GB2312"/>
          <w:color w:val="000000"/>
          <w:sz w:val="32"/>
          <w:szCs w:val="32"/>
        </w:rPr>
        <w:t>余人</w:t>
      </w:r>
      <w:r>
        <w:rPr>
          <w:rFonts w:hint="eastAsia" w:ascii="仿宋_GB2312" w:hAnsi="宋体" w:eastAsia="仿宋_GB2312"/>
          <w:color w:val="000000"/>
          <w:sz w:val="32"/>
          <w:szCs w:val="32"/>
          <w:lang w:val="en-US" w:eastAsia="zh-CN"/>
        </w:rPr>
        <w:t>次</w:t>
      </w:r>
      <w:r>
        <w:rPr>
          <w:rFonts w:hint="eastAsia" w:ascii="仿宋_GB2312" w:hAnsi="宋体" w:eastAsia="仿宋_GB2312"/>
          <w:color w:val="000000"/>
          <w:sz w:val="32"/>
          <w:szCs w:val="32"/>
        </w:rPr>
        <w:t>；开支培训费</w:t>
      </w:r>
      <w:r>
        <w:rPr>
          <w:rFonts w:hint="eastAsia" w:ascii="仿宋_GB2312" w:hAnsi="宋体" w:eastAsia="仿宋_GB2312"/>
          <w:color w:val="000000"/>
          <w:sz w:val="32"/>
          <w:szCs w:val="32"/>
          <w:lang w:val="en-US" w:eastAsia="zh-CN"/>
        </w:rPr>
        <w:t>1.53</w:t>
      </w:r>
      <w:r>
        <w:rPr>
          <w:rFonts w:hint="eastAsia" w:ascii="仿宋_GB2312" w:hAnsi="宋体" w:eastAsia="仿宋_GB2312"/>
          <w:color w:val="000000"/>
          <w:sz w:val="32"/>
          <w:szCs w:val="32"/>
        </w:rPr>
        <w:t>万元，</w:t>
      </w:r>
      <w:r>
        <w:rPr>
          <w:rFonts w:hint="eastAsia" w:ascii="仿宋_GB2312" w:hAnsi="宋体" w:eastAsia="仿宋_GB2312"/>
          <w:color w:val="000000"/>
          <w:sz w:val="32"/>
          <w:szCs w:val="32"/>
          <w:lang w:eastAsia="zh-CN"/>
        </w:rPr>
        <w:t>用于事业机构全体人员按规定开展的学习等</w:t>
      </w:r>
      <w:r>
        <w:rPr>
          <w:rFonts w:hint="eastAsia" w:ascii="仿宋_GB2312" w:hAnsi="宋体" w:eastAsia="仿宋_GB2312"/>
          <w:color w:val="000000"/>
          <w:sz w:val="32"/>
          <w:szCs w:val="32"/>
        </w:rPr>
        <w:t>。</w:t>
      </w:r>
    </w:p>
    <w:p w14:paraId="385535A4">
      <w:pPr>
        <w:pStyle w:val="16"/>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eastAsia="zh-CN"/>
        </w:rPr>
        <w:t>2023</w:t>
      </w:r>
      <w:r>
        <w:rPr>
          <w:rFonts w:hint="eastAsia" w:ascii="仿宋_GB2312" w:hAnsi="宋体" w:eastAsia="仿宋_GB2312"/>
          <w:sz w:val="32"/>
          <w:szCs w:val="32"/>
        </w:rPr>
        <w:t>年度，会议费年初预算</w:t>
      </w:r>
      <w:r>
        <w:rPr>
          <w:rFonts w:hint="eastAsia" w:ascii="仿宋_GB2312" w:hAnsi="宋体" w:eastAsia="仿宋_GB2312"/>
          <w:sz w:val="32"/>
          <w:szCs w:val="32"/>
          <w:lang w:val="en-US" w:eastAsia="zh-CN"/>
        </w:rPr>
        <w:t>3</w:t>
      </w:r>
      <w:r>
        <w:rPr>
          <w:rFonts w:hint="eastAsia" w:ascii="仿宋_GB2312" w:hAnsi="宋体" w:eastAsia="仿宋_GB2312"/>
          <w:sz w:val="32"/>
          <w:szCs w:val="32"/>
        </w:rPr>
        <w:t>万元，支出决算为</w:t>
      </w:r>
      <w:r>
        <w:rPr>
          <w:rFonts w:hint="eastAsia" w:ascii="仿宋_GB2312" w:hAnsi="宋体" w:eastAsia="仿宋_GB2312"/>
          <w:sz w:val="32"/>
          <w:szCs w:val="32"/>
          <w:lang w:val="en-US" w:eastAsia="zh-CN"/>
        </w:rPr>
        <w:t>3</w:t>
      </w:r>
      <w:r>
        <w:rPr>
          <w:rFonts w:hint="eastAsia" w:ascii="仿宋_GB2312" w:hAnsi="宋体" w:eastAsia="仿宋_GB2312"/>
          <w:sz w:val="32"/>
          <w:szCs w:val="32"/>
        </w:rPr>
        <w:t>万元，完成年初预算的</w:t>
      </w:r>
      <w:r>
        <w:rPr>
          <w:rFonts w:hint="eastAsia" w:ascii="仿宋_GB2312" w:hAnsi="宋体" w:eastAsia="仿宋_GB2312"/>
          <w:sz w:val="32"/>
          <w:szCs w:val="32"/>
          <w:lang w:val="en-US" w:eastAsia="zh-CN"/>
        </w:rPr>
        <w:t>100</w:t>
      </w:r>
      <w:r>
        <w:rPr>
          <w:rFonts w:hint="eastAsia" w:ascii="仿宋_GB2312" w:hAnsi="宋体" w:eastAsia="仿宋_GB2312"/>
          <w:sz w:val="32"/>
          <w:szCs w:val="32"/>
        </w:rPr>
        <w:t>%。用于召开</w:t>
      </w:r>
      <w:r>
        <w:rPr>
          <w:rFonts w:hint="eastAsia" w:ascii="仿宋_GB2312" w:hAnsi="宋体" w:eastAsia="仿宋_GB2312"/>
          <w:color w:val="000000"/>
          <w:sz w:val="32"/>
          <w:szCs w:val="32"/>
        </w:rPr>
        <w:t>年度国资监管工作会议</w:t>
      </w:r>
      <w:r>
        <w:rPr>
          <w:rFonts w:hint="eastAsia" w:ascii="仿宋_GB2312" w:hAnsi="宋体" w:eastAsia="仿宋_GB2312"/>
          <w:color w:val="000000"/>
          <w:sz w:val="32"/>
          <w:szCs w:val="32"/>
          <w:lang w:eastAsia="zh-CN"/>
        </w:rPr>
        <w:t>和党风廉政建设暨反腐败工作会议</w:t>
      </w:r>
      <w:r>
        <w:rPr>
          <w:rFonts w:hint="eastAsia" w:ascii="仿宋_GB2312" w:hAnsi="宋体" w:eastAsia="仿宋_GB2312"/>
          <w:sz w:val="32"/>
          <w:szCs w:val="32"/>
        </w:rPr>
        <w:t>，人数</w:t>
      </w:r>
      <w:r>
        <w:rPr>
          <w:rFonts w:hint="eastAsia" w:ascii="仿宋_GB2312" w:hAnsi="宋体" w:eastAsia="仿宋_GB2312"/>
          <w:sz w:val="32"/>
          <w:szCs w:val="32"/>
          <w:lang w:eastAsia="zh-CN"/>
        </w:rPr>
        <w:t>共</w:t>
      </w:r>
      <w:r>
        <w:rPr>
          <w:rFonts w:hint="eastAsia" w:ascii="仿宋_GB2312" w:hAnsi="宋体" w:eastAsia="仿宋_GB2312"/>
          <w:sz w:val="32"/>
          <w:szCs w:val="32"/>
          <w:lang w:val="en-US" w:eastAsia="zh-CN"/>
        </w:rPr>
        <w:t>200</w:t>
      </w:r>
      <w:r>
        <w:rPr>
          <w:rFonts w:hint="eastAsia" w:ascii="仿宋_GB2312" w:hAnsi="宋体" w:eastAsia="仿宋_GB2312"/>
          <w:sz w:val="32"/>
          <w:szCs w:val="32"/>
        </w:rPr>
        <w:t>人，内容为</w:t>
      </w:r>
      <w:r>
        <w:rPr>
          <w:rFonts w:hint="eastAsia" w:ascii="仿宋_GB2312" w:hAnsi="宋体" w:eastAsia="仿宋_GB2312"/>
          <w:sz w:val="32"/>
          <w:szCs w:val="32"/>
          <w:lang w:eastAsia="zh-CN"/>
        </w:rPr>
        <w:t>报告</w:t>
      </w:r>
      <w:r>
        <w:rPr>
          <w:rFonts w:hint="eastAsia" w:ascii="仿宋_GB2312" w:hAnsi="宋体" w:eastAsia="仿宋_GB2312"/>
          <w:sz w:val="32"/>
          <w:szCs w:val="32"/>
          <w:lang w:val="en-US" w:eastAsia="zh-CN"/>
        </w:rPr>
        <w:t>2023年国资监管工作及与各监管企业负责人签订2023年度企业负责人经营业绩考核责任书等</w:t>
      </w:r>
      <w:r>
        <w:rPr>
          <w:rFonts w:hint="eastAsia" w:ascii="仿宋_GB2312" w:hAnsi="宋体" w:eastAsia="仿宋_GB2312"/>
          <w:sz w:val="32"/>
          <w:szCs w:val="32"/>
        </w:rPr>
        <w:t>，经费支出为</w:t>
      </w:r>
      <w:bookmarkStart w:id="2" w:name="_Hlk144374870"/>
      <w:r>
        <w:rPr>
          <w:rFonts w:hint="eastAsia" w:ascii="仿宋_GB2312" w:hAnsi="宋体" w:eastAsia="仿宋_GB2312"/>
          <w:sz w:val="32"/>
          <w:szCs w:val="32"/>
        </w:rPr>
        <w:t>会议场租费、会务用餐费、其他费用</w:t>
      </w:r>
      <w:bookmarkEnd w:id="2"/>
      <w:r>
        <w:rPr>
          <w:rFonts w:hint="eastAsia" w:ascii="仿宋_GB2312" w:hAnsi="宋体" w:eastAsia="仿宋_GB2312"/>
          <w:sz w:val="32"/>
          <w:szCs w:val="32"/>
          <w:lang w:val="en-US" w:eastAsia="zh-CN"/>
        </w:rPr>
        <w:t>等等</w:t>
      </w:r>
      <w:r>
        <w:rPr>
          <w:rFonts w:hint="eastAsia" w:ascii="仿宋_GB2312" w:hAnsi="宋体" w:eastAsia="仿宋_GB2312"/>
          <w:sz w:val="32"/>
          <w:szCs w:val="32"/>
        </w:rPr>
        <w:t>。</w:t>
      </w:r>
    </w:p>
    <w:p w14:paraId="13F5BF66">
      <w:pPr>
        <w:pStyle w:val="16"/>
        <w:spacing w:line="560" w:lineRule="exact"/>
        <w:ind w:firstLine="640" w:firstLineChars="200"/>
        <w:rPr>
          <w:rFonts w:hint="eastAsia" w:ascii="仿宋_GB2312" w:hAnsi="宋体" w:eastAsia="仿宋_GB2312"/>
          <w:b/>
          <w:color w:val="FF0000"/>
          <w:sz w:val="32"/>
          <w:szCs w:val="32"/>
          <w:lang w:eastAsia="zh-CN"/>
        </w:rPr>
      </w:pPr>
      <w:r>
        <w:rPr>
          <w:rFonts w:hint="eastAsia" w:ascii="仿宋_GB2312" w:hAnsi="宋体" w:eastAsia="仿宋_GB2312"/>
          <w:sz w:val="32"/>
          <w:szCs w:val="32"/>
        </w:rPr>
        <w:t>培训</w:t>
      </w:r>
      <w:r>
        <w:rPr>
          <w:rFonts w:hint="eastAsia" w:ascii="仿宋_GB2312" w:hAnsi="宋体" w:eastAsia="仿宋_GB2312"/>
          <w:sz w:val="32"/>
          <w:szCs w:val="32"/>
          <w:lang w:val="en-US" w:eastAsia="zh-CN"/>
        </w:rPr>
        <w:t>费</w:t>
      </w:r>
      <w:r>
        <w:rPr>
          <w:rFonts w:hint="eastAsia" w:ascii="仿宋_GB2312" w:hAnsi="宋体" w:eastAsia="仿宋_GB2312"/>
          <w:sz w:val="32"/>
          <w:szCs w:val="32"/>
        </w:rPr>
        <w:t>年初预算</w:t>
      </w:r>
      <w:r>
        <w:rPr>
          <w:rFonts w:hint="eastAsia" w:ascii="仿宋_GB2312" w:hAnsi="宋体" w:eastAsia="仿宋_GB2312"/>
          <w:sz w:val="32"/>
          <w:szCs w:val="32"/>
          <w:lang w:val="en-US" w:eastAsia="zh-CN"/>
        </w:rPr>
        <w:t>1</w:t>
      </w:r>
      <w:r>
        <w:rPr>
          <w:rFonts w:hint="eastAsia" w:ascii="仿宋_GB2312" w:hAnsi="宋体" w:eastAsia="仿宋_GB2312"/>
          <w:sz w:val="32"/>
          <w:szCs w:val="32"/>
        </w:rPr>
        <w:t>万元，支出决算为</w:t>
      </w:r>
      <w:r>
        <w:rPr>
          <w:rFonts w:hint="eastAsia" w:ascii="仿宋_GB2312" w:hAnsi="宋体" w:eastAsia="仿宋_GB2312"/>
          <w:sz w:val="32"/>
          <w:szCs w:val="32"/>
          <w:lang w:val="en-US" w:eastAsia="zh-CN"/>
        </w:rPr>
        <w:t>1.53</w:t>
      </w:r>
      <w:r>
        <w:rPr>
          <w:rFonts w:hint="eastAsia" w:ascii="仿宋_GB2312" w:hAnsi="宋体" w:eastAsia="仿宋_GB2312"/>
          <w:sz w:val="32"/>
          <w:szCs w:val="32"/>
        </w:rPr>
        <w:t>万元，完成年初预算的</w:t>
      </w:r>
      <w:r>
        <w:rPr>
          <w:rFonts w:hint="eastAsia" w:ascii="仿宋_GB2312" w:hAnsi="宋体" w:eastAsia="仿宋_GB2312"/>
          <w:sz w:val="32"/>
          <w:szCs w:val="32"/>
          <w:lang w:val="en-US" w:eastAsia="zh-CN"/>
        </w:rPr>
        <w:t>153</w:t>
      </w:r>
      <w:r>
        <w:rPr>
          <w:rFonts w:hint="eastAsia" w:ascii="仿宋_GB2312" w:hAnsi="宋体" w:eastAsia="仿宋_GB2312"/>
          <w:sz w:val="32"/>
          <w:szCs w:val="32"/>
        </w:rPr>
        <w:t>%。用于开展培训，人数</w:t>
      </w:r>
      <w:r>
        <w:rPr>
          <w:rFonts w:hint="eastAsia" w:ascii="仿宋_GB2312" w:hAnsi="宋体" w:eastAsia="仿宋_GB2312"/>
          <w:sz w:val="32"/>
          <w:szCs w:val="32"/>
          <w:lang w:val="en-US" w:eastAsia="zh-CN"/>
        </w:rPr>
        <w:t>200</w:t>
      </w:r>
      <w:r>
        <w:rPr>
          <w:rFonts w:hint="eastAsia" w:ascii="仿宋_GB2312" w:hAnsi="宋体" w:eastAsia="仿宋_GB2312"/>
          <w:sz w:val="32"/>
          <w:szCs w:val="32"/>
        </w:rPr>
        <w:t>人,内容为</w:t>
      </w:r>
      <w:r>
        <w:rPr>
          <w:rFonts w:hint="eastAsia" w:ascii="仿宋_GB2312" w:hAnsi="宋体" w:eastAsia="仿宋_GB2312"/>
          <w:sz w:val="32"/>
          <w:szCs w:val="32"/>
          <w:lang w:eastAsia="zh-CN"/>
        </w:rPr>
        <w:t>开展国资监管培训</w:t>
      </w:r>
      <w:r>
        <w:rPr>
          <w:rFonts w:hint="eastAsia" w:ascii="仿宋_GB2312" w:hAnsi="宋体" w:eastAsia="仿宋_GB2312"/>
          <w:sz w:val="32"/>
          <w:szCs w:val="32"/>
        </w:rPr>
        <w:t>，</w:t>
      </w:r>
      <w:r>
        <w:rPr>
          <w:rFonts w:hint="eastAsia" w:ascii="仿宋_GB2312" w:hAnsi="宋体" w:eastAsia="仿宋_GB2312"/>
          <w:sz w:val="32"/>
          <w:szCs w:val="32"/>
          <w:lang w:eastAsia="zh-CN"/>
        </w:rPr>
        <w:t>本地培训</w:t>
      </w:r>
      <w:r>
        <w:rPr>
          <w:rFonts w:hint="eastAsia" w:ascii="仿宋_GB2312" w:hAnsi="宋体" w:eastAsia="仿宋_GB2312"/>
          <w:sz w:val="32"/>
          <w:szCs w:val="32"/>
        </w:rPr>
        <w:t>经费支出为</w:t>
      </w:r>
      <w:r>
        <w:rPr>
          <w:rFonts w:hint="eastAsia" w:ascii="仿宋_GB2312" w:hAnsi="宋体" w:eastAsia="仿宋_GB2312"/>
          <w:sz w:val="32"/>
          <w:szCs w:val="32"/>
          <w:lang w:val="en-US" w:eastAsia="zh-CN"/>
        </w:rPr>
        <w:t>1.53</w:t>
      </w:r>
      <w:r>
        <w:rPr>
          <w:rFonts w:hint="eastAsia" w:ascii="仿宋_GB2312" w:hAnsi="宋体" w:eastAsia="仿宋_GB2312"/>
          <w:sz w:val="32"/>
          <w:szCs w:val="32"/>
        </w:rPr>
        <w:t>万元</w:t>
      </w:r>
      <w:r>
        <w:rPr>
          <w:rFonts w:hint="eastAsia" w:ascii="仿宋_GB2312" w:hAnsi="宋体" w:eastAsia="仿宋_GB2312"/>
          <w:b/>
          <w:color w:val="auto"/>
          <w:sz w:val="32"/>
          <w:szCs w:val="32"/>
        </w:rPr>
        <w:t>（</w:t>
      </w:r>
      <w:r>
        <w:rPr>
          <w:rFonts w:hint="eastAsia" w:ascii="仿宋_GB2312" w:hAnsi="宋体" w:eastAsia="仿宋_GB2312"/>
          <w:color w:val="auto"/>
          <w:sz w:val="32"/>
          <w:szCs w:val="32"/>
        </w:rPr>
        <w:t>含租场费、住宿费、伙食费、授课费、其他）</w:t>
      </w:r>
      <w:r>
        <w:rPr>
          <w:rFonts w:hint="eastAsia" w:ascii="仿宋_GB2312" w:hAnsi="宋体" w:eastAsia="仿宋_GB2312"/>
          <w:color w:val="auto"/>
          <w:sz w:val="32"/>
          <w:szCs w:val="32"/>
          <w:lang w:eastAsia="zh-CN"/>
        </w:rPr>
        <w:t>。</w:t>
      </w:r>
    </w:p>
    <w:p w14:paraId="50B09420">
      <w:pPr>
        <w:pStyle w:val="16"/>
        <w:spacing w:line="560" w:lineRule="exact"/>
        <w:ind w:firstLine="640" w:firstLineChars="200"/>
        <w:rPr>
          <w:rFonts w:hAnsi="黑体"/>
          <w:sz w:val="32"/>
          <w:szCs w:val="32"/>
        </w:rPr>
      </w:pPr>
      <w:r>
        <w:rPr>
          <w:rFonts w:hint="eastAsia" w:hAnsi="黑体"/>
          <w:sz w:val="32"/>
          <w:szCs w:val="32"/>
        </w:rPr>
        <w:t>十二、政府采购支出说明</w:t>
      </w:r>
    </w:p>
    <w:p w14:paraId="510604CA">
      <w:pPr>
        <w:pStyle w:val="16"/>
        <w:spacing w:line="560" w:lineRule="exact"/>
        <w:ind w:firstLine="640" w:firstLineChars="200"/>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eastAsia="zh-CN"/>
        </w:rPr>
        <w:t>2023年度政府采购支出总额395.05万元，其中：政府采购货物支出84.5</w:t>
      </w:r>
      <w:r>
        <w:rPr>
          <w:rFonts w:hint="eastAsia" w:ascii="仿宋_GB2312" w:hAnsi="宋体" w:eastAsia="仿宋_GB2312"/>
          <w:sz w:val="32"/>
          <w:szCs w:val="32"/>
          <w:highlight w:val="none"/>
          <w:lang w:val="en-US" w:eastAsia="zh-CN"/>
        </w:rPr>
        <w:t>6</w:t>
      </w:r>
      <w:r>
        <w:rPr>
          <w:rFonts w:hint="eastAsia" w:ascii="仿宋_GB2312" w:hAnsi="宋体" w:eastAsia="仿宋_GB2312"/>
          <w:sz w:val="32"/>
          <w:szCs w:val="32"/>
          <w:highlight w:val="none"/>
          <w:lang w:eastAsia="zh-CN"/>
        </w:rPr>
        <w:t>万元、政府采购工程支出45.71万元、政府采购服务支出264.78万元。授予中小企业合同金额244.4</w:t>
      </w:r>
      <w:r>
        <w:rPr>
          <w:rFonts w:hint="eastAsia" w:ascii="仿宋_GB2312" w:hAnsi="宋体" w:eastAsia="仿宋_GB2312"/>
          <w:sz w:val="32"/>
          <w:szCs w:val="32"/>
          <w:highlight w:val="none"/>
          <w:lang w:val="en-US" w:eastAsia="zh-CN"/>
        </w:rPr>
        <w:t>6</w:t>
      </w:r>
      <w:r>
        <w:rPr>
          <w:rFonts w:hint="eastAsia" w:ascii="仿宋_GB2312" w:hAnsi="宋体" w:eastAsia="仿宋_GB2312"/>
          <w:sz w:val="32"/>
          <w:szCs w:val="32"/>
          <w:highlight w:val="none"/>
          <w:lang w:eastAsia="zh-CN"/>
        </w:rPr>
        <w:t>万元，占政府采购支出总额的61.88%，其中：授予小微企业合同金额120.8</w:t>
      </w:r>
      <w:r>
        <w:rPr>
          <w:rFonts w:hint="eastAsia" w:ascii="仿宋_GB2312" w:hAnsi="宋体" w:eastAsia="仿宋_GB2312"/>
          <w:sz w:val="32"/>
          <w:szCs w:val="32"/>
          <w:highlight w:val="none"/>
          <w:lang w:val="en-US" w:eastAsia="zh-CN"/>
        </w:rPr>
        <w:t>9</w:t>
      </w:r>
      <w:r>
        <w:rPr>
          <w:rFonts w:hint="eastAsia" w:ascii="仿宋_GB2312" w:hAnsi="宋体" w:eastAsia="仿宋_GB2312"/>
          <w:sz w:val="32"/>
          <w:szCs w:val="32"/>
          <w:highlight w:val="none"/>
          <w:lang w:eastAsia="zh-CN"/>
        </w:rPr>
        <w:t>万元，占政府采购支出总额的30.6%。</w:t>
      </w:r>
    </w:p>
    <w:p w14:paraId="4C859165">
      <w:pPr>
        <w:pStyle w:val="16"/>
        <w:spacing w:line="560" w:lineRule="exact"/>
        <w:ind w:firstLine="640" w:firstLineChars="200"/>
        <w:rPr>
          <w:rFonts w:hAnsi="黑体"/>
          <w:sz w:val="32"/>
          <w:szCs w:val="32"/>
        </w:rPr>
      </w:pPr>
      <w:r>
        <w:rPr>
          <w:rFonts w:hint="eastAsia" w:hAnsi="黑体"/>
          <w:sz w:val="32"/>
          <w:szCs w:val="32"/>
        </w:rPr>
        <w:t>十三、国有资产占用情况说明</w:t>
      </w:r>
    </w:p>
    <w:p w14:paraId="7643160E">
      <w:pPr>
        <w:pStyle w:val="16"/>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截至</w:t>
      </w:r>
      <w:r>
        <w:rPr>
          <w:rFonts w:hint="eastAsia" w:ascii="仿宋_GB2312" w:hAnsi="宋体" w:eastAsia="仿宋_GB2312"/>
          <w:sz w:val="32"/>
          <w:szCs w:val="32"/>
          <w:lang w:eastAsia="zh-CN"/>
        </w:rPr>
        <w:t>2023</w:t>
      </w:r>
      <w:r>
        <w:rPr>
          <w:rFonts w:hint="eastAsia" w:ascii="仿宋_GB2312" w:hAnsi="宋体" w:eastAsia="仿宋_GB2312"/>
          <w:sz w:val="32"/>
          <w:szCs w:val="32"/>
        </w:rPr>
        <w:t>年12月31日，共有车辆</w:t>
      </w:r>
      <w:r>
        <w:rPr>
          <w:rFonts w:hint="eastAsia" w:ascii="仿宋_GB2312" w:hAnsi="宋体" w:eastAsia="仿宋_GB2312"/>
          <w:sz w:val="32"/>
          <w:szCs w:val="32"/>
          <w:lang w:val="en-US" w:eastAsia="zh-CN"/>
        </w:rPr>
        <w:t>2</w:t>
      </w:r>
      <w:r>
        <w:rPr>
          <w:rFonts w:hint="eastAsia" w:ascii="仿宋_GB2312" w:hAnsi="宋体" w:eastAsia="仿宋_GB2312"/>
          <w:sz w:val="32"/>
          <w:szCs w:val="32"/>
        </w:rPr>
        <w:t>辆，其中，机要通信用车</w:t>
      </w:r>
      <w:r>
        <w:rPr>
          <w:rFonts w:hint="eastAsia" w:ascii="仿宋_GB2312" w:hAnsi="宋体" w:eastAsia="仿宋_GB2312"/>
          <w:sz w:val="32"/>
          <w:szCs w:val="32"/>
          <w:lang w:val="en-US" w:eastAsia="zh-CN"/>
        </w:rPr>
        <w:t>2</w:t>
      </w:r>
      <w:r>
        <w:rPr>
          <w:rFonts w:hint="eastAsia" w:ascii="仿宋_GB2312" w:hAnsi="宋体" w:eastAsia="仿宋_GB2312"/>
          <w:sz w:val="32"/>
          <w:szCs w:val="32"/>
        </w:rPr>
        <w:t>辆；单位价值50万元以上通用设备</w:t>
      </w:r>
      <w:r>
        <w:rPr>
          <w:rFonts w:hint="eastAsia" w:ascii="仿宋_GB2312" w:hAnsi="宋体" w:eastAsia="仿宋_GB2312"/>
          <w:sz w:val="32"/>
          <w:szCs w:val="32"/>
          <w:lang w:val="en-US" w:eastAsia="zh-CN"/>
        </w:rPr>
        <w:t>0</w:t>
      </w:r>
      <w:r>
        <w:rPr>
          <w:rFonts w:hint="eastAsia" w:ascii="仿宋_GB2312" w:hAnsi="宋体" w:eastAsia="仿宋_GB2312"/>
          <w:sz w:val="32"/>
          <w:szCs w:val="32"/>
        </w:rPr>
        <w:t>台（套）；单位价值100万元以上专用设备</w:t>
      </w:r>
      <w:r>
        <w:rPr>
          <w:rFonts w:hint="eastAsia" w:ascii="仿宋_GB2312" w:hAnsi="宋体" w:eastAsia="仿宋_GB2312"/>
          <w:sz w:val="32"/>
          <w:szCs w:val="32"/>
          <w:lang w:val="en-US" w:eastAsia="zh-CN"/>
        </w:rPr>
        <w:t>0</w:t>
      </w:r>
      <w:r>
        <w:rPr>
          <w:rFonts w:hint="eastAsia" w:ascii="仿宋_GB2312" w:hAnsi="宋体" w:eastAsia="仿宋_GB2312"/>
          <w:sz w:val="32"/>
          <w:szCs w:val="32"/>
        </w:rPr>
        <w:t>台（套）。</w:t>
      </w:r>
    </w:p>
    <w:p w14:paraId="23D49F56">
      <w:pPr>
        <w:pStyle w:val="16"/>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hAnsi="黑体"/>
          <w:sz w:val="32"/>
          <w:szCs w:val="32"/>
        </w:rPr>
      </w:pPr>
      <w:r>
        <w:rPr>
          <w:rFonts w:hint="eastAsia" w:hAnsi="黑体"/>
          <w:sz w:val="32"/>
          <w:szCs w:val="32"/>
        </w:rPr>
        <w:t>十四、</w:t>
      </w:r>
      <w:r>
        <w:rPr>
          <w:rFonts w:hint="eastAsia" w:hAnsi="黑体"/>
          <w:sz w:val="32"/>
          <w:szCs w:val="32"/>
          <w:lang w:eastAsia="zh-CN"/>
        </w:rPr>
        <w:t>2023</w:t>
      </w:r>
      <w:r>
        <w:rPr>
          <w:rFonts w:hint="eastAsia" w:hAnsi="黑体"/>
          <w:sz w:val="32"/>
          <w:szCs w:val="32"/>
        </w:rPr>
        <w:t>年度预算绩效情况说明</w:t>
      </w:r>
    </w:p>
    <w:p w14:paraId="1D2FD9A9">
      <w:pPr>
        <w:pStyle w:val="16"/>
        <w:spacing w:line="560" w:lineRule="exact"/>
        <w:ind w:firstLine="640" w:firstLineChars="200"/>
        <w:rPr>
          <w:rFonts w:hint="eastAsia" w:ascii="仿宋_GB2312" w:hAnsi="宋体" w:eastAsia="仿宋_GB2312"/>
          <w:sz w:val="32"/>
          <w:szCs w:val="32"/>
          <w:lang w:val="en-US" w:eastAsia="zh-CN"/>
        </w:rPr>
      </w:pPr>
      <w:r>
        <w:rPr>
          <w:rFonts w:hint="default" w:ascii="仿宋_GB2312" w:hAnsi="宋体" w:eastAsia="仿宋_GB2312"/>
          <w:sz w:val="32"/>
          <w:szCs w:val="32"/>
          <w:lang w:val="en-US" w:eastAsia="zh-CN"/>
        </w:rPr>
        <w:t>根据预算绩效管理要求，我部门组织对</w:t>
      </w:r>
      <w:r>
        <w:rPr>
          <w:rFonts w:hint="eastAsia" w:ascii="仿宋_GB2312" w:hAnsi="宋体" w:eastAsia="仿宋_GB2312"/>
          <w:sz w:val="32"/>
          <w:szCs w:val="32"/>
          <w:lang w:val="en-US" w:eastAsia="zh-CN"/>
        </w:rPr>
        <w:t>2023</w:t>
      </w:r>
      <w:r>
        <w:rPr>
          <w:rFonts w:hint="default" w:ascii="仿宋_GB2312" w:hAnsi="宋体" w:eastAsia="仿宋_GB2312"/>
          <w:sz w:val="32"/>
          <w:szCs w:val="32"/>
          <w:lang w:val="en-US" w:eastAsia="zh-CN"/>
        </w:rPr>
        <w:t>年度部门整体支出和专项资金实施了全覆盖性的绩效评价，撰写了</w:t>
      </w:r>
      <w:r>
        <w:rPr>
          <w:rFonts w:hint="eastAsia" w:ascii="仿宋_GB2312" w:hAnsi="宋体" w:eastAsia="仿宋_GB2312"/>
          <w:sz w:val="32"/>
          <w:szCs w:val="32"/>
          <w:lang w:val="en-US" w:eastAsia="zh-CN"/>
        </w:rPr>
        <w:t>绩效自评</w:t>
      </w:r>
      <w:r>
        <w:rPr>
          <w:rFonts w:hint="default" w:ascii="仿宋_GB2312" w:hAnsi="宋体" w:eastAsia="仿宋_GB2312"/>
          <w:sz w:val="32"/>
          <w:szCs w:val="32"/>
          <w:lang w:val="en-US" w:eastAsia="zh-CN"/>
        </w:rPr>
        <w:t>报告。</w:t>
      </w:r>
      <w:r>
        <w:rPr>
          <w:rFonts w:hint="eastAsia" w:ascii="仿宋_GB2312" w:hAnsi="宋体" w:eastAsia="仿宋_GB2312"/>
          <w:sz w:val="32"/>
          <w:szCs w:val="32"/>
          <w:lang w:val="en-US" w:eastAsia="zh-CN"/>
        </w:rPr>
        <w:t>2023</w:t>
      </w:r>
      <w:r>
        <w:rPr>
          <w:rFonts w:hint="default" w:ascii="仿宋_GB2312" w:hAnsi="宋体" w:eastAsia="仿宋_GB2312"/>
          <w:sz w:val="32"/>
          <w:szCs w:val="32"/>
          <w:lang w:val="en-US" w:eastAsia="zh-CN"/>
        </w:rPr>
        <w:t>年整体支出</w:t>
      </w:r>
      <w:r>
        <w:rPr>
          <w:rFonts w:hint="eastAsia" w:ascii="仿宋_GB2312" w:hAnsi="宋体" w:eastAsia="仿宋_GB2312"/>
          <w:sz w:val="32"/>
          <w:szCs w:val="32"/>
          <w:lang w:val="en-US" w:eastAsia="zh-CN"/>
        </w:rPr>
        <w:t>1417.94</w:t>
      </w:r>
      <w:r>
        <w:rPr>
          <w:rFonts w:hint="default" w:ascii="仿宋_GB2312" w:hAnsi="宋体" w:eastAsia="仿宋_GB2312"/>
          <w:sz w:val="32"/>
          <w:szCs w:val="32"/>
          <w:lang w:val="en-US" w:eastAsia="zh-CN"/>
        </w:rPr>
        <w:t>万元，其中：基本支出</w:t>
      </w:r>
      <w:r>
        <w:rPr>
          <w:rFonts w:hint="eastAsia" w:ascii="仿宋_GB2312" w:hAnsi="宋体" w:eastAsia="仿宋_GB2312"/>
          <w:sz w:val="32"/>
          <w:szCs w:val="32"/>
          <w:lang w:val="en-US" w:eastAsia="zh-CN"/>
        </w:rPr>
        <w:t>1262.05</w:t>
      </w:r>
      <w:r>
        <w:rPr>
          <w:rFonts w:hint="default" w:ascii="仿宋_GB2312" w:hAnsi="宋体" w:eastAsia="仿宋_GB2312"/>
          <w:sz w:val="32"/>
          <w:szCs w:val="32"/>
          <w:lang w:val="en-US" w:eastAsia="zh-CN"/>
        </w:rPr>
        <w:t>万元，项目支出</w:t>
      </w:r>
      <w:r>
        <w:rPr>
          <w:rFonts w:hint="eastAsia" w:ascii="仿宋_GB2312" w:hAnsi="宋体" w:eastAsia="仿宋_GB2312"/>
          <w:sz w:val="32"/>
          <w:szCs w:val="32"/>
          <w:lang w:val="en-US" w:eastAsia="zh-CN"/>
        </w:rPr>
        <w:t>155.89</w:t>
      </w:r>
      <w:r>
        <w:rPr>
          <w:rFonts w:hint="default" w:ascii="仿宋_GB2312" w:hAnsi="宋体" w:eastAsia="仿宋_GB2312"/>
          <w:sz w:val="32"/>
          <w:szCs w:val="32"/>
          <w:lang w:val="en-US" w:eastAsia="zh-CN"/>
        </w:rPr>
        <w:t>万元</w:t>
      </w:r>
      <w:r>
        <w:rPr>
          <w:rFonts w:hint="eastAsia" w:ascii="仿宋_GB2312" w:hAnsi="宋体" w:eastAsia="仿宋_GB2312"/>
          <w:sz w:val="32"/>
          <w:szCs w:val="32"/>
          <w:lang w:val="en-US" w:eastAsia="zh-CN"/>
        </w:rPr>
        <w:t>，2023</w:t>
      </w:r>
      <w:r>
        <w:rPr>
          <w:rFonts w:hint="default" w:ascii="仿宋_GB2312" w:hAnsi="宋体" w:eastAsia="仿宋_GB2312"/>
          <w:sz w:val="32"/>
          <w:szCs w:val="32"/>
          <w:lang w:val="en-US" w:eastAsia="zh-CN"/>
        </w:rPr>
        <w:t>年度一般公共预算项目支出</w:t>
      </w:r>
      <w:r>
        <w:rPr>
          <w:rFonts w:hint="eastAsia" w:ascii="仿宋_GB2312" w:hAnsi="宋体" w:eastAsia="仿宋_GB2312"/>
          <w:sz w:val="32"/>
          <w:szCs w:val="32"/>
          <w:lang w:val="en-US" w:eastAsia="zh-CN"/>
        </w:rPr>
        <w:t>涉及</w:t>
      </w:r>
      <w:r>
        <w:rPr>
          <w:rFonts w:hint="default" w:ascii="仿宋_GB2312" w:hAnsi="宋体" w:eastAsia="仿宋_GB2312"/>
          <w:sz w:val="32"/>
          <w:szCs w:val="32"/>
          <w:lang w:val="en-US" w:eastAsia="zh-CN"/>
        </w:rPr>
        <w:t>项目</w:t>
      </w:r>
      <w:r>
        <w:rPr>
          <w:rFonts w:hint="eastAsia" w:ascii="仿宋_GB2312" w:hAnsi="宋体" w:eastAsia="仿宋_GB2312"/>
          <w:sz w:val="32"/>
          <w:szCs w:val="32"/>
          <w:lang w:val="en-US" w:eastAsia="zh-CN"/>
        </w:rPr>
        <w:t>8</w:t>
      </w:r>
      <w:r>
        <w:rPr>
          <w:rFonts w:hint="default" w:ascii="仿宋_GB2312" w:hAnsi="宋体" w:eastAsia="仿宋_GB2312"/>
          <w:sz w:val="32"/>
          <w:szCs w:val="32"/>
          <w:lang w:val="en-US" w:eastAsia="zh-CN"/>
        </w:rPr>
        <w:t>个，涉及资金</w:t>
      </w:r>
      <w:r>
        <w:rPr>
          <w:rFonts w:hint="eastAsia" w:ascii="仿宋_GB2312" w:hAnsi="宋体" w:eastAsia="仿宋_GB2312"/>
          <w:sz w:val="32"/>
          <w:szCs w:val="32"/>
          <w:lang w:val="en-US" w:eastAsia="zh-CN"/>
        </w:rPr>
        <w:t>155.89</w:t>
      </w:r>
      <w:r>
        <w:rPr>
          <w:rFonts w:hint="default" w:ascii="仿宋_GB2312" w:hAnsi="宋体" w:eastAsia="仿宋_GB2312"/>
          <w:sz w:val="32"/>
          <w:szCs w:val="32"/>
          <w:lang w:val="en-US" w:eastAsia="zh-CN"/>
        </w:rPr>
        <w:t>万元，占一般公共预算</w:t>
      </w:r>
      <w:r>
        <w:rPr>
          <w:rFonts w:hint="eastAsia" w:ascii="仿宋_GB2312" w:hAnsi="宋体" w:eastAsia="仿宋_GB2312"/>
          <w:sz w:val="32"/>
          <w:szCs w:val="32"/>
          <w:lang w:val="en-US" w:eastAsia="zh-CN"/>
        </w:rPr>
        <w:t>整体</w:t>
      </w:r>
      <w:r>
        <w:rPr>
          <w:rFonts w:hint="default" w:ascii="仿宋_GB2312" w:hAnsi="宋体" w:eastAsia="仿宋_GB2312"/>
          <w:sz w:val="32"/>
          <w:szCs w:val="32"/>
          <w:lang w:val="en-US" w:eastAsia="zh-CN"/>
        </w:rPr>
        <w:t>支出总额的</w:t>
      </w:r>
      <w:r>
        <w:rPr>
          <w:rFonts w:hint="eastAsia" w:ascii="仿宋_GB2312" w:hAnsi="宋体" w:eastAsia="仿宋_GB2312"/>
          <w:sz w:val="32"/>
          <w:szCs w:val="32"/>
          <w:lang w:val="en-US" w:eastAsia="zh-CN"/>
        </w:rPr>
        <w:t>10.99</w:t>
      </w:r>
      <w:r>
        <w:rPr>
          <w:rFonts w:hint="default" w:ascii="仿宋_GB2312" w:hAnsi="宋体" w:eastAsia="仿宋_GB2312"/>
          <w:sz w:val="32"/>
          <w:szCs w:val="32"/>
          <w:lang w:val="en-US" w:eastAsia="zh-CN"/>
        </w:rPr>
        <w:t>%</w:t>
      </w:r>
      <w:r>
        <w:rPr>
          <w:rFonts w:hint="eastAsia" w:ascii="仿宋_GB2312" w:hAnsi="宋体" w:eastAsia="仿宋_GB2312"/>
          <w:sz w:val="32"/>
          <w:szCs w:val="32"/>
          <w:lang w:val="en-US" w:eastAsia="zh-CN"/>
        </w:rPr>
        <w:t>。</w:t>
      </w:r>
    </w:p>
    <w:p w14:paraId="6B181994">
      <w:pPr>
        <w:pStyle w:val="16"/>
        <w:spacing w:line="560" w:lineRule="exact"/>
        <w:ind w:firstLine="640" w:firstLineChars="200"/>
        <w:rPr>
          <w:rFonts w:hint="default" w:ascii="仿宋_GB2312" w:hAnsi="宋体" w:eastAsia="仿宋_GB2312"/>
          <w:sz w:val="32"/>
          <w:szCs w:val="32"/>
          <w:lang w:val="en-US" w:eastAsia="zh-CN"/>
        </w:rPr>
      </w:pPr>
      <w:r>
        <w:rPr>
          <w:rFonts w:hint="default" w:ascii="仿宋_GB2312" w:hAnsi="宋体" w:eastAsia="仿宋_GB2312"/>
          <w:sz w:val="32"/>
          <w:szCs w:val="32"/>
          <w:lang w:val="en-US" w:eastAsia="zh-CN"/>
        </w:rPr>
        <w:t>从评价情况来看，全部完成绩效目标，绩效评价结果</w:t>
      </w:r>
      <w:r>
        <w:rPr>
          <w:rFonts w:hint="eastAsia" w:ascii="仿宋_GB2312" w:hAnsi="宋体" w:eastAsia="仿宋_GB2312"/>
          <w:sz w:val="32"/>
          <w:szCs w:val="32"/>
          <w:lang w:val="en-US" w:eastAsia="zh-CN"/>
        </w:rPr>
        <w:t>为优秀</w:t>
      </w:r>
      <w:r>
        <w:rPr>
          <w:rFonts w:hint="default" w:ascii="仿宋_GB2312" w:hAnsi="宋体" w:eastAsia="仿宋_GB2312"/>
          <w:sz w:val="32"/>
          <w:szCs w:val="32"/>
          <w:lang w:val="en-US" w:eastAsia="zh-CN"/>
        </w:rPr>
        <w:t>。</w:t>
      </w:r>
    </w:p>
    <w:p w14:paraId="4FCCC06C">
      <w:pPr>
        <w:pStyle w:val="16"/>
        <w:spacing w:line="560" w:lineRule="exact"/>
        <w:ind w:firstLine="640" w:firstLineChars="20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详见附表。</w:t>
      </w:r>
    </w:p>
    <w:p w14:paraId="0702FA43">
      <w:pPr>
        <w:pStyle w:val="16"/>
        <w:spacing w:line="560" w:lineRule="exact"/>
        <w:ind w:firstLine="640" w:firstLineChars="200"/>
        <w:rPr>
          <w:rFonts w:hint="eastAsia" w:ascii="仿宋_GB2312" w:hAnsi="宋体" w:eastAsia="仿宋_GB2312"/>
          <w:sz w:val="32"/>
          <w:szCs w:val="32"/>
          <w:lang w:val="en-US" w:eastAsia="zh-CN"/>
        </w:rPr>
      </w:pPr>
    </w:p>
    <w:p w14:paraId="5610FD94">
      <w:pPr>
        <w:pStyle w:val="16"/>
        <w:spacing w:line="560" w:lineRule="exact"/>
        <w:ind w:firstLine="480" w:firstLineChars="150"/>
        <w:rPr>
          <w:rFonts w:hint="eastAsia" w:ascii="方正小标宋简体" w:eastAsia="方正小标宋简体"/>
          <w:sz w:val="32"/>
          <w:szCs w:val="32"/>
        </w:rPr>
      </w:pPr>
      <w:r>
        <w:rPr>
          <w:rFonts w:hint="eastAsia" w:ascii="仿宋_GB2312" w:hAnsi="宋体" w:eastAsia="仿宋_GB2312"/>
          <w:color w:val="FF0000"/>
          <w:sz w:val="32"/>
          <w:szCs w:val="32"/>
        </w:rPr>
        <w:br w:type="page"/>
      </w:r>
    </w:p>
    <w:p w14:paraId="3C846F46">
      <w:pPr>
        <w:pStyle w:val="16"/>
        <w:jc w:val="both"/>
        <w:rPr>
          <w:sz w:val="72"/>
          <w:szCs w:val="72"/>
        </w:rPr>
      </w:pPr>
    </w:p>
    <w:p w14:paraId="44667D71">
      <w:pPr>
        <w:pStyle w:val="16"/>
        <w:jc w:val="center"/>
        <w:rPr>
          <w:sz w:val="72"/>
          <w:szCs w:val="72"/>
        </w:rPr>
      </w:pPr>
    </w:p>
    <w:p w14:paraId="556AF62B">
      <w:pPr>
        <w:pStyle w:val="16"/>
        <w:jc w:val="center"/>
        <w:rPr>
          <w:rFonts w:hint="eastAsia"/>
          <w:sz w:val="72"/>
          <w:szCs w:val="72"/>
        </w:rPr>
      </w:pPr>
    </w:p>
    <w:p w14:paraId="5E361E57">
      <w:pPr>
        <w:pStyle w:val="16"/>
        <w:jc w:val="center"/>
        <w:rPr>
          <w:sz w:val="72"/>
          <w:szCs w:val="72"/>
        </w:rPr>
      </w:pPr>
    </w:p>
    <w:p w14:paraId="4154F787">
      <w:pPr>
        <w:pStyle w:val="16"/>
        <w:jc w:val="center"/>
        <w:rPr>
          <w:rFonts w:hint="eastAsia" w:ascii="方正小标宋简体" w:eastAsia="方正小标宋简体"/>
          <w:sz w:val="72"/>
          <w:szCs w:val="72"/>
        </w:rPr>
      </w:pPr>
      <w:r>
        <w:rPr>
          <w:rFonts w:hint="eastAsia" w:ascii="方正小标宋简体" w:eastAsia="方正小标宋简体"/>
          <w:sz w:val="72"/>
          <w:szCs w:val="72"/>
        </w:rPr>
        <w:t>第四部分</w:t>
      </w:r>
    </w:p>
    <w:p w14:paraId="70CFFEAE">
      <w:pPr>
        <w:jc w:val="center"/>
        <w:rPr>
          <w:rFonts w:hint="eastAsia" w:ascii="方正小标宋简体" w:eastAsia="方正小标宋简体" w:cs="黑体"/>
          <w:color w:val="000000"/>
          <w:kern w:val="0"/>
          <w:sz w:val="72"/>
          <w:szCs w:val="72"/>
        </w:rPr>
      </w:pPr>
    </w:p>
    <w:p w14:paraId="4D6CE397">
      <w:pPr>
        <w:jc w:val="center"/>
        <w:rPr>
          <w:rFonts w:hint="eastAsia" w:ascii="方正小标宋简体" w:eastAsia="方正小标宋简体" w:cs="黑体"/>
          <w:color w:val="000000"/>
          <w:kern w:val="0"/>
          <w:sz w:val="72"/>
          <w:szCs w:val="72"/>
        </w:rPr>
      </w:pPr>
      <w:r>
        <w:rPr>
          <w:rFonts w:hint="eastAsia" w:ascii="方正小标宋简体" w:eastAsia="方正小标宋简体" w:cs="黑体"/>
          <w:color w:val="000000"/>
          <w:kern w:val="0"/>
          <w:sz w:val="72"/>
          <w:szCs w:val="72"/>
        </w:rPr>
        <w:t>名词解释</w:t>
      </w:r>
    </w:p>
    <w:p w14:paraId="2D6E6214">
      <w:pPr>
        <w:spacing w:line="560" w:lineRule="exact"/>
        <w:jc w:val="left"/>
        <w:rPr>
          <w:rFonts w:ascii="仿宋_GB2312" w:hAnsi="宋体" w:eastAsia="仿宋_GB2312" w:cs="黑体"/>
          <w:color w:val="000000"/>
          <w:kern w:val="0"/>
          <w:sz w:val="32"/>
          <w:szCs w:val="32"/>
        </w:rPr>
      </w:pPr>
      <w:r>
        <w:rPr>
          <w:rFonts w:hint="eastAsia" w:ascii="方正小标宋简体" w:eastAsia="方正小标宋简体" w:cs="黑体"/>
          <w:color w:val="000000"/>
          <w:kern w:val="0"/>
          <w:sz w:val="72"/>
          <w:szCs w:val="72"/>
        </w:rPr>
        <w:br w:type="page"/>
      </w:r>
      <w:r>
        <w:rPr>
          <w:rFonts w:hint="eastAsia" w:ascii="方正小标宋简体" w:eastAsia="方正小标宋简体" w:cs="黑体"/>
          <w:color w:val="000000"/>
          <w:kern w:val="0"/>
          <w:sz w:val="72"/>
          <w:szCs w:val="72"/>
        </w:rPr>
        <w:t xml:space="preserve">  </w:t>
      </w:r>
      <w:r>
        <w:rPr>
          <w:rFonts w:hint="eastAsia" w:ascii="仿宋_GB2312" w:hAnsi="宋体" w:eastAsia="仿宋_GB2312" w:cs="黑体"/>
          <w:color w:val="000000"/>
          <w:kern w:val="0"/>
          <w:sz w:val="32"/>
          <w:szCs w:val="32"/>
        </w:rPr>
        <w:t>一、财政拨款收入：指单位从同级财政部门取得的财政预算资金。</w:t>
      </w:r>
    </w:p>
    <w:p w14:paraId="501EB3F5">
      <w:pPr>
        <w:spacing w:line="560" w:lineRule="exact"/>
        <w:ind w:firstLine="640" w:firstLineChars="200"/>
        <w:jc w:val="left"/>
        <w:rPr>
          <w:rFonts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t>二、事业收入：指事业单位开展专业业务活动及辅助活动取得的收入。</w:t>
      </w:r>
    </w:p>
    <w:p w14:paraId="2C0038DB">
      <w:pPr>
        <w:spacing w:line="560" w:lineRule="exact"/>
        <w:ind w:firstLine="640" w:firstLineChars="200"/>
        <w:jc w:val="left"/>
        <w:rPr>
          <w:rFonts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t>三、经营收入：指事业单位在专业业务活动及其辅助活动之外开展非独立核算经营活动取得的收入。</w:t>
      </w:r>
    </w:p>
    <w:p w14:paraId="6C1D650A">
      <w:pPr>
        <w:spacing w:line="560" w:lineRule="exact"/>
        <w:ind w:firstLine="640" w:firstLineChars="200"/>
        <w:jc w:val="left"/>
        <w:rPr>
          <w:rFonts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t>四、其他收入：指单位取得的除上述收入以外的各项收入。</w:t>
      </w:r>
    </w:p>
    <w:p w14:paraId="570DD70C">
      <w:pPr>
        <w:spacing w:line="560" w:lineRule="exact"/>
        <w:ind w:firstLine="640" w:firstLineChars="200"/>
        <w:jc w:val="left"/>
        <w:rPr>
          <w:rFonts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t>五、使用非财政拨款结余：指事业单位使用以前年度积累的非财政拨款结余弥补当年收支差额的金额。</w:t>
      </w:r>
    </w:p>
    <w:p w14:paraId="1CF25E56">
      <w:pPr>
        <w:spacing w:line="560" w:lineRule="exact"/>
        <w:ind w:firstLine="640" w:firstLineChars="200"/>
        <w:jc w:val="left"/>
        <w:rPr>
          <w:rFonts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t>六、年初结转和结余：指单位以前年度尚未完成、结转到本年仍按原规定用途继续使用的资金，或项目已完成等产生的结余资金。</w:t>
      </w:r>
    </w:p>
    <w:p w14:paraId="5ED3C403">
      <w:pPr>
        <w:spacing w:line="560" w:lineRule="exact"/>
        <w:ind w:firstLine="640" w:firstLineChars="200"/>
        <w:jc w:val="left"/>
        <w:rPr>
          <w:rFonts w:hint="eastAsia"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t>七、“三公经费”支出：纳入市财政预算管理的“三公经费”，是指用财政拨款安排的因公出国（境）、公务用车购置及运行和公务接待费。其中， 因公出国（境）反映单位公务出国（境）的国际旅费、国外城市间交通费、住宿费、伙食费、培训费、公杂费等支出；公务用车购置及运行费反映单位公务用车车辆购置支出（含车辆购置税）、燃料费、维修费、过路过桥费、保险费等支出；公务接待费反映单位按规定开支的各项公务接待（含外宾接待）支出。</w:t>
      </w:r>
    </w:p>
    <w:p w14:paraId="10C45000">
      <w:pPr>
        <w:spacing w:line="560" w:lineRule="exact"/>
        <w:ind w:firstLine="640" w:firstLineChars="200"/>
        <w:jc w:val="left"/>
        <w:rPr>
          <w:rFonts w:hint="eastAsia"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t>八、机关运行经费：指为保障行政单位（包括参照公务员法管理的事业单位）运行用于购买货物和服务的各项资金，包括办公费、印刷费、邮电费、差旅费、会议费、日常维修费、专用材料及一般设备购置费、办公用房水电费、取暖费、物业管理费、公务用车运行维护费以及其他费用。</w:t>
      </w:r>
    </w:p>
    <w:p w14:paraId="02FA4001">
      <w:pPr>
        <w:spacing w:line="560" w:lineRule="exact"/>
        <w:ind w:firstLine="640" w:firstLineChars="200"/>
        <w:jc w:val="left"/>
        <w:rPr>
          <w:rFonts w:hint="eastAsia" w:ascii="仿宋_GB2312" w:hAnsi="宋体" w:eastAsia="仿宋_GB2312" w:cs="黑体"/>
          <w:color w:val="000000"/>
          <w:kern w:val="0"/>
          <w:sz w:val="32"/>
          <w:szCs w:val="32"/>
        </w:rPr>
      </w:pPr>
      <w:r>
        <w:rPr>
          <w:rFonts w:hint="eastAsia" w:ascii="仿宋_GB2312" w:hAnsi="宋体" w:eastAsia="仿宋_GB2312" w:cs="黑体"/>
          <w:color w:val="000000"/>
          <w:kern w:val="0"/>
          <w:sz w:val="32"/>
          <w:szCs w:val="32"/>
        </w:rPr>
        <w:br w:type="page"/>
      </w:r>
    </w:p>
    <w:p w14:paraId="072184A5">
      <w:pPr>
        <w:tabs>
          <w:tab w:val="left" w:pos="7560"/>
        </w:tabs>
        <w:adjustRightInd w:val="0"/>
        <w:snapToGrid w:val="0"/>
        <w:spacing w:line="560" w:lineRule="exact"/>
        <w:jc w:val="left"/>
        <w:rPr>
          <w:rFonts w:hint="eastAsia" w:ascii="仿宋_GB2312" w:hAnsi="宋体" w:eastAsia="仿宋_GB2312" w:cs="黑体"/>
          <w:color w:val="000000"/>
          <w:kern w:val="0"/>
          <w:sz w:val="32"/>
          <w:szCs w:val="32"/>
        </w:rPr>
      </w:pPr>
    </w:p>
    <w:p w14:paraId="39314F22">
      <w:pPr>
        <w:tabs>
          <w:tab w:val="left" w:pos="7560"/>
        </w:tabs>
        <w:adjustRightInd w:val="0"/>
        <w:snapToGrid w:val="0"/>
        <w:spacing w:line="560" w:lineRule="exact"/>
        <w:jc w:val="left"/>
        <w:rPr>
          <w:rFonts w:hint="eastAsia" w:ascii="仿宋_GB2312" w:hAnsi="宋体" w:eastAsia="仿宋_GB2312" w:cs="黑体"/>
          <w:color w:val="000000"/>
          <w:kern w:val="0"/>
          <w:sz w:val="32"/>
          <w:szCs w:val="32"/>
        </w:rPr>
      </w:pPr>
    </w:p>
    <w:p w14:paraId="3EB5EF05">
      <w:pPr>
        <w:pStyle w:val="16"/>
        <w:jc w:val="center"/>
        <w:rPr>
          <w:sz w:val="72"/>
          <w:szCs w:val="72"/>
        </w:rPr>
      </w:pPr>
    </w:p>
    <w:p w14:paraId="36455DA6">
      <w:pPr>
        <w:pStyle w:val="16"/>
        <w:jc w:val="center"/>
        <w:rPr>
          <w:sz w:val="72"/>
          <w:szCs w:val="72"/>
        </w:rPr>
      </w:pPr>
    </w:p>
    <w:p w14:paraId="50C8DBCD">
      <w:pPr>
        <w:pStyle w:val="16"/>
        <w:jc w:val="center"/>
        <w:rPr>
          <w:sz w:val="72"/>
          <w:szCs w:val="72"/>
        </w:rPr>
      </w:pPr>
    </w:p>
    <w:p w14:paraId="4FA5AF32">
      <w:pPr>
        <w:pStyle w:val="16"/>
        <w:jc w:val="center"/>
        <w:rPr>
          <w:rFonts w:hint="eastAsia" w:ascii="方正小标宋简体" w:eastAsia="方正小标宋简体"/>
          <w:sz w:val="72"/>
          <w:szCs w:val="72"/>
        </w:rPr>
      </w:pPr>
      <w:r>
        <w:rPr>
          <w:rFonts w:hint="eastAsia" w:ascii="方正小标宋简体" w:eastAsia="方正小标宋简体"/>
          <w:sz w:val="72"/>
          <w:szCs w:val="72"/>
        </w:rPr>
        <w:t>第五部分</w:t>
      </w:r>
    </w:p>
    <w:p w14:paraId="72799774">
      <w:pPr>
        <w:jc w:val="center"/>
        <w:rPr>
          <w:rFonts w:hint="eastAsia" w:ascii="方正小标宋简体" w:eastAsia="方正小标宋简体" w:cs="黑体"/>
          <w:color w:val="000000"/>
          <w:kern w:val="0"/>
          <w:sz w:val="72"/>
          <w:szCs w:val="72"/>
        </w:rPr>
      </w:pPr>
    </w:p>
    <w:p w14:paraId="79DA0887">
      <w:pPr>
        <w:jc w:val="center"/>
        <w:rPr>
          <w:rFonts w:hint="eastAsia" w:ascii="方正小标宋简体" w:eastAsia="方正小标宋简体" w:cs="黑体"/>
          <w:color w:val="000000"/>
          <w:kern w:val="0"/>
          <w:sz w:val="72"/>
          <w:szCs w:val="72"/>
        </w:rPr>
      </w:pPr>
      <w:r>
        <w:rPr>
          <w:rFonts w:hint="eastAsia" w:ascii="方正小标宋简体" w:eastAsia="方正小标宋简体" w:cs="黑体"/>
          <w:color w:val="000000"/>
          <w:kern w:val="0"/>
          <w:sz w:val="72"/>
          <w:szCs w:val="72"/>
        </w:rPr>
        <w:t>附件</w:t>
      </w:r>
    </w:p>
    <w:p w14:paraId="3251ACEB">
      <w:pPr>
        <w:jc w:val="center"/>
        <w:rPr>
          <w:rFonts w:hint="eastAsia" w:ascii="方正小标宋简体" w:eastAsia="方正小标宋简体"/>
          <w:sz w:val="40"/>
          <w:szCs w:val="32"/>
        </w:rPr>
      </w:pPr>
      <w:r>
        <w:rPr>
          <w:rFonts w:hint="eastAsia" w:ascii="方正小标宋简体" w:eastAsia="方正小标宋简体" w:cs="黑体"/>
          <w:color w:val="000000"/>
          <w:kern w:val="0"/>
          <w:sz w:val="72"/>
          <w:szCs w:val="72"/>
        </w:rPr>
        <w:br w:type="page"/>
      </w:r>
      <w:r>
        <w:rPr>
          <w:rFonts w:hint="eastAsia" w:ascii="方正小标宋简体" w:eastAsia="方正小标宋简体"/>
          <w:sz w:val="40"/>
          <w:szCs w:val="32"/>
        </w:rPr>
        <w:t>2023年度</w:t>
      </w:r>
      <w:r>
        <w:rPr>
          <w:rFonts w:hint="eastAsia" w:ascii="方正小标宋简体" w:eastAsia="方正小标宋简体"/>
          <w:sz w:val="40"/>
          <w:szCs w:val="32"/>
          <w:lang w:val="en-US" w:eastAsia="zh-CN"/>
        </w:rPr>
        <w:t>株洲市国资委</w:t>
      </w:r>
      <w:r>
        <w:rPr>
          <w:rFonts w:hint="eastAsia" w:ascii="方正小标宋简体" w:eastAsia="方正小标宋简体"/>
          <w:sz w:val="40"/>
          <w:szCs w:val="32"/>
        </w:rPr>
        <w:t>部门（单位）整体支出</w:t>
      </w:r>
    </w:p>
    <w:p w14:paraId="388A8C79">
      <w:pPr>
        <w:jc w:val="center"/>
        <w:rPr>
          <w:rFonts w:hint="eastAsia" w:ascii="方正小标宋简体" w:eastAsia="方正小标宋简体"/>
          <w:sz w:val="40"/>
          <w:szCs w:val="32"/>
        </w:rPr>
      </w:pPr>
      <w:r>
        <w:rPr>
          <w:rFonts w:hint="eastAsia" w:ascii="方正小标宋简体" w:eastAsia="方正小标宋简体"/>
          <w:sz w:val="40"/>
          <w:szCs w:val="32"/>
        </w:rPr>
        <w:t>绩效自评报告</w:t>
      </w:r>
    </w:p>
    <w:p w14:paraId="08B3ACE3">
      <w:pPr>
        <w:jc w:val="left"/>
        <w:rPr>
          <w:rFonts w:ascii="仿宋_GB2312" w:eastAsia="仿宋_GB2312"/>
          <w:sz w:val="32"/>
          <w:szCs w:val="32"/>
        </w:rPr>
      </w:pPr>
    </w:p>
    <w:p w14:paraId="13B58D16">
      <w:pPr>
        <w:tabs>
          <w:tab w:val="left" w:pos="7560"/>
        </w:tabs>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一、部门（单位）基本情况</w:t>
      </w:r>
    </w:p>
    <w:p w14:paraId="3B35F631">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ascii="仿宋_GB2312" w:hAnsi="宋体" w:eastAsia="仿宋_GB2312" w:cs="仿宋_GB2312"/>
          <w:color w:val="000000"/>
          <w:kern w:val="0"/>
          <w:sz w:val="31"/>
          <w:szCs w:val="31"/>
          <w:lang w:val="en-US" w:eastAsia="zh-CN" w:bidi="ar"/>
        </w:rPr>
        <w:t xml:space="preserve">（一）主要职责 </w:t>
      </w:r>
    </w:p>
    <w:p w14:paraId="493A7B5C">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1、贯彻执行国家、省有关国有资产监督管理的法律、 法规和方针、政策；制定本市国有资产监督管理的有关制度及具体办法并组织实施。 </w:t>
      </w:r>
    </w:p>
    <w:p w14:paraId="4BFA7F19">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2、根据市人民政府授权，负责履行出资人职责，保障出资人权益，加强所监管企业的国有资产管理工作。 </w:t>
      </w:r>
    </w:p>
    <w:p w14:paraId="31E71A1F">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3、建立和完善国有资产保值增值考核和责任追究制度， 拟订考核标准，对重大财务事项实施监督，通过预决算、审计、统计、稽核等方法对所监管企业国有资产的保值增值情况进行监管；落实国有资产保值增值责任；会同有关部门做好所监管企业工资分配管理工作，拟订所监管企业负责人收入分配政策并组织实施。 </w:t>
      </w:r>
    </w:p>
    <w:p w14:paraId="47EECD76">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t>4、指导推进国有企业改革和重组，推进国有企业现代企业制度建设，完善公司治理结构；推动国有经济布局和结构战略性调整；指导所监管企业引进战略投资者与产权（股权）招</w:t>
      </w:r>
    </w:p>
    <w:p w14:paraId="137F84F3">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rPr>
          <w:rFonts w:hint="eastAsia" w:ascii="仿宋_GB2312" w:hAnsi="宋体" w:eastAsia="仿宋_GB2312" w:cs="仿宋_GB2312"/>
          <w:color w:val="000000"/>
          <w:kern w:val="0"/>
          <w:sz w:val="31"/>
          <w:szCs w:val="31"/>
          <w:lang w:val="en-US" w:eastAsia="zh-CN" w:bidi="ar"/>
        </w:rPr>
      </w:pPr>
    </w:p>
    <w:p w14:paraId="099FD44A">
      <w:pPr>
        <w:keepNext w:val="0"/>
        <w:keepLines w:val="0"/>
        <w:pageBreakBefore w:val="0"/>
        <w:widowControl/>
        <w:suppressLineNumbers w:val="0"/>
        <w:kinsoku/>
        <w:wordWrap/>
        <w:overflowPunct/>
        <w:topLinePunct w:val="0"/>
        <w:autoSpaceDE/>
        <w:autoSpaceDN/>
        <w:bidi w:val="0"/>
        <w:spacing w:line="560" w:lineRule="exact"/>
        <w:jc w:val="left"/>
        <w:textAlignment w:val="auto"/>
      </w:pPr>
      <w:r>
        <w:rPr>
          <w:rFonts w:hint="eastAsia" w:ascii="仿宋_GB2312" w:hAnsi="宋体" w:eastAsia="仿宋_GB2312" w:cs="仿宋_GB2312"/>
          <w:color w:val="000000"/>
          <w:kern w:val="0"/>
          <w:sz w:val="31"/>
          <w:szCs w:val="31"/>
          <w:lang w:val="en-US" w:eastAsia="zh-CN" w:bidi="ar"/>
        </w:rPr>
        <w:t xml:space="preserve">商引资和资本合作；加强与中央、省属企业对接合作；负责归口组织协调与中央、省属企业对接合作。 </w:t>
      </w:r>
    </w:p>
    <w:p w14:paraId="7FFE9D1D">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5、负责市属国有企业党组织建设、党员管理和领导班子、 </w:t>
      </w:r>
    </w:p>
    <w:p w14:paraId="4B70F537">
      <w:pPr>
        <w:keepNext w:val="0"/>
        <w:keepLines w:val="0"/>
        <w:pageBreakBefore w:val="0"/>
        <w:widowControl/>
        <w:suppressLineNumbers w:val="0"/>
        <w:kinsoku/>
        <w:wordWrap/>
        <w:overflowPunct/>
        <w:topLinePunct w:val="0"/>
        <w:autoSpaceDE/>
        <w:autoSpaceDN/>
        <w:bidi w:val="0"/>
        <w:spacing w:line="560" w:lineRule="exact"/>
        <w:jc w:val="left"/>
        <w:textAlignment w:val="auto"/>
      </w:pPr>
      <w:r>
        <w:rPr>
          <w:rFonts w:hint="eastAsia" w:ascii="仿宋_GB2312" w:hAnsi="宋体" w:eastAsia="仿宋_GB2312" w:cs="仿宋_GB2312"/>
          <w:color w:val="000000"/>
          <w:kern w:val="0"/>
          <w:sz w:val="31"/>
          <w:szCs w:val="31"/>
          <w:lang w:val="en-US" w:eastAsia="zh-CN" w:bidi="ar"/>
        </w:rPr>
        <w:t xml:space="preserve">企业经营管理者队伍建设；负责所监管企业的企业负责人进行任免、考核、奖惩工作。 </w:t>
      </w:r>
    </w:p>
    <w:p w14:paraId="452A3AC1">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6、负责组织所监管企业上交国有资本收益；参与制定国有资本经营预算有关管理制度，提出并编制年度国有资本经营预、决算建议草案和预算调整方案建议草案，组织和监督国有资本经营预算的执行。 </w:t>
      </w:r>
    </w:p>
    <w:p w14:paraId="2FEB4852">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7、负责指导全市国有企业法律工作制度建设和企业法律顾问管理工作。 </w:t>
      </w:r>
    </w:p>
    <w:p w14:paraId="1E3DEE72">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8、负责指导监督县市区国有资产管理工作。 </w:t>
      </w:r>
    </w:p>
    <w:p w14:paraId="668BC212">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9、承办市人民政府交办的其他事项。 </w:t>
      </w:r>
    </w:p>
    <w:p w14:paraId="1716B77F">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pPr>
      <w:r>
        <w:rPr>
          <w:rFonts w:hint="eastAsia" w:ascii="仿宋_GB2312" w:hAnsi="宋体" w:eastAsia="仿宋_GB2312" w:cs="仿宋_GB2312"/>
          <w:color w:val="000000"/>
          <w:kern w:val="0"/>
          <w:sz w:val="31"/>
          <w:szCs w:val="31"/>
          <w:lang w:val="en-US" w:eastAsia="zh-CN" w:bidi="ar"/>
        </w:rPr>
        <w:t xml:space="preserve">（二）机构设置 </w:t>
      </w:r>
    </w:p>
    <w:p w14:paraId="02341D7E">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本部门共有编制人数 35 人，实有人数 33 人。依据《中 </w:t>
      </w:r>
    </w:p>
    <w:p w14:paraId="0193E48A">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共株洲市委办公室、株洲市人民政府办公室关于株洲市人民政府国有资产监督管理委员会职责和机构编制调整的通知》（株办[2019]35 号），本部门内设科室 8 个，分别为：办公室、业绩考核与分配科、国有资本经营与预算科、产权管理与规划发展科、政策法规与改革改组科、董事会工作科、监督科和党建工作科，另设机关党委。 </w:t>
      </w:r>
    </w:p>
    <w:p w14:paraId="5A44A452">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本部门包含下属独立预算单位二级单位 1 个，为：株洲市机械工业研究所。</w:t>
      </w:r>
    </w:p>
    <w:p w14:paraId="06B62099">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二、一般公共预算支出情况</w:t>
      </w:r>
    </w:p>
    <w:p w14:paraId="04E6F60B">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黑体" w:hAnsi="黑体" w:eastAsia="黑体"/>
          <w:sz w:val="32"/>
          <w:szCs w:val="32"/>
        </w:rPr>
      </w:pPr>
      <w:r>
        <w:rPr>
          <w:rFonts w:ascii="仿宋_GB2312" w:hAnsi="宋体" w:eastAsia="仿宋_GB2312" w:cs="仿宋_GB2312"/>
          <w:color w:val="000000"/>
          <w:kern w:val="0"/>
          <w:sz w:val="32"/>
          <w:szCs w:val="32"/>
          <w:lang w:val="en-US" w:eastAsia="zh-CN" w:bidi="ar"/>
        </w:rPr>
        <w:t>202</w:t>
      </w:r>
      <w:r>
        <w:rPr>
          <w:rFonts w:hint="eastAsia" w:ascii="仿宋_GB2312" w:hAnsi="宋体" w:eastAsia="仿宋_GB2312" w:cs="仿宋_GB2312"/>
          <w:color w:val="000000"/>
          <w:kern w:val="0"/>
          <w:sz w:val="32"/>
          <w:szCs w:val="32"/>
          <w:lang w:val="en-US" w:eastAsia="zh-CN" w:bidi="ar"/>
        </w:rPr>
        <w:t>3</w:t>
      </w:r>
      <w:r>
        <w:rPr>
          <w:rFonts w:ascii="仿宋_GB2312" w:hAnsi="宋体" w:eastAsia="仿宋_GB2312" w:cs="仿宋_GB2312"/>
          <w:color w:val="000000"/>
          <w:kern w:val="0"/>
          <w:sz w:val="32"/>
          <w:szCs w:val="32"/>
          <w:lang w:val="en-US" w:eastAsia="zh-CN" w:bidi="ar"/>
        </w:rPr>
        <w:t>年一般公共预算</w:t>
      </w:r>
      <w:r>
        <w:rPr>
          <w:rFonts w:ascii="仿宋_GB2312" w:hAnsi="宋体" w:eastAsia="仿宋_GB2312" w:cs="仿宋_GB2312"/>
          <w:color w:val="000000"/>
          <w:kern w:val="0"/>
          <w:sz w:val="32"/>
          <w:szCs w:val="32"/>
          <w:u w:val="none"/>
          <w:lang w:val="en-US" w:eastAsia="zh-CN" w:bidi="ar"/>
        </w:rPr>
        <w:t>支出</w:t>
      </w:r>
      <w:r>
        <w:rPr>
          <w:rFonts w:hint="eastAsia" w:ascii="仿宋_GB2312" w:hAnsi="宋体" w:eastAsia="仿宋_GB2312" w:cs="仿宋_GB2312"/>
          <w:color w:val="000000"/>
          <w:kern w:val="0"/>
          <w:sz w:val="32"/>
          <w:szCs w:val="32"/>
          <w:u w:val="none"/>
          <w:lang w:val="en-US" w:eastAsia="zh-CN" w:bidi="ar"/>
        </w:rPr>
        <w:t>1417.94</w:t>
      </w:r>
      <w:r>
        <w:rPr>
          <w:rFonts w:ascii="仿宋_GB2312" w:hAnsi="宋体" w:eastAsia="仿宋_GB2312" w:cs="仿宋_GB2312"/>
          <w:color w:val="000000"/>
          <w:kern w:val="0"/>
          <w:sz w:val="32"/>
          <w:szCs w:val="32"/>
          <w:u w:val="none"/>
          <w:lang w:val="en-US" w:eastAsia="zh-CN" w:bidi="ar"/>
        </w:rPr>
        <w:t>万元，其中：基本支出</w:t>
      </w:r>
      <w:r>
        <w:rPr>
          <w:rFonts w:hint="eastAsia" w:ascii="仿宋_GB2312" w:hAnsi="宋体" w:eastAsia="仿宋_GB2312" w:cs="仿宋_GB2312"/>
          <w:color w:val="000000"/>
          <w:kern w:val="0"/>
          <w:sz w:val="32"/>
          <w:szCs w:val="32"/>
          <w:u w:val="none"/>
          <w:lang w:val="en-US" w:eastAsia="zh-CN" w:bidi="ar"/>
        </w:rPr>
        <w:t>1262.06万元，项目支出155.88万</w:t>
      </w:r>
      <w:r>
        <w:rPr>
          <w:rFonts w:hint="eastAsia" w:ascii="仿宋_GB2312" w:hAnsi="宋体" w:eastAsia="仿宋_GB2312" w:cs="仿宋_GB2312"/>
          <w:color w:val="000000"/>
          <w:kern w:val="0"/>
          <w:sz w:val="32"/>
          <w:szCs w:val="32"/>
          <w:lang w:val="en-US" w:eastAsia="zh-CN" w:bidi="ar"/>
        </w:rPr>
        <w:t>元。</w:t>
      </w:r>
    </w:p>
    <w:p w14:paraId="034455FF">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（一）基本支出情况</w:t>
      </w:r>
    </w:p>
    <w:p w14:paraId="7BE8864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仿宋_GB2312" w:eastAsia="仿宋_GB2312"/>
          <w:sz w:val="32"/>
          <w:szCs w:val="32"/>
          <w:u w:val="none"/>
        </w:rPr>
      </w:pPr>
      <w:r>
        <w:rPr>
          <w:rFonts w:ascii="仿宋_GB2312" w:hAnsi="宋体" w:eastAsia="仿宋_GB2312" w:cs="仿宋_GB2312"/>
          <w:color w:val="000000"/>
          <w:kern w:val="0"/>
          <w:sz w:val="32"/>
          <w:szCs w:val="32"/>
          <w:lang w:val="en-US" w:eastAsia="zh-CN" w:bidi="ar"/>
        </w:rPr>
        <w:t>202</w:t>
      </w:r>
      <w:r>
        <w:rPr>
          <w:rFonts w:hint="eastAsia" w:ascii="仿宋_GB2312" w:hAnsi="宋体" w:eastAsia="仿宋_GB2312" w:cs="仿宋_GB2312"/>
          <w:color w:val="000000"/>
          <w:kern w:val="0"/>
          <w:sz w:val="32"/>
          <w:szCs w:val="32"/>
          <w:lang w:val="en-US" w:eastAsia="zh-CN" w:bidi="ar"/>
        </w:rPr>
        <w:t>3</w:t>
      </w:r>
      <w:r>
        <w:rPr>
          <w:rFonts w:ascii="仿宋_GB2312" w:hAnsi="宋体" w:eastAsia="仿宋_GB2312" w:cs="仿宋_GB2312"/>
          <w:color w:val="000000"/>
          <w:kern w:val="0"/>
          <w:sz w:val="32"/>
          <w:szCs w:val="32"/>
          <w:lang w:val="en-US" w:eastAsia="zh-CN" w:bidi="ar"/>
        </w:rPr>
        <w:t>年本部门一般公共预算中基本支</w:t>
      </w:r>
      <w:r>
        <w:rPr>
          <w:rFonts w:ascii="仿宋_GB2312" w:hAnsi="宋体" w:eastAsia="仿宋_GB2312" w:cs="仿宋_GB2312"/>
          <w:color w:val="000000"/>
          <w:kern w:val="0"/>
          <w:sz w:val="32"/>
          <w:szCs w:val="32"/>
          <w:u w:val="none"/>
          <w:lang w:val="en-US" w:eastAsia="zh-CN" w:bidi="ar"/>
        </w:rPr>
        <w:t>出</w:t>
      </w:r>
      <w:r>
        <w:rPr>
          <w:rFonts w:hint="eastAsia" w:ascii="仿宋_GB2312" w:hAnsi="宋体" w:eastAsia="仿宋_GB2312" w:cs="仿宋_GB2312"/>
          <w:color w:val="000000"/>
          <w:kern w:val="0"/>
          <w:sz w:val="32"/>
          <w:szCs w:val="32"/>
          <w:u w:val="none"/>
          <w:lang w:val="en-US" w:eastAsia="zh-CN" w:bidi="ar"/>
        </w:rPr>
        <w:t>1262.06</w:t>
      </w:r>
      <w:r>
        <w:rPr>
          <w:rFonts w:ascii="仿宋_GB2312" w:hAnsi="宋体" w:eastAsia="仿宋_GB2312" w:cs="仿宋_GB2312"/>
          <w:color w:val="000000"/>
          <w:kern w:val="0"/>
          <w:sz w:val="32"/>
          <w:szCs w:val="32"/>
          <w:u w:val="none"/>
          <w:lang w:val="en-US" w:eastAsia="zh-CN" w:bidi="ar"/>
        </w:rPr>
        <w:t>万元，</w:t>
      </w:r>
      <w:r>
        <w:rPr>
          <w:rFonts w:ascii="仿宋_GB2312" w:hAnsi="宋体" w:eastAsia="仿宋_GB2312" w:cs="仿宋_GB2312"/>
          <w:color w:val="000000"/>
          <w:kern w:val="0"/>
          <w:sz w:val="32"/>
          <w:szCs w:val="32"/>
          <w:lang w:val="en-US" w:eastAsia="zh-CN" w:bidi="ar"/>
        </w:rPr>
        <w:t>是</w:t>
      </w:r>
      <w:r>
        <w:rPr>
          <w:rFonts w:hint="eastAsia" w:ascii="仿宋_GB2312" w:hAnsi="宋体" w:eastAsia="仿宋_GB2312" w:cs="仿宋_GB2312"/>
          <w:color w:val="000000"/>
          <w:kern w:val="0"/>
          <w:sz w:val="32"/>
          <w:szCs w:val="32"/>
          <w:lang w:val="en-US" w:eastAsia="zh-CN" w:bidi="ar"/>
        </w:rPr>
        <w:t>指为保障单位机构正常运转、完成日常工作任务而发生的各项支出，包括基本工资、津贴补贴、社会保险费等人员经费以及日常公用经费、业务性商品和服务支出。其中:基本工资</w:t>
      </w:r>
      <w:r>
        <w:rPr>
          <w:rFonts w:hint="eastAsia" w:ascii="仿宋_GB2312" w:hAnsi="宋体" w:eastAsia="仿宋_GB2312" w:cs="仿宋_GB2312"/>
          <w:color w:val="000000"/>
          <w:kern w:val="0"/>
          <w:sz w:val="32"/>
          <w:szCs w:val="32"/>
          <w:u w:val="none"/>
          <w:lang w:val="en-US" w:eastAsia="zh-CN" w:bidi="ar"/>
        </w:rPr>
        <w:t>340.06万</w:t>
      </w:r>
      <w:r>
        <w:rPr>
          <w:rFonts w:hint="eastAsia" w:ascii="仿宋_GB2312" w:hAnsi="宋体" w:eastAsia="仿宋_GB2312" w:cs="仿宋_GB2312"/>
          <w:color w:val="000000"/>
          <w:kern w:val="0"/>
          <w:sz w:val="32"/>
          <w:szCs w:val="32"/>
          <w:lang w:val="en-US" w:eastAsia="zh-CN" w:bidi="ar"/>
        </w:rPr>
        <w:t>元、津贴补贴</w:t>
      </w:r>
      <w:r>
        <w:rPr>
          <w:rFonts w:hint="eastAsia" w:ascii="仿宋_GB2312" w:hAnsi="宋体" w:eastAsia="仿宋_GB2312" w:cs="仿宋_GB2312"/>
          <w:color w:val="000000"/>
          <w:kern w:val="0"/>
          <w:sz w:val="32"/>
          <w:szCs w:val="32"/>
          <w:u w:val="none"/>
          <w:lang w:val="en-US" w:eastAsia="zh-CN" w:bidi="ar"/>
        </w:rPr>
        <w:t>69.62</w:t>
      </w:r>
      <w:r>
        <w:rPr>
          <w:rFonts w:hint="eastAsia" w:ascii="仿宋_GB2312" w:hAnsi="宋体" w:eastAsia="仿宋_GB2312" w:cs="仿宋_GB2312"/>
          <w:color w:val="000000"/>
          <w:kern w:val="0"/>
          <w:sz w:val="32"/>
          <w:szCs w:val="32"/>
          <w:lang w:val="en-US" w:eastAsia="zh-CN" w:bidi="ar"/>
        </w:rPr>
        <w:t>万元、奖金</w:t>
      </w:r>
      <w:r>
        <w:rPr>
          <w:rFonts w:hint="eastAsia" w:ascii="仿宋_GB2312" w:hAnsi="宋体" w:eastAsia="仿宋_GB2312" w:cs="仿宋_GB2312"/>
          <w:color w:val="000000"/>
          <w:kern w:val="0"/>
          <w:sz w:val="32"/>
          <w:szCs w:val="32"/>
          <w:u w:val="none"/>
          <w:lang w:val="en-US" w:eastAsia="zh-CN" w:bidi="ar"/>
        </w:rPr>
        <w:t>133.52</w:t>
      </w:r>
      <w:r>
        <w:rPr>
          <w:rFonts w:hint="eastAsia" w:ascii="仿宋_GB2312" w:hAnsi="宋体" w:eastAsia="仿宋_GB2312" w:cs="仿宋_GB2312"/>
          <w:color w:val="000000"/>
          <w:kern w:val="0"/>
          <w:sz w:val="32"/>
          <w:szCs w:val="32"/>
          <w:lang w:val="en-US" w:eastAsia="zh-CN" w:bidi="ar"/>
        </w:rPr>
        <w:t>万元、绩效工资</w:t>
      </w:r>
      <w:r>
        <w:rPr>
          <w:rFonts w:hint="eastAsia" w:ascii="仿宋_GB2312" w:hAnsi="宋体" w:eastAsia="仿宋_GB2312" w:cs="仿宋_GB2312"/>
          <w:color w:val="000000"/>
          <w:kern w:val="0"/>
          <w:sz w:val="32"/>
          <w:szCs w:val="32"/>
          <w:u w:val="none"/>
          <w:lang w:val="en-US" w:eastAsia="zh-CN" w:bidi="ar"/>
        </w:rPr>
        <w:t>0.96万元、社会保险缴费107.69万元、医疗费 24.20万元、住房公积金54.52万元、对个人和家庭的补助320.95万元、资本性支出4.1万元、日常公用经费206.44万元。</w:t>
      </w:r>
    </w:p>
    <w:p w14:paraId="190A5938">
      <w:pPr>
        <w:keepNext w:val="0"/>
        <w:keepLines w:val="0"/>
        <w:pageBreakBefore w:val="0"/>
        <w:numPr>
          <w:ilvl w:val="0"/>
          <w:numId w:val="2"/>
        </w:numPr>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项目支出情况</w:t>
      </w:r>
    </w:p>
    <w:p w14:paraId="2D9BD255">
      <w:pPr>
        <w:keepNext w:val="0"/>
        <w:keepLines w:val="0"/>
        <w:pageBreakBefore w:val="0"/>
        <w:widowControl/>
        <w:suppressLineNumbers w:val="0"/>
        <w:kinsoku/>
        <w:wordWrap/>
        <w:overflowPunct/>
        <w:topLinePunct w:val="0"/>
        <w:autoSpaceDE/>
        <w:autoSpaceDN/>
        <w:bidi w:val="0"/>
        <w:spacing w:line="560" w:lineRule="exact"/>
        <w:jc w:val="left"/>
        <w:textAlignment w:val="auto"/>
        <w:rPr>
          <w:sz w:val="32"/>
          <w:szCs w:val="32"/>
          <w:u w:val="single"/>
        </w:rPr>
      </w:pPr>
      <w:r>
        <w:rPr>
          <w:rFonts w:hint="eastAsia" w:ascii="仿宋_GB2312" w:eastAsia="仿宋_GB2312"/>
          <w:sz w:val="32"/>
          <w:szCs w:val="32"/>
          <w:lang w:val="en-US" w:eastAsia="zh-CN"/>
        </w:rPr>
        <w:t xml:space="preserve">   </w:t>
      </w:r>
      <w:r>
        <w:rPr>
          <w:rFonts w:ascii="仿宋_GB2312" w:hAnsi="宋体" w:eastAsia="仿宋_GB2312" w:cs="仿宋_GB2312"/>
          <w:color w:val="000000"/>
          <w:kern w:val="0"/>
          <w:sz w:val="32"/>
          <w:szCs w:val="32"/>
          <w:lang w:val="en-US" w:eastAsia="zh-CN" w:bidi="ar"/>
        </w:rPr>
        <w:t>202</w:t>
      </w:r>
      <w:r>
        <w:rPr>
          <w:rFonts w:hint="eastAsia" w:ascii="仿宋_GB2312" w:hAnsi="宋体" w:eastAsia="仿宋_GB2312" w:cs="仿宋_GB2312"/>
          <w:color w:val="000000"/>
          <w:kern w:val="0"/>
          <w:sz w:val="32"/>
          <w:szCs w:val="32"/>
          <w:lang w:val="en-US" w:eastAsia="zh-CN" w:bidi="ar"/>
        </w:rPr>
        <w:t>3</w:t>
      </w:r>
      <w:r>
        <w:rPr>
          <w:rFonts w:ascii="仿宋_GB2312" w:hAnsi="宋体" w:eastAsia="仿宋_GB2312" w:cs="仿宋_GB2312"/>
          <w:color w:val="000000"/>
          <w:kern w:val="0"/>
          <w:sz w:val="32"/>
          <w:szCs w:val="32"/>
          <w:lang w:val="en-US" w:eastAsia="zh-CN" w:bidi="ar"/>
        </w:rPr>
        <w:t xml:space="preserve"> 年本部门一般公共预算中项目支出为</w:t>
      </w:r>
      <w:r>
        <w:rPr>
          <w:rFonts w:hint="eastAsia" w:ascii="仿宋_GB2312" w:hAnsi="宋体" w:eastAsia="仿宋_GB2312" w:cs="仿宋_GB2312"/>
          <w:color w:val="000000"/>
          <w:kern w:val="0"/>
          <w:sz w:val="32"/>
          <w:szCs w:val="32"/>
          <w:lang w:val="en-US" w:eastAsia="zh-CN" w:bidi="ar"/>
        </w:rPr>
        <w:t>155.88</w:t>
      </w:r>
      <w:r>
        <w:rPr>
          <w:rFonts w:ascii="仿宋_GB2312" w:hAnsi="宋体" w:eastAsia="仿宋_GB2312" w:cs="仿宋_GB2312"/>
          <w:color w:val="000000"/>
          <w:kern w:val="0"/>
          <w:sz w:val="32"/>
          <w:szCs w:val="32"/>
          <w:lang w:val="en-US" w:eastAsia="zh-CN" w:bidi="ar"/>
        </w:rPr>
        <w:t>万元，主</w:t>
      </w:r>
      <w:r>
        <w:rPr>
          <w:rFonts w:hint="eastAsia" w:ascii="仿宋_GB2312" w:hAnsi="宋体" w:eastAsia="仿宋_GB2312" w:cs="仿宋_GB2312"/>
          <w:color w:val="000000"/>
          <w:kern w:val="0"/>
          <w:sz w:val="32"/>
          <w:szCs w:val="32"/>
          <w:lang w:val="en-US" w:eastAsia="zh-CN" w:bidi="ar"/>
        </w:rPr>
        <w:t>要是单位为完成特定行政工作任务或事业发展目标而发生的支出</w:t>
      </w:r>
      <w:r>
        <w:rPr>
          <w:rFonts w:hint="eastAsia" w:ascii="仿宋_GB2312" w:hAnsi="宋体" w:eastAsia="仿宋_GB2312" w:cs="仿宋_GB2312"/>
          <w:color w:val="000000"/>
          <w:kern w:val="0"/>
          <w:sz w:val="32"/>
          <w:szCs w:val="32"/>
          <w:u w:val="none"/>
          <w:lang w:val="en-US" w:eastAsia="zh-CN" w:bidi="ar"/>
        </w:rPr>
        <w:t>，包括有关事业发展专项、资本性支出等。其中：安全隐患治理整改补助资金5万元、业务用房维修专项90.89万元、清查处置闲置国有资产资源奖励工作经费5万元、2022年全年债务化解攻坚战考核奖励1.25万元、党代表活动专项经费3.3万元、业务性专项26.7万元、国有资本预算收益收缴及编制工作经费23.74万元、国资监管专项259.79万元。</w:t>
      </w:r>
    </w:p>
    <w:p w14:paraId="134E12F5">
      <w:pPr>
        <w:keepNext w:val="0"/>
        <w:keepLines w:val="0"/>
        <w:pageBreakBefore w:val="0"/>
        <w:numPr>
          <w:ilvl w:val="0"/>
          <w:numId w:val="3"/>
        </w:numPr>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政府性基金预算支出情况</w:t>
      </w:r>
    </w:p>
    <w:p w14:paraId="51CFED25">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rPr>
          <w:rFonts w:hint="eastAsia" w:ascii="黑体" w:hAnsi="黑体" w:eastAsia="黑体"/>
          <w:sz w:val="32"/>
          <w:szCs w:val="32"/>
        </w:rPr>
      </w:pPr>
      <w:r>
        <w:rPr>
          <w:rFonts w:ascii="仿宋_GB2312" w:hAnsi="宋体" w:eastAsia="仿宋_GB2312" w:cs="仿宋_GB2312"/>
          <w:color w:val="000000"/>
          <w:kern w:val="0"/>
          <w:sz w:val="31"/>
          <w:szCs w:val="31"/>
          <w:lang w:val="en-US" w:eastAsia="zh-CN" w:bidi="ar"/>
        </w:rPr>
        <w:t>202</w:t>
      </w:r>
      <w:r>
        <w:rPr>
          <w:rFonts w:hint="eastAsia" w:ascii="仿宋_GB2312" w:hAnsi="宋体" w:eastAsia="仿宋_GB2312" w:cs="仿宋_GB2312"/>
          <w:color w:val="000000"/>
          <w:kern w:val="0"/>
          <w:sz w:val="31"/>
          <w:szCs w:val="31"/>
          <w:lang w:val="en-US" w:eastAsia="zh-CN" w:bidi="ar"/>
        </w:rPr>
        <w:t>3</w:t>
      </w:r>
      <w:r>
        <w:rPr>
          <w:rFonts w:ascii="仿宋_GB2312" w:hAnsi="宋体" w:eastAsia="仿宋_GB2312" w:cs="仿宋_GB2312"/>
          <w:color w:val="000000"/>
          <w:kern w:val="0"/>
          <w:sz w:val="31"/>
          <w:szCs w:val="31"/>
          <w:lang w:val="en-US" w:eastAsia="zh-CN" w:bidi="ar"/>
        </w:rPr>
        <w:t xml:space="preserve"> 年本部门无政府性基金预算支出情况。</w:t>
      </w:r>
    </w:p>
    <w:p w14:paraId="70EAED67">
      <w:pPr>
        <w:keepNext w:val="0"/>
        <w:keepLines w:val="0"/>
        <w:pageBreakBefore w:val="0"/>
        <w:numPr>
          <w:ilvl w:val="0"/>
          <w:numId w:val="3"/>
        </w:numPr>
        <w:tabs>
          <w:tab w:val="left" w:pos="7560"/>
        </w:tabs>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黑体" w:hAnsi="黑体" w:eastAsia="黑体"/>
          <w:sz w:val="32"/>
          <w:szCs w:val="32"/>
        </w:rPr>
      </w:pPr>
      <w:r>
        <w:rPr>
          <w:rFonts w:hint="eastAsia" w:ascii="黑体" w:hAnsi="黑体" w:eastAsia="黑体"/>
          <w:sz w:val="32"/>
          <w:szCs w:val="32"/>
        </w:rPr>
        <w:t>国有资本经营预算支出情况</w:t>
      </w:r>
    </w:p>
    <w:p w14:paraId="3CE413F1">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rPr>
          <w:rFonts w:hint="eastAsia" w:ascii="黑体" w:hAnsi="黑体" w:eastAsia="黑体"/>
          <w:sz w:val="32"/>
          <w:szCs w:val="32"/>
          <w:u w:val="none"/>
        </w:rPr>
      </w:pPr>
      <w:r>
        <w:rPr>
          <w:rFonts w:ascii="仿宋_GB2312" w:hAnsi="宋体" w:eastAsia="仿宋_GB2312" w:cs="仿宋_GB2312"/>
          <w:color w:val="000000"/>
          <w:kern w:val="0"/>
          <w:sz w:val="31"/>
          <w:szCs w:val="31"/>
          <w:lang w:val="en-US" w:eastAsia="zh-CN" w:bidi="ar"/>
        </w:rPr>
        <w:t>202</w:t>
      </w:r>
      <w:r>
        <w:rPr>
          <w:rFonts w:hint="eastAsia" w:ascii="仿宋_GB2312" w:hAnsi="宋体" w:eastAsia="仿宋_GB2312" w:cs="仿宋_GB2312"/>
          <w:color w:val="000000"/>
          <w:kern w:val="0"/>
          <w:sz w:val="31"/>
          <w:szCs w:val="31"/>
          <w:lang w:val="en-US" w:eastAsia="zh-CN" w:bidi="ar"/>
        </w:rPr>
        <w:t>3</w:t>
      </w:r>
      <w:r>
        <w:rPr>
          <w:rFonts w:ascii="仿宋_GB2312" w:hAnsi="宋体" w:eastAsia="仿宋_GB2312" w:cs="仿宋_GB2312"/>
          <w:color w:val="000000"/>
          <w:kern w:val="0"/>
          <w:sz w:val="31"/>
          <w:szCs w:val="31"/>
          <w:lang w:val="en-US" w:eastAsia="zh-CN" w:bidi="ar"/>
        </w:rPr>
        <w:t>年本部门国有资本经营预算支出为</w:t>
      </w:r>
      <w:r>
        <w:rPr>
          <w:rFonts w:hint="eastAsia" w:ascii="仿宋_GB2312" w:hAnsi="宋体" w:eastAsia="仿宋_GB2312" w:cs="仿宋_GB2312"/>
          <w:color w:val="000000"/>
          <w:kern w:val="0"/>
          <w:sz w:val="31"/>
          <w:szCs w:val="31"/>
          <w:lang w:val="en-US" w:eastAsia="zh-CN" w:bidi="ar"/>
        </w:rPr>
        <w:t>259.79</w:t>
      </w:r>
      <w:r>
        <w:rPr>
          <w:rFonts w:ascii="仿宋_GB2312" w:hAnsi="宋体" w:eastAsia="仿宋_GB2312" w:cs="仿宋_GB2312"/>
          <w:color w:val="000000"/>
          <w:kern w:val="0"/>
          <w:sz w:val="31"/>
          <w:szCs w:val="31"/>
          <w:lang w:val="en-US" w:eastAsia="zh-CN" w:bidi="ar"/>
        </w:rPr>
        <w:t>万元，</w:t>
      </w:r>
      <w:r>
        <w:rPr>
          <w:rFonts w:ascii="仿宋_GB2312" w:hAnsi="宋体" w:eastAsia="仿宋_GB2312" w:cs="仿宋_GB2312"/>
          <w:color w:val="000000"/>
          <w:kern w:val="0"/>
          <w:sz w:val="31"/>
          <w:szCs w:val="31"/>
          <w:u w:val="none"/>
          <w:lang w:val="en-US" w:eastAsia="zh-CN" w:bidi="ar"/>
        </w:rPr>
        <w:t>其中：</w:t>
      </w:r>
      <w:r>
        <w:rPr>
          <w:rFonts w:hint="eastAsia" w:ascii="仿宋_GB2312" w:hAnsi="宋体" w:eastAsia="仿宋_GB2312" w:cs="仿宋_GB2312"/>
          <w:color w:val="000000"/>
          <w:kern w:val="0"/>
          <w:sz w:val="31"/>
          <w:szCs w:val="31"/>
          <w:u w:val="none"/>
          <w:lang w:val="en-US" w:eastAsia="zh-CN" w:bidi="ar"/>
        </w:rPr>
        <w:t>委托业务费</w:t>
      </w:r>
      <w:r>
        <w:rPr>
          <w:rFonts w:hint="eastAsia" w:ascii="仿宋_GB2312" w:hAnsi="宋体" w:eastAsia="仿宋_GB2312" w:cs="仿宋_GB2312"/>
          <w:color w:val="000000"/>
          <w:kern w:val="0"/>
          <w:sz w:val="31"/>
          <w:szCs w:val="31"/>
          <w:highlight w:val="none"/>
          <w:u w:val="none"/>
          <w:lang w:val="en-US" w:eastAsia="zh-CN" w:bidi="ar"/>
        </w:rPr>
        <w:t>216.55</w:t>
      </w:r>
      <w:r>
        <w:rPr>
          <w:rFonts w:hint="eastAsia" w:ascii="仿宋_GB2312" w:hAnsi="宋体" w:eastAsia="仿宋_GB2312" w:cs="仿宋_GB2312"/>
          <w:color w:val="000000"/>
          <w:kern w:val="0"/>
          <w:sz w:val="31"/>
          <w:szCs w:val="31"/>
          <w:u w:val="none"/>
          <w:lang w:val="en-US" w:eastAsia="zh-CN" w:bidi="ar"/>
        </w:rPr>
        <w:t>万元、专项工作经费3.24万元、帮扶专项经费</w:t>
      </w:r>
      <w:r>
        <w:rPr>
          <w:rFonts w:hint="eastAsia" w:ascii="仿宋_GB2312" w:hAnsi="宋体" w:eastAsia="仿宋_GB2312" w:cs="仿宋_GB2312"/>
          <w:color w:val="000000"/>
          <w:kern w:val="0"/>
          <w:sz w:val="31"/>
          <w:szCs w:val="31"/>
          <w:highlight w:val="none"/>
          <w:u w:val="none"/>
          <w:lang w:val="en-US" w:eastAsia="zh-CN" w:bidi="ar"/>
        </w:rPr>
        <w:t>40</w:t>
      </w:r>
      <w:r>
        <w:rPr>
          <w:rFonts w:hint="eastAsia" w:ascii="仿宋_GB2312" w:hAnsi="宋体" w:eastAsia="仿宋_GB2312" w:cs="仿宋_GB2312"/>
          <w:color w:val="000000"/>
          <w:kern w:val="0"/>
          <w:sz w:val="31"/>
          <w:szCs w:val="31"/>
          <w:u w:val="none"/>
          <w:lang w:val="en-US" w:eastAsia="zh-CN" w:bidi="ar"/>
        </w:rPr>
        <w:t>万元。</w:t>
      </w:r>
    </w:p>
    <w:p w14:paraId="6315CC3C">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五、社会保险基金预算支出情况</w:t>
      </w:r>
    </w:p>
    <w:p w14:paraId="7B5FD35C">
      <w:pPr>
        <w:keepNext w:val="0"/>
        <w:keepLines w:val="0"/>
        <w:pageBreakBefore w:val="0"/>
        <w:widowControl/>
        <w:suppressLineNumbers w:val="0"/>
        <w:kinsoku/>
        <w:wordWrap/>
        <w:overflowPunct/>
        <w:topLinePunct w:val="0"/>
        <w:autoSpaceDE/>
        <w:autoSpaceDN/>
        <w:bidi w:val="0"/>
        <w:spacing w:line="560" w:lineRule="exact"/>
        <w:ind w:firstLine="620" w:firstLineChars="200"/>
        <w:jc w:val="left"/>
        <w:textAlignment w:val="auto"/>
        <w:rPr>
          <w:rFonts w:hint="eastAsia" w:ascii="黑体" w:hAnsi="黑体" w:eastAsia="黑体"/>
          <w:sz w:val="32"/>
          <w:szCs w:val="32"/>
        </w:rPr>
      </w:pPr>
      <w:r>
        <w:rPr>
          <w:rFonts w:ascii="仿宋_GB2312" w:hAnsi="宋体" w:eastAsia="仿宋_GB2312" w:cs="仿宋_GB2312"/>
          <w:color w:val="000000"/>
          <w:kern w:val="0"/>
          <w:sz w:val="31"/>
          <w:szCs w:val="31"/>
          <w:lang w:val="en-US" w:eastAsia="zh-CN" w:bidi="ar"/>
        </w:rPr>
        <w:t>202</w:t>
      </w:r>
      <w:r>
        <w:rPr>
          <w:rFonts w:hint="eastAsia" w:ascii="仿宋_GB2312" w:hAnsi="宋体" w:eastAsia="仿宋_GB2312" w:cs="仿宋_GB2312"/>
          <w:color w:val="000000"/>
          <w:kern w:val="0"/>
          <w:sz w:val="31"/>
          <w:szCs w:val="31"/>
          <w:lang w:val="en-US" w:eastAsia="zh-CN" w:bidi="ar"/>
        </w:rPr>
        <w:t>3</w:t>
      </w:r>
      <w:r>
        <w:rPr>
          <w:rFonts w:ascii="仿宋_GB2312" w:hAnsi="宋体" w:eastAsia="仿宋_GB2312" w:cs="仿宋_GB2312"/>
          <w:color w:val="000000"/>
          <w:kern w:val="0"/>
          <w:sz w:val="31"/>
          <w:szCs w:val="31"/>
          <w:lang w:val="en-US" w:eastAsia="zh-CN" w:bidi="ar"/>
        </w:rPr>
        <w:t>年本部门无社会保险基金预算支出情况。</w:t>
      </w:r>
    </w:p>
    <w:p w14:paraId="663981F4">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六、资金使用及绩效情况（包含单位管理的公共专项）</w:t>
      </w:r>
    </w:p>
    <w:p w14:paraId="4ECBB44C">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（一）整体支出绩效情况</w:t>
      </w:r>
    </w:p>
    <w:p w14:paraId="4E9F1D39">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sz w:val="32"/>
          <w:szCs w:val="32"/>
          <w:lang w:val="en-US"/>
        </w:rPr>
      </w:pPr>
      <w:r>
        <w:rPr>
          <w:rFonts w:ascii="仿宋_GB2312" w:hAnsi="宋体" w:eastAsia="仿宋_GB2312" w:cs="仿宋_GB2312"/>
          <w:color w:val="000000"/>
          <w:kern w:val="0"/>
          <w:sz w:val="32"/>
          <w:szCs w:val="32"/>
          <w:lang w:val="en-US" w:eastAsia="zh-CN" w:bidi="ar"/>
        </w:rPr>
        <w:t>202</w:t>
      </w:r>
      <w:r>
        <w:rPr>
          <w:rFonts w:hint="eastAsia" w:ascii="仿宋_GB2312" w:hAnsi="宋体" w:eastAsia="仿宋_GB2312" w:cs="仿宋_GB2312"/>
          <w:color w:val="000000"/>
          <w:kern w:val="0"/>
          <w:sz w:val="32"/>
          <w:szCs w:val="32"/>
          <w:lang w:val="en-US" w:eastAsia="zh-CN" w:bidi="ar"/>
        </w:rPr>
        <w:t>3</w:t>
      </w:r>
      <w:r>
        <w:rPr>
          <w:rFonts w:ascii="仿宋_GB2312" w:hAnsi="宋体" w:eastAsia="仿宋_GB2312" w:cs="仿宋_GB2312"/>
          <w:color w:val="000000"/>
          <w:kern w:val="0"/>
          <w:sz w:val="32"/>
          <w:szCs w:val="32"/>
          <w:lang w:val="en-US" w:eastAsia="zh-CN" w:bidi="ar"/>
        </w:rPr>
        <w:t>年部门整体支出</w:t>
      </w:r>
      <w:r>
        <w:rPr>
          <w:rFonts w:hint="eastAsia" w:ascii="仿宋_GB2312" w:hAnsi="宋体" w:eastAsia="仿宋_GB2312" w:cs="仿宋_GB2312"/>
          <w:color w:val="000000"/>
          <w:kern w:val="0"/>
          <w:sz w:val="32"/>
          <w:szCs w:val="32"/>
          <w:lang w:val="en-US" w:eastAsia="zh-CN" w:bidi="ar"/>
        </w:rPr>
        <w:t>1677.72</w:t>
      </w:r>
      <w:r>
        <w:rPr>
          <w:rFonts w:ascii="仿宋_GB2312" w:hAnsi="宋体" w:eastAsia="仿宋_GB2312" w:cs="仿宋_GB2312"/>
          <w:color w:val="000000"/>
          <w:kern w:val="0"/>
          <w:sz w:val="32"/>
          <w:szCs w:val="32"/>
          <w:lang w:val="en-US" w:eastAsia="zh-CN" w:bidi="ar"/>
        </w:rPr>
        <w:t>万元，其中：基本支出</w:t>
      </w:r>
      <w:r>
        <w:rPr>
          <w:rFonts w:hint="eastAsia" w:ascii="仿宋_GB2312" w:hAnsi="宋体" w:eastAsia="仿宋_GB2312" w:cs="仿宋_GB2312"/>
          <w:color w:val="000000"/>
          <w:kern w:val="0"/>
          <w:sz w:val="32"/>
          <w:szCs w:val="32"/>
          <w:lang w:val="en-US" w:eastAsia="zh-CN" w:bidi="ar"/>
        </w:rPr>
        <w:t>1262.06</w:t>
      </w:r>
    </w:p>
    <w:p w14:paraId="704A8BB8">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万元，项目支出 415.67万元。</w:t>
      </w:r>
    </w:p>
    <w:p w14:paraId="3FDE2DC4">
      <w:pPr>
        <w:keepNext w:val="0"/>
        <w:keepLines w:val="0"/>
        <w:pageBreakBefore w:val="0"/>
        <w:widowControl/>
        <w:suppressLineNumbers w:val="0"/>
        <w:kinsoku/>
        <w:wordWrap/>
        <w:overflowPunct/>
        <w:topLinePunct w:val="0"/>
        <w:autoSpaceDE/>
        <w:autoSpaceDN/>
        <w:bidi w:val="0"/>
        <w:spacing w:line="560" w:lineRule="exact"/>
        <w:ind w:firstLine="62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主要包括：</w:t>
      </w:r>
    </w:p>
    <w:p w14:paraId="01990C61">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1.产出指标</w:t>
      </w:r>
    </w:p>
    <w:p w14:paraId="092EA8C0">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①基本支出</w:t>
      </w:r>
    </w:p>
    <w:p w14:paraId="573D31A3">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ascii="仿宋_GB2312" w:hAnsi="宋体" w:eastAsia="仿宋_GB2312" w:cs="仿宋_GB2312"/>
          <w:color w:val="000000"/>
          <w:kern w:val="0"/>
          <w:sz w:val="32"/>
          <w:szCs w:val="32"/>
          <w:lang w:val="en-US" w:eastAsia="zh-CN" w:bidi="ar"/>
        </w:rPr>
      </w:pPr>
      <w:r>
        <w:rPr>
          <w:rFonts w:ascii="仿宋_GB2312" w:hAnsi="宋体" w:eastAsia="仿宋_GB2312" w:cs="仿宋_GB2312"/>
          <w:color w:val="000000"/>
          <w:kern w:val="0"/>
          <w:sz w:val="32"/>
          <w:szCs w:val="32"/>
          <w:lang w:val="en-US" w:eastAsia="zh-CN" w:bidi="ar"/>
        </w:rPr>
        <w:t>202</w:t>
      </w:r>
      <w:r>
        <w:rPr>
          <w:rFonts w:hint="eastAsia" w:ascii="仿宋_GB2312" w:hAnsi="宋体" w:eastAsia="仿宋_GB2312" w:cs="仿宋_GB2312"/>
          <w:color w:val="000000"/>
          <w:kern w:val="0"/>
          <w:sz w:val="32"/>
          <w:szCs w:val="32"/>
          <w:lang w:val="en-US" w:eastAsia="zh-CN" w:bidi="ar"/>
        </w:rPr>
        <w:t>3</w:t>
      </w:r>
      <w:r>
        <w:rPr>
          <w:rFonts w:ascii="仿宋_GB2312" w:hAnsi="宋体" w:eastAsia="仿宋_GB2312" w:cs="仿宋_GB2312"/>
          <w:color w:val="000000"/>
          <w:kern w:val="0"/>
          <w:sz w:val="32"/>
          <w:szCs w:val="32"/>
          <w:lang w:val="en-US" w:eastAsia="zh-CN" w:bidi="ar"/>
        </w:rPr>
        <w:t>年本部门一般公共预算中基本支</w:t>
      </w:r>
      <w:r>
        <w:rPr>
          <w:rFonts w:ascii="仿宋_GB2312" w:hAnsi="宋体" w:eastAsia="仿宋_GB2312" w:cs="仿宋_GB2312"/>
          <w:color w:val="000000"/>
          <w:kern w:val="0"/>
          <w:sz w:val="32"/>
          <w:szCs w:val="32"/>
          <w:u w:val="none"/>
          <w:lang w:val="en-US" w:eastAsia="zh-CN" w:bidi="ar"/>
        </w:rPr>
        <w:t>出</w:t>
      </w:r>
      <w:r>
        <w:rPr>
          <w:rFonts w:hint="eastAsia" w:ascii="仿宋_GB2312" w:hAnsi="宋体" w:eastAsia="仿宋_GB2312" w:cs="仿宋_GB2312"/>
          <w:color w:val="000000"/>
          <w:kern w:val="0"/>
          <w:sz w:val="32"/>
          <w:szCs w:val="32"/>
          <w:u w:val="none"/>
          <w:lang w:val="en-US" w:eastAsia="zh-CN" w:bidi="ar"/>
        </w:rPr>
        <w:t>1262.06</w:t>
      </w:r>
      <w:r>
        <w:rPr>
          <w:rFonts w:ascii="仿宋_GB2312" w:hAnsi="宋体" w:eastAsia="仿宋_GB2312" w:cs="仿宋_GB2312"/>
          <w:color w:val="000000"/>
          <w:kern w:val="0"/>
          <w:sz w:val="32"/>
          <w:szCs w:val="32"/>
          <w:u w:val="none"/>
          <w:lang w:val="en-US" w:eastAsia="zh-CN" w:bidi="ar"/>
        </w:rPr>
        <w:t>万元，</w:t>
      </w:r>
      <w:r>
        <w:rPr>
          <w:rFonts w:ascii="仿宋_GB2312" w:hAnsi="宋体" w:eastAsia="仿宋_GB2312" w:cs="仿宋_GB2312"/>
          <w:color w:val="000000"/>
          <w:kern w:val="0"/>
          <w:sz w:val="32"/>
          <w:szCs w:val="32"/>
          <w:lang w:val="en-US" w:eastAsia="zh-CN" w:bidi="ar"/>
        </w:rPr>
        <w:t>是</w:t>
      </w:r>
      <w:r>
        <w:rPr>
          <w:rFonts w:hint="eastAsia" w:ascii="仿宋_GB2312" w:hAnsi="宋体" w:eastAsia="仿宋_GB2312" w:cs="仿宋_GB2312"/>
          <w:color w:val="000000"/>
          <w:kern w:val="0"/>
          <w:sz w:val="32"/>
          <w:szCs w:val="32"/>
          <w:lang w:val="en-US" w:eastAsia="zh-CN" w:bidi="ar"/>
        </w:rPr>
        <w:t>指为保障单位机构正常运转、完成日常工作任务而发生的各项支出，包括基本工资、津贴补贴、社会保险费等人员经费以及日常公用经费、业务性商品和服务支出。其中:基本工资</w:t>
      </w:r>
      <w:r>
        <w:rPr>
          <w:rFonts w:hint="eastAsia" w:ascii="仿宋_GB2312" w:hAnsi="宋体" w:eastAsia="仿宋_GB2312" w:cs="仿宋_GB2312"/>
          <w:color w:val="000000"/>
          <w:kern w:val="0"/>
          <w:sz w:val="32"/>
          <w:szCs w:val="32"/>
          <w:u w:val="none"/>
          <w:lang w:val="en-US" w:eastAsia="zh-CN" w:bidi="ar"/>
        </w:rPr>
        <w:t>340.06万</w:t>
      </w:r>
      <w:r>
        <w:rPr>
          <w:rFonts w:hint="eastAsia" w:ascii="仿宋_GB2312" w:hAnsi="宋体" w:eastAsia="仿宋_GB2312" w:cs="仿宋_GB2312"/>
          <w:color w:val="000000"/>
          <w:kern w:val="0"/>
          <w:sz w:val="32"/>
          <w:szCs w:val="32"/>
          <w:lang w:val="en-US" w:eastAsia="zh-CN" w:bidi="ar"/>
        </w:rPr>
        <w:t>元、津贴补贴</w:t>
      </w:r>
      <w:r>
        <w:rPr>
          <w:rFonts w:hint="eastAsia" w:ascii="仿宋_GB2312" w:hAnsi="宋体" w:eastAsia="仿宋_GB2312" w:cs="仿宋_GB2312"/>
          <w:color w:val="000000"/>
          <w:kern w:val="0"/>
          <w:sz w:val="32"/>
          <w:szCs w:val="32"/>
          <w:u w:val="none"/>
          <w:lang w:val="en-US" w:eastAsia="zh-CN" w:bidi="ar"/>
        </w:rPr>
        <w:t>69.62</w:t>
      </w:r>
      <w:r>
        <w:rPr>
          <w:rFonts w:hint="eastAsia" w:ascii="仿宋_GB2312" w:hAnsi="宋体" w:eastAsia="仿宋_GB2312" w:cs="仿宋_GB2312"/>
          <w:color w:val="000000"/>
          <w:kern w:val="0"/>
          <w:sz w:val="32"/>
          <w:szCs w:val="32"/>
          <w:lang w:val="en-US" w:eastAsia="zh-CN" w:bidi="ar"/>
        </w:rPr>
        <w:t>万元、奖金</w:t>
      </w:r>
      <w:r>
        <w:rPr>
          <w:rFonts w:hint="eastAsia" w:ascii="仿宋_GB2312" w:hAnsi="宋体" w:eastAsia="仿宋_GB2312" w:cs="仿宋_GB2312"/>
          <w:color w:val="000000"/>
          <w:kern w:val="0"/>
          <w:sz w:val="32"/>
          <w:szCs w:val="32"/>
          <w:u w:val="none"/>
          <w:lang w:val="en-US" w:eastAsia="zh-CN" w:bidi="ar"/>
        </w:rPr>
        <w:t>133.52</w:t>
      </w:r>
      <w:r>
        <w:rPr>
          <w:rFonts w:hint="eastAsia" w:ascii="仿宋_GB2312" w:hAnsi="宋体" w:eastAsia="仿宋_GB2312" w:cs="仿宋_GB2312"/>
          <w:color w:val="000000"/>
          <w:kern w:val="0"/>
          <w:sz w:val="32"/>
          <w:szCs w:val="32"/>
          <w:lang w:val="en-US" w:eastAsia="zh-CN" w:bidi="ar"/>
        </w:rPr>
        <w:t>万元、绩效工资</w:t>
      </w:r>
      <w:r>
        <w:rPr>
          <w:rFonts w:hint="eastAsia" w:ascii="仿宋_GB2312" w:hAnsi="宋体" w:eastAsia="仿宋_GB2312" w:cs="仿宋_GB2312"/>
          <w:color w:val="000000"/>
          <w:kern w:val="0"/>
          <w:sz w:val="32"/>
          <w:szCs w:val="32"/>
          <w:u w:val="none"/>
          <w:lang w:val="en-US" w:eastAsia="zh-CN" w:bidi="ar"/>
        </w:rPr>
        <w:t>0.96万元、社会保险缴费107.69万元、医疗费 24.20万元、住房公积金54.52万元、对个人和家庭的补助320.95万元、资本性支出4.1万元、日常公用经费206.44万元。</w:t>
      </w:r>
    </w:p>
    <w:p w14:paraId="4C81E5E9">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②项目支出</w:t>
      </w:r>
    </w:p>
    <w:p w14:paraId="1C132F46">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ascii="仿宋_GB2312" w:hAnsi="宋体" w:eastAsia="仿宋_GB2312" w:cs="仿宋_GB2312"/>
          <w:color w:val="000000"/>
          <w:kern w:val="0"/>
          <w:sz w:val="32"/>
          <w:szCs w:val="32"/>
          <w:lang w:val="en-US" w:eastAsia="zh-CN" w:bidi="ar"/>
        </w:rPr>
      </w:pPr>
      <w:r>
        <w:rPr>
          <w:rFonts w:ascii="仿宋_GB2312" w:hAnsi="宋体" w:eastAsia="仿宋_GB2312" w:cs="仿宋_GB2312"/>
          <w:color w:val="000000"/>
          <w:kern w:val="0"/>
          <w:sz w:val="32"/>
          <w:szCs w:val="32"/>
          <w:lang w:val="en-US" w:eastAsia="zh-CN" w:bidi="ar"/>
        </w:rPr>
        <w:t>202</w:t>
      </w:r>
      <w:r>
        <w:rPr>
          <w:rFonts w:hint="eastAsia" w:ascii="仿宋_GB2312" w:hAnsi="宋体" w:eastAsia="仿宋_GB2312" w:cs="仿宋_GB2312"/>
          <w:color w:val="000000"/>
          <w:kern w:val="0"/>
          <w:sz w:val="32"/>
          <w:szCs w:val="32"/>
          <w:lang w:val="en-US" w:eastAsia="zh-CN" w:bidi="ar"/>
        </w:rPr>
        <w:t>3</w:t>
      </w:r>
      <w:r>
        <w:rPr>
          <w:rFonts w:ascii="仿宋_GB2312" w:hAnsi="宋体" w:eastAsia="仿宋_GB2312" w:cs="仿宋_GB2312"/>
          <w:color w:val="000000"/>
          <w:kern w:val="0"/>
          <w:sz w:val="32"/>
          <w:szCs w:val="32"/>
          <w:lang w:val="en-US" w:eastAsia="zh-CN" w:bidi="ar"/>
        </w:rPr>
        <w:t xml:space="preserve"> 年本部门项目支出为</w:t>
      </w:r>
      <w:r>
        <w:rPr>
          <w:rFonts w:hint="eastAsia" w:ascii="仿宋_GB2312" w:hAnsi="宋体" w:eastAsia="仿宋_GB2312" w:cs="仿宋_GB2312"/>
          <w:color w:val="000000"/>
          <w:kern w:val="0"/>
          <w:sz w:val="32"/>
          <w:szCs w:val="32"/>
          <w:lang w:val="en-US" w:eastAsia="zh-CN" w:bidi="ar"/>
        </w:rPr>
        <w:t>415.67</w:t>
      </w:r>
      <w:r>
        <w:rPr>
          <w:rFonts w:ascii="仿宋_GB2312" w:hAnsi="宋体" w:eastAsia="仿宋_GB2312" w:cs="仿宋_GB2312"/>
          <w:color w:val="000000"/>
          <w:kern w:val="0"/>
          <w:sz w:val="32"/>
          <w:szCs w:val="32"/>
          <w:lang w:val="en-US" w:eastAsia="zh-CN" w:bidi="ar"/>
        </w:rPr>
        <w:t>万元，主</w:t>
      </w:r>
      <w:r>
        <w:rPr>
          <w:rFonts w:hint="eastAsia" w:ascii="仿宋_GB2312" w:hAnsi="宋体" w:eastAsia="仿宋_GB2312" w:cs="仿宋_GB2312"/>
          <w:color w:val="000000"/>
          <w:kern w:val="0"/>
          <w:sz w:val="32"/>
          <w:szCs w:val="32"/>
          <w:lang w:val="en-US" w:eastAsia="zh-CN" w:bidi="ar"/>
        </w:rPr>
        <w:t>要是单位为完成特定行政工作任务或事业发展目标而发生的支出</w:t>
      </w:r>
      <w:r>
        <w:rPr>
          <w:rFonts w:hint="eastAsia" w:ascii="仿宋_GB2312" w:hAnsi="宋体" w:eastAsia="仿宋_GB2312" w:cs="仿宋_GB2312"/>
          <w:color w:val="000000"/>
          <w:kern w:val="0"/>
          <w:sz w:val="32"/>
          <w:szCs w:val="32"/>
          <w:u w:val="none"/>
          <w:lang w:val="en-US" w:eastAsia="zh-CN" w:bidi="ar"/>
        </w:rPr>
        <w:t>，包括有关事业发展专项、资本性支出等。其中：一般公共预算支出155.88万元（包含安全隐患治理整改补助资金5万元、业务用房维修专项90.89万元、清查处置闲置国有资产资源奖励工作经费5万元、2022年全年债务化解攻坚战考核奖励1.25万元、党代表活动专项经费3.3万元、业务性专项26.7万元);国有资本经营预算支出259.79万元（包含</w:t>
      </w:r>
      <w:r>
        <w:rPr>
          <w:rFonts w:hint="eastAsia" w:ascii="仿宋_GB2312" w:hAnsi="宋体" w:eastAsia="仿宋_GB2312" w:cs="仿宋_GB2312"/>
          <w:color w:val="000000"/>
          <w:kern w:val="0"/>
          <w:sz w:val="31"/>
          <w:szCs w:val="31"/>
          <w:u w:val="none"/>
          <w:lang w:val="en-US" w:eastAsia="zh-CN" w:bidi="ar"/>
        </w:rPr>
        <w:t>委托业务费</w:t>
      </w:r>
      <w:r>
        <w:rPr>
          <w:rFonts w:hint="eastAsia" w:ascii="仿宋_GB2312" w:hAnsi="宋体" w:eastAsia="仿宋_GB2312" w:cs="仿宋_GB2312"/>
          <w:color w:val="000000"/>
          <w:kern w:val="0"/>
          <w:sz w:val="31"/>
          <w:szCs w:val="31"/>
          <w:highlight w:val="none"/>
          <w:u w:val="none"/>
          <w:lang w:val="en-US" w:eastAsia="zh-CN" w:bidi="ar"/>
        </w:rPr>
        <w:t>216.55</w:t>
      </w:r>
      <w:r>
        <w:rPr>
          <w:rFonts w:hint="eastAsia" w:ascii="仿宋_GB2312" w:hAnsi="宋体" w:eastAsia="仿宋_GB2312" w:cs="仿宋_GB2312"/>
          <w:color w:val="000000"/>
          <w:kern w:val="0"/>
          <w:sz w:val="31"/>
          <w:szCs w:val="31"/>
          <w:u w:val="none"/>
          <w:lang w:val="en-US" w:eastAsia="zh-CN" w:bidi="ar"/>
        </w:rPr>
        <w:t>万元、专项工作经费3.24万元、帮扶专项经费</w:t>
      </w:r>
      <w:r>
        <w:rPr>
          <w:rFonts w:hint="eastAsia" w:ascii="仿宋_GB2312" w:hAnsi="宋体" w:eastAsia="仿宋_GB2312" w:cs="仿宋_GB2312"/>
          <w:color w:val="000000"/>
          <w:kern w:val="0"/>
          <w:sz w:val="31"/>
          <w:szCs w:val="31"/>
          <w:highlight w:val="none"/>
          <w:u w:val="none"/>
          <w:lang w:val="en-US" w:eastAsia="zh-CN" w:bidi="ar"/>
        </w:rPr>
        <w:t>40</w:t>
      </w:r>
      <w:r>
        <w:rPr>
          <w:rFonts w:hint="eastAsia" w:ascii="仿宋_GB2312" w:hAnsi="宋体" w:eastAsia="仿宋_GB2312" w:cs="仿宋_GB2312"/>
          <w:color w:val="000000"/>
          <w:kern w:val="0"/>
          <w:sz w:val="31"/>
          <w:szCs w:val="31"/>
          <w:u w:val="none"/>
          <w:lang w:val="en-US" w:eastAsia="zh-CN" w:bidi="ar"/>
        </w:rPr>
        <w:t>万元</w:t>
      </w:r>
      <w:r>
        <w:rPr>
          <w:rFonts w:hint="eastAsia" w:ascii="仿宋_GB2312" w:hAnsi="宋体" w:eastAsia="仿宋_GB2312" w:cs="仿宋_GB2312"/>
          <w:color w:val="000000"/>
          <w:kern w:val="0"/>
          <w:sz w:val="32"/>
          <w:szCs w:val="32"/>
          <w:u w:val="none"/>
          <w:lang w:val="en-US" w:eastAsia="zh-CN" w:bidi="ar"/>
        </w:rPr>
        <w:t>）。</w:t>
      </w:r>
    </w:p>
    <w:p w14:paraId="4EC0384E">
      <w:pPr>
        <w:keepNext w:val="0"/>
        <w:keepLines w:val="0"/>
        <w:pageBreakBefore w:val="0"/>
        <w:widowControl/>
        <w:numPr>
          <w:ilvl w:val="0"/>
          <w:numId w:val="0"/>
        </w:numPr>
        <w:suppressLineNumbers w:val="0"/>
        <w:kinsoku/>
        <w:wordWrap/>
        <w:overflowPunct/>
        <w:topLinePunct w:val="0"/>
        <w:autoSpaceDE/>
        <w:autoSpaceDN/>
        <w:bidi w:val="0"/>
        <w:spacing w:line="560" w:lineRule="exact"/>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    2.效益指标</w:t>
      </w:r>
    </w:p>
    <w:p w14:paraId="03E65E0A">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0"/>
        <w:jc w:val="both"/>
        <w:textAlignment w:val="auto"/>
        <w:rPr>
          <w:rFonts w:hint="default" w:ascii="仿宋_GB2312" w:hAnsi="宋体" w:eastAsia="仿宋_GB2312" w:cs="仿宋_GB2312"/>
          <w:color w:val="000000"/>
          <w:kern w:val="0"/>
          <w:sz w:val="32"/>
          <w:szCs w:val="32"/>
          <w:u w:val="none"/>
          <w:lang w:val="en-US" w:eastAsia="zh-CN" w:bidi="ar"/>
        </w:rPr>
      </w:pPr>
      <w:r>
        <w:rPr>
          <w:rFonts w:hint="eastAsia" w:ascii="仿宋_GB2312" w:hAnsi="宋体" w:eastAsia="仿宋_GB2312" w:cs="仿宋_GB2312"/>
          <w:color w:val="000000"/>
          <w:kern w:val="0"/>
          <w:sz w:val="32"/>
          <w:szCs w:val="32"/>
          <w:u w:val="none"/>
          <w:lang w:val="en-US" w:eastAsia="zh-CN" w:bidi="ar"/>
        </w:rPr>
        <w:t>①</w:t>
      </w:r>
      <w:r>
        <w:rPr>
          <w:rFonts w:hint="default" w:ascii="仿宋_GB2312" w:hAnsi="宋体" w:eastAsia="仿宋_GB2312" w:cs="仿宋_GB2312"/>
          <w:color w:val="000000"/>
          <w:kern w:val="0"/>
          <w:sz w:val="32"/>
          <w:szCs w:val="32"/>
          <w:u w:val="none"/>
          <w:lang w:val="en-US" w:eastAsia="zh-CN" w:bidi="ar"/>
        </w:rPr>
        <w:t>认真落实“项目攻坚年”有关工作要求，加强统筹调度，实行挂图作战。截至10月末，按形象进度累计完成投资120.22亿元，同比增长98.94%，完成年度计划的79.29%。一是战略性项目初见成效。湘粤非铁海联运发运400列，年营业收入预计将超过1.5亿元；B保中心进出区贸易额8亿元，在全国排名37位；设立规模为1.9亿元的专精特新投资基金；参与设立先进产业集群母基金、省制造业转型升级基金、高分子新材料基金，总规模102.15亿元。二是招商类项目加速推进。国资系统计划招商项目数总计40个，预计总投资约177亿元。目前已与株洲中车时代电气股份有限公司、中国航天建设集团、中国建筑第五工程局有限公司等企业签约合作项目共12个，签约金额74.9亿元。</w:t>
      </w:r>
    </w:p>
    <w:p w14:paraId="5D5D27BC">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0"/>
        <w:jc w:val="both"/>
        <w:textAlignment w:val="auto"/>
        <w:rPr>
          <w:rFonts w:hint="default" w:ascii="仿宋_GB2312" w:hAnsi="宋体" w:eastAsia="仿宋_GB2312" w:cs="仿宋_GB2312"/>
          <w:color w:val="000000"/>
          <w:kern w:val="0"/>
          <w:sz w:val="32"/>
          <w:szCs w:val="32"/>
          <w:u w:val="none"/>
          <w:lang w:val="en-US" w:eastAsia="zh-CN" w:bidi="ar"/>
        </w:rPr>
      </w:pPr>
      <w:r>
        <w:rPr>
          <w:rFonts w:hint="eastAsia" w:ascii="仿宋_GB2312" w:hAnsi="宋体" w:eastAsia="仿宋_GB2312" w:cs="仿宋_GB2312"/>
          <w:color w:val="000000"/>
          <w:kern w:val="0"/>
          <w:sz w:val="32"/>
          <w:szCs w:val="32"/>
          <w:u w:val="none"/>
          <w:lang w:val="en-US" w:eastAsia="zh-CN" w:bidi="ar"/>
        </w:rPr>
        <w:t>②</w:t>
      </w:r>
      <w:r>
        <w:rPr>
          <w:rFonts w:hint="default" w:ascii="仿宋_GB2312" w:hAnsi="宋体" w:eastAsia="仿宋_GB2312" w:cs="仿宋_GB2312"/>
          <w:color w:val="000000"/>
          <w:kern w:val="0"/>
          <w:sz w:val="32"/>
          <w:szCs w:val="32"/>
          <w:u w:val="none"/>
          <w:lang w:val="en-US" w:eastAsia="zh-CN" w:bidi="ar"/>
        </w:rPr>
        <w:t>大力推动国企“三资”盘活，截至10月底，共盘活处置资产账面净值62.79亿元，实现资产盘活处置收入10.04亿元。“资产超市”被纳入全省国有“三资”清查处置与管理改革典型案例。另新增资产盘活收入目标70亿元，以此补充财政国库收入。进一步完善现代企业治理体系，制定《“董事会规范建设年”暨公司治理示范企业创建活动实施方案》，出台《董事会和董事工作报告规定》《外部董事选聘和管理办法》《董事会和董事考核评价办法》等文件，35家二级子公司、23家三级子公司纳入董事会应建尽建范围，完成6家市属国有企业董事会调整配备。撤销市属国有独资公司监事会，将原监事会有关职能由董事会下设的审计与风险委员会负责。三是不断巩固推进降本增效改革。起草《持续推进“降本增效”激励办法（试行）》，将“降本增效”指标与企业工资总额浮动全面挂钩，并纳入集团领导班子综合业绩考核。截至10月底，监管企业职工人数较年初减少2.2%、共175人；人工成本发生数8.69亿元、同比下降3.87%；建设项目核减金额6.8亿元、核减率33%；“三大集团”可控经费同比下降23.16%、中介服务费同比下降38.65%。</w:t>
      </w:r>
    </w:p>
    <w:p w14:paraId="764EF46A">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0"/>
        <w:jc w:val="both"/>
        <w:textAlignment w:val="auto"/>
        <w:rPr>
          <w:rFonts w:hint="default" w:ascii="仿宋_GB2312" w:hAnsi="宋体" w:eastAsia="仿宋_GB2312" w:cs="仿宋_GB2312"/>
          <w:color w:val="000000"/>
          <w:kern w:val="0"/>
          <w:sz w:val="32"/>
          <w:szCs w:val="32"/>
          <w:u w:val="none"/>
          <w:lang w:val="en-US" w:eastAsia="zh-CN" w:bidi="ar"/>
        </w:rPr>
      </w:pPr>
      <w:r>
        <w:rPr>
          <w:rFonts w:hint="eastAsia" w:ascii="仿宋_GB2312" w:hAnsi="宋体" w:eastAsia="仿宋_GB2312" w:cs="仿宋_GB2312"/>
          <w:color w:val="000000"/>
          <w:kern w:val="0"/>
          <w:sz w:val="32"/>
          <w:szCs w:val="32"/>
          <w:u w:val="none"/>
          <w:lang w:val="en-US" w:eastAsia="zh-CN" w:bidi="ar"/>
        </w:rPr>
        <w:t>③</w:t>
      </w:r>
      <w:r>
        <w:rPr>
          <w:rFonts w:hint="default" w:ascii="仿宋_GB2312" w:hAnsi="宋体" w:eastAsia="仿宋_GB2312" w:cs="仿宋_GB2312"/>
          <w:color w:val="000000"/>
          <w:kern w:val="0"/>
          <w:sz w:val="32"/>
          <w:szCs w:val="32"/>
          <w:u w:val="none"/>
          <w:lang w:val="en-US" w:eastAsia="zh-CN" w:bidi="ar"/>
        </w:rPr>
        <w:t>严控高息债务新增。城发集团加强融资行为管控，科学制定融资项目公开比选方案，实行透明化和规范化融资，努力实现新增融资综合成本保持在5%以内，同时通过置换、降息等手段，由易到难次序推进存量高息债务处置工作。国投集团针对高息债务严格实行“一债一策”置换化解计划，集团本部8%以上债务全部清零。推动债务结构优化。今年的新增融资中，直接融资222.23亿元，间接融资250.27亿元，直接融资占比较上年末下降4.4个百分点，存量间融占比超过40%，刚兑压力得到有效减小。同时，增加项目贷款、政策性银行贷款，城发集团获保交楼低息贷款28亿元，政策性银行贷款超20亿元；国投集团发行专项债6.5亿元，政策性银行贷款超15亿元；资源集团抢抓国家政策“窗口期”，发行乡村振兴公司债券8.1亿元。有力夯实融资基础。大力推动市属国企内部资源整合，构建多层次信用格局，不断增强抗风险能力。新增清投控股、公用事业公司取得AA+信用评级，南洲发展公司取得AA信用评级，市属国企共有AA+信用评级公司5家、AA信用评级3家。目前，国投集团、城发集团正在抢抓机遇、积极部署、广泛对接，全力争取农历年前取得AAA信用评级，若能申报成功，将进一步提升株洲的信用水平，大幅降低融资成本、拓宽融资渠道，从而促进地方债务化解工作。</w:t>
      </w:r>
    </w:p>
    <w:p w14:paraId="550BE69C">
      <w:pPr>
        <w:keepNext w:val="0"/>
        <w:keepLines w:val="0"/>
        <w:pageBreakBefore w:val="0"/>
        <w:widowControl/>
        <w:numPr>
          <w:ilvl w:val="0"/>
          <w:numId w:val="0"/>
        </w:numPr>
        <w:suppressLineNumbers w:val="0"/>
        <w:kinsoku/>
        <w:wordWrap/>
        <w:overflowPunct/>
        <w:topLinePunct w:val="0"/>
        <w:autoSpaceDE/>
        <w:autoSpaceDN/>
        <w:bidi w:val="0"/>
        <w:spacing w:line="560" w:lineRule="exact"/>
        <w:ind w:firstLine="640"/>
        <w:jc w:val="left"/>
        <w:textAlignment w:val="auto"/>
        <w:rPr>
          <w:rFonts w:hint="default" w:ascii="仿宋_GB2312" w:hAnsi="宋体" w:eastAsia="仿宋_GB2312" w:cs="仿宋_GB2312"/>
          <w:color w:val="000000"/>
          <w:kern w:val="0"/>
          <w:sz w:val="32"/>
          <w:szCs w:val="32"/>
          <w:u w:val="none"/>
          <w:lang w:val="en-US" w:eastAsia="zh-CN" w:bidi="ar"/>
        </w:rPr>
      </w:pPr>
      <w:r>
        <w:rPr>
          <w:rFonts w:hint="eastAsia" w:ascii="仿宋_GB2312" w:hAnsi="宋体" w:eastAsia="仿宋_GB2312" w:cs="仿宋_GB2312"/>
          <w:color w:val="000000"/>
          <w:kern w:val="0"/>
          <w:sz w:val="32"/>
          <w:szCs w:val="32"/>
          <w:u w:val="none"/>
          <w:lang w:val="en-US" w:eastAsia="zh-CN" w:bidi="ar"/>
        </w:rPr>
        <w:t>④</w:t>
      </w:r>
      <w:r>
        <w:rPr>
          <w:rFonts w:hint="default" w:ascii="仿宋_GB2312" w:hAnsi="宋体" w:eastAsia="仿宋_GB2312" w:cs="仿宋_GB2312"/>
          <w:color w:val="000000"/>
          <w:kern w:val="0"/>
          <w:sz w:val="32"/>
          <w:szCs w:val="32"/>
          <w:u w:val="none"/>
          <w:lang w:val="en-US" w:eastAsia="zh-CN" w:bidi="ar"/>
        </w:rPr>
        <w:t>市国资委位列政务信息采用地州市第一，在国家级、省市级媒体发通讯稿302篇，推送的“湘粤非铁海联运”通讯获评全国优秀案例、水务集团获第四届全国供排水行业金剪刀视频展金奖。</w:t>
      </w:r>
    </w:p>
    <w:p w14:paraId="4E3DF80E">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（二）项目支出绩效情况</w:t>
      </w:r>
    </w:p>
    <w:p w14:paraId="2064ADB7">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仿宋_GB2312"/>
          <w:color w:val="000000"/>
          <w:kern w:val="0"/>
          <w:sz w:val="32"/>
          <w:szCs w:val="32"/>
          <w:u w:val="none"/>
          <w:lang w:val="en-US" w:eastAsia="zh-CN" w:bidi="ar"/>
        </w:rPr>
      </w:pPr>
      <w:r>
        <w:rPr>
          <w:rFonts w:ascii="仿宋_GB2312" w:hAnsi="宋体" w:eastAsia="仿宋_GB2312" w:cs="仿宋_GB2312"/>
          <w:color w:val="000000"/>
          <w:kern w:val="0"/>
          <w:sz w:val="32"/>
          <w:szCs w:val="32"/>
          <w:lang w:val="en-US" w:eastAsia="zh-CN" w:bidi="ar"/>
        </w:rPr>
        <w:t>202</w:t>
      </w:r>
      <w:r>
        <w:rPr>
          <w:rFonts w:hint="eastAsia" w:ascii="仿宋_GB2312" w:hAnsi="宋体" w:eastAsia="仿宋_GB2312" w:cs="仿宋_GB2312"/>
          <w:color w:val="000000"/>
          <w:kern w:val="0"/>
          <w:sz w:val="32"/>
          <w:szCs w:val="32"/>
          <w:lang w:val="en-US" w:eastAsia="zh-CN" w:bidi="ar"/>
        </w:rPr>
        <w:t>3</w:t>
      </w:r>
      <w:r>
        <w:rPr>
          <w:rFonts w:ascii="仿宋_GB2312" w:hAnsi="宋体" w:eastAsia="仿宋_GB2312" w:cs="仿宋_GB2312"/>
          <w:color w:val="000000"/>
          <w:kern w:val="0"/>
          <w:sz w:val="32"/>
          <w:szCs w:val="32"/>
          <w:lang w:val="en-US" w:eastAsia="zh-CN" w:bidi="ar"/>
        </w:rPr>
        <w:t xml:space="preserve"> 年本部门项目支出为</w:t>
      </w:r>
      <w:r>
        <w:rPr>
          <w:rFonts w:hint="eastAsia" w:ascii="仿宋_GB2312" w:hAnsi="宋体" w:eastAsia="仿宋_GB2312" w:cs="仿宋_GB2312"/>
          <w:color w:val="000000"/>
          <w:kern w:val="0"/>
          <w:sz w:val="32"/>
          <w:szCs w:val="32"/>
          <w:lang w:val="en-US" w:eastAsia="zh-CN" w:bidi="ar"/>
        </w:rPr>
        <w:t>415.67</w:t>
      </w:r>
      <w:r>
        <w:rPr>
          <w:rFonts w:ascii="仿宋_GB2312" w:hAnsi="宋体" w:eastAsia="仿宋_GB2312" w:cs="仿宋_GB2312"/>
          <w:color w:val="000000"/>
          <w:kern w:val="0"/>
          <w:sz w:val="32"/>
          <w:szCs w:val="32"/>
          <w:lang w:val="en-US" w:eastAsia="zh-CN" w:bidi="ar"/>
        </w:rPr>
        <w:t>万元，主</w:t>
      </w:r>
      <w:r>
        <w:rPr>
          <w:rFonts w:hint="eastAsia" w:ascii="仿宋_GB2312" w:hAnsi="宋体" w:eastAsia="仿宋_GB2312" w:cs="仿宋_GB2312"/>
          <w:color w:val="000000"/>
          <w:kern w:val="0"/>
          <w:sz w:val="32"/>
          <w:szCs w:val="32"/>
          <w:lang w:val="en-US" w:eastAsia="zh-CN" w:bidi="ar"/>
        </w:rPr>
        <w:t>要是单位为完成特定行政工作任务或事业发展目标而发生的支出</w:t>
      </w:r>
      <w:r>
        <w:rPr>
          <w:rFonts w:hint="eastAsia" w:ascii="仿宋_GB2312" w:hAnsi="宋体" w:eastAsia="仿宋_GB2312" w:cs="仿宋_GB2312"/>
          <w:color w:val="000000"/>
          <w:kern w:val="0"/>
          <w:sz w:val="32"/>
          <w:szCs w:val="32"/>
          <w:u w:val="none"/>
          <w:lang w:val="en-US" w:eastAsia="zh-CN" w:bidi="ar"/>
        </w:rPr>
        <w:t>，包括有关事业发展专项、资本性支出等。其中：一般公共预算支出155.88万元（包含安全隐患治理整改补助资金5万元、业务用房维修专项90.89万元、清查处置闲置国有资产资源奖励工作经费5万元、2022年全年债务化解攻坚战考核奖励1.25万元、党代表活动专项经费3.3万元、业务性专项26.7万元);国有资本经营预算支出259.79万元（包含委托业务费</w:t>
      </w:r>
      <w:r>
        <w:rPr>
          <w:rFonts w:hint="eastAsia" w:ascii="仿宋_GB2312" w:hAnsi="宋体" w:eastAsia="仿宋_GB2312" w:cs="仿宋_GB2312"/>
          <w:color w:val="000000"/>
          <w:kern w:val="0"/>
          <w:sz w:val="32"/>
          <w:szCs w:val="32"/>
          <w:highlight w:val="none"/>
          <w:u w:val="none"/>
          <w:lang w:val="en-US" w:eastAsia="zh-CN" w:bidi="ar"/>
        </w:rPr>
        <w:t>216.55</w:t>
      </w:r>
      <w:r>
        <w:rPr>
          <w:rFonts w:hint="eastAsia" w:ascii="仿宋_GB2312" w:hAnsi="宋体" w:eastAsia="仿宋_GB2312" w:cs="仿宋_GB2312"/>
          <w:color w:val="000000"/>
          <w:kern w:val="0"/>
          <w:sz w:val="32"/>
          <w:szCs w:val="32"/>
          <w:u w:val="none"/>
          <w:lang w:val="en-US" w:eastAsia="zh-CN" w:bidi="ar"/>
        </w:rPr>
        <w:t>万元、专项工作经费3.24万元、帮扶专项经费</w:t>
      </w:r>
      <w:r>
        <w:rPr>
          <w:rFonts w:hint="eastAsia" w:ascii="仿宋_GB2312" w:hAnsi="宋体" w:eastAsia="仿宋_GB2312" w:cs="仿宋_GB2312"/>
          <w:color w:val="000000"/>
          <w:kern w:val="0"/>
          <w:sz w:val="32"/>
          <w:szCs w:val="32"/>
          <w:highlight w:val="none"/>
          <w:u w:val="none"/>
          <w:lang w:val="en-US" w:eastAsia="zh-CN" w:bidi="ar"/>
        </w:rPr>
        <w:t>40</w:t>
      </w:r>
      <w:r>
        <w:rPr>
          <w:rFonts w:hint="eastAsia" w:ascii="仿宋_GB2312" w:hAnsi="宋体" w:eastAsia="仿宋_GB2312" w:cs="仿宋_GB2312"/>
          <w:color w:val="000000"/>
          <w:kern w:val="0"/>
          <w:sz w:val="32"/>
          <w:szCs w:val="32"/>
          <w:u w:val="none"/>
          <w:lang w:val="en-US" w:eastAsia="zh-CN" w:bidi="ar"/>
        </w:rPr>
        <w:t>万元）。</w:t>
      </w:r>
    </w:p>
    <w:p w14:paraId="6E4C5CA7">
      <w:pPr>
        <w:pStyle w:val="2"/>
        <w:rPr>
          <w:rFonts w:hint="default"/>
          <w:lang w:val="en-US" w:eastAsia="zh-CN"/>
        </w:rPr>
      </w:pPr>
      <w:r>
        <w:rPr>
          <w:rFonts w:hint="eastAsia" w:ascii="仿宋_GB2312" w:hAnsi="宋体" w:eastAsia="仿宋_GB2312" w:cs="仿宋_GB2312"/>
          <w:color w:val="000000"/>
          <w:kern w:val="0"/>
          <w:sz w:val="32"/>
          <w:szCs w:val="32"/>
          <w:u w:val="none"/>
          <w:lang w:val="en-US" w:eastAsia="zh-CN" w:bidi="ar"/>
        </w:rPr>
        <w:t xml:space="preserve">  主要项目具体详情如下：</w:t>
      </w:r>
    </w:p>
    <w:p w14:paraId="5F97FA51">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委托业务费</w:t>
      </w:r>
      <w:r>
        <w:rPr>
          <w:rFonts w:hint="eastAsia" w:ascii="仿宋_GB2312" w:hAnsi="仿宋_GB2312" w:eastAsia="仿宋_GB2312" w:cs="仿宋_GB2312"/>
          <w:sz w:val="32"/>
          <w:szCs w:val="32"/>
        </w:rPr>
        <w:t>项目</w:t>
      </w:r>
    </w:p>
    <w:p w14:paraId="5D973FF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项目支出</w:t>
      </w:r>
      <w:r>
        <w:rPr>
          <w:rFonts w:hint="eastAsia" w:ascii="仿宋_GB2312" w:hAnsi="仿宋_GB2312" w:eastAsia="仿宋_GB2312" w:cs="仿宋_GB2312"/>
          <w:sz w:val="32"/>
          <w:szCs w:val="32"/>
          <w:lang w:val="en-US" w:eastAsia="zh-CN"/>
        </w:rPr>
        <w:t>216.55</w:t>
      </w:r>
      <w:r>
        <w:rPr>
          <w:rFonts w:hint="eastAsia" w:ascii="仿宋_GB2312" w:hAnsi="仿宋_GB2312" w:eastAsia="仿宋_GB2312" w:cs="仿宋_GB2312"/>
          <w:sz w:val="32"/>
          <w:szCs w:val="32"/>
        </w:rPr>
        <w:t>万元，主要用于</w:t>
      </w:r>
      <w:r>
        <w:rPr>
          <w:rFonts w:hint="eastAsia" w:ascii="仿宋_GB2312" w:hAnsi="仿宋_GB2312" w:eastAsia="仿宋_GB2312" w:cs="仿宋_GB2312"/>
          <w:color w:val="000000"/>
          <w:kern w:val="0"/>
          <w:sz w:val="32"/>
          <w:szCs w:val="32"/>
          <w:lang w:val="en-US" w:eastAsia="zh-CN" w:bidi="ar"/>
        </w:rPr>
        <w:t xml:space="preserve">监管企业经营业绩考核审 </w:t>
      </w:r>
    </w:p>
    <w:p w14:paraId="2E946A96">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计、专项审计、三资盘活以及资产清查监督检查、市属国企资产盘活整合咨询服务、清廉国企宣传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其中：①监管企业经营业绩考核审计124.2万元；②监管企业专项审计62.2万元；③</w:t>
      </w:r>
      <w:r>
        <w:rPr>
          <w:rFonts w:hint="eastAsia" w:ascii="仿宋_GB2312" w:hAnsi="仿宋_GB2312" w:eastAsia="仿宋_GB2312" w:cs="仿宋_GB2312"/>
          <w:color w:val="000000"/>
          <w:kern w:val="0"/>
          <w:sz w:val="32"/>
          <w:szCs w:val="32"/>
          <w:lang w:val="en-US" w:eastAsia="zh-CN" w:bidi="ar"/>
        </w:rPr>
        <w:t>三资盘活以及资产清查监督检查服务按进度付款6.86万元；④市属国企资产盘活整合咨询服务9.8万元；⑤清廉国企宣传费用8万元；⑥网站维护运营按合同进度付款4.9万元；⑦国资系统国企改革案例评审活动工作经费0.59万元。</w:t>
      </w:r>
    </w:p>
    <w:p w14:paraId="7C57FCC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color w:val="000000"/>
          <w:kern w:val="0"/>
          <w:sz w:val="32"/>
          <w:szCs w:val="32"/>
          <w:lang w:val="en-US" w:eastAsia="zh-CN" w:bidi="ar"/>
        </w:rPr>
        <w:t>业务用房维修专项</w:t>
      </w:r>
    </w:p>
    <w:p w14:paraId="5D6CDB5E">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项目支出</w:t>
      </w:r>
      <w:r>
        <w:rPr>
          <w:rFonts w:hint="eastAsia" w:ascii="仿宋_GB2312" w:hAnsi="仿宋_GB2312" w:eastAsia="仿宋_GB2312" w:cs="仿宋_GB2312"/>
          <w:sz w:val="32"/>
          <w:szCs w:val="32"/>
          <w:lang w:val="en-US" w:eastAsia="zh-CN"/>
        </w:rPr>
        <w:t>90.89</w:t>
      </w:r>
      <w:r>
        <w:rPr>
          <w:rFonts w:hint="eastAsia" w:ascii="仿宋_GB2312" w:hAnsi="仿宋_GB2312" w:eastAsia="仿宋_GB2312" w:cs="仿宋_GB2312"/>
          <w:sz w:val="32"/>
          <w:szCs w:val="32"/>
        </w:rPr>
        <w:t>万元，</w:t>
      </w:r>
      <w:r>
        <w:rPr>
          <w:rFonts w:hint="eastAsia" w:ascii="仿宋_GB2312" w:hAnsi="仿宋_GB2312" w:eastAsia="仿宋_GB2312" w:cs="仿宋_GB2312"/>
          <w:color w:val="000000"/>
          <w:kern w:val="0"/>
          <w:sz w:val="32"/>
          <w:szCs w:val="32"/>
          <w:lang w:val="en-US" w:eastAsia="zh-CN" w:bidi="ar"/>
        </w:rPr>
        <w:t>主要用于市国资委及市纪委驻国资委纪检监察组、协查组业务用房维修项目，此项目2022 年已使用170.6万元，2023年对部分完工的项目进行了结款，但因财政评审、结算等还未出结果、部分项目约定了质保金，故余下经费结转至 2024年支付完毕。</w:t>
      </w:r>
    </w:p>
    <w:p w14:paraId="33B48794">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帮扶专项经费</w:t>
      </w:r>
    </w:p>
    <w:p w14:paraId="48F15CD7">
      <w:pPr>
        <w:pStyle w:val="2"/>
        <w:keepNext w:val="0"/>
        <w:keepLines w:val="0"/>
        <w:pageBreakBefore w:val="0"/>
        <w:kinsoku/>
        <w:wordWrap/>
        <w:overflowPunct/>
        <w:topLinePunct w:val="0"/>
        <w:autoSpaceDE/>
        <w:autoSpaceDN/>
        <w:bidi w:val="0"/>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项目支出40万元，主要用于特困企业特困职工帮扶、桃水煤矿维稳工作经费。其中：特困企业特困职工帮扶20万元；桃水煤矿维稳工作经费20万元。</w:t>
      </w:r>
    </w:p>
    <w:p w14:paraId="2AF34335">
      <w:pPr>
        <w:pStyle w:val="2"/>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（4）党代表活动专项经费</w:t>
      </w:r>
    </w:p>
    <w:p w14:paraId="2D914258">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项目支出3.3万元，主要用于党代表活动专项。其中：2 万 </w:t>
      </w:r>
    </w:p>
    <w:p w14:paraId="7CAD6F91">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元用于2023年第十四代表组（市国资委）党代表活动经费；1.3 </w:t>
      </w:r>
    </w:p>
    <w:p w14:paraId="60B8FEEC">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万元用于发放给第十四代表组中的生产和工作一线党代表年底 </w:t>
      </w:r>
    </w:p>
    <w:p w14:paraId="15FF32CD">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default" w:ascii="仿宋_GB2312" w:eastAsia="仿宋_GB2312" w:cs="Times New Roman"/>
          <w:kern w:val="2"/>
          <w:sz w:val="32"/>
          <w:szCs w:val="32"/>
          <w:lang w:val="en-US" w:eastAsia="zh-CN" w:bidi="ar-SA"/>
        </w:rPr>
      </w:pPr>
      <w:r>
        <w:rPr>
          <w:rFonts w:hint="eastAsia" w:ascii="仿宋_GB2312" w:hAnsi="仿宋_GB2312" w:eastAsia="仿宋_GB2312" w:cs="仿宋_GB2312"/>
          <w:color w:val="000000"/>
          <w:kern w:val="0"/>
          <w:sz w:val="32"/>
          <w:szCs w:val="32"/>
          <w:lang w:val="en-US" w:eastAsia="zh-CN" w:bidi="ar"/>
        </w:rPr>
        <w:t>走访慰问联系困难党员群众。</w:t>
      </w:r>
    </w:p>
    <w:p w14:paraId="73EB8226">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七、存在的问题及原因分析</w:t>
      </w:r>
    </w:p>
    <w:p w14:paraId="038A4944">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sz w:val="32"/>
          <w:szCs w:val="32"/>
        </w:rPr>
      </w:pPr>
      <w:r>
        <w:rPr>
          <w:rFonts w:ascii="仿宋_GB2312" w:hAnsi="宋体" w:eastAsia="仿宋_GB2312" w:cs="仿宋_GB2312"/>
          <w:color w:val="000000"/>
          <w:kern w:val="0"/>
          <w:sz w:val="32"/>
          <w:szCs w:val="32"/>
          <w:lang w:val="en-US" w:eastAsia="zh-CN" w:bidi="ar"/>
        </w:rPr>
        <w:t>财务支出进度有待改进。改进措施:加强财务管理,严格财务</w:t>
      </w:r>
      <w:r>
        <w:rPr>
          <w:rFonts w:hint="eastAsia" w:ascii="仿宋_GB2312" w:hAnsi="宋体" w:eastAsia="仿宋_GB2312" w:cs="仿宋_GB2312"/>
          <w:color w:val="000000"/>
          <w:kern w:val="0"/>
          <w:sz w:val="32"/>
          <w:szCs w:val="32"/>
          <w:lang w:val="en-US" w:eastAsia="zh-CN" w:bidi="ar"/>
        </w:rPr>
        <w:t xml:space="preserve">审核。加强单位财务管理,健全单位财务管理制度体系,规范单位财务行为。合理规范支出进度,虽然国有资本预算支出进度受到国有资本预算收益收缴影响,我委将做好规划,尽可能加快支付进度。 </w:t>
      </w:r>
    </w:p>
    <w:p w14:paraId="6A1ACAB4">
      <w:pPr>
        <w:keepNext w:val="0"/>
        <w:keepLines w:val="0"/>
        <w:pageBreakBefore w:val="0"/>
        <w:numPr>
          <w:ilvl w:val="0"/>
          <w:numId w:val="4"/>
        </w:numPr>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下一步改进措施</w:t>
      </w:r>
    </w:p>
    <w:p w14:paraId="7B221A70">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ascii="仿宋_GB2312" w:hAnsi="宋体" w:eastAsia="仿宋_GB2312" w:cs="仿宋_GB2312"/>
          <w:color w:val="000000"/>
          <w:kern w:val="0"/>
          <w:sz w:val="32"/>
          <w:szCs w:val="32"/>
          <w:lang w:val="en-US" w:eastAsia="zh-CN" w:bidi="ar"/>
        </w:rPr>
        <w:t xml:space="preserve">1、加强业务学习，提高综合素质； </w:t>
      </w:r>
    </w:p>
    <w:p w14:paraId="5397D746">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ascii="黑体" w:hAnsi="黑体" w:eastAsia="黑体"/>
          <w:sz w:val="32"/>
          <w:szCs w:val="32"/>
          <w:lang w:val="en-US" w:eastAsia="zh-CN"/>
        </w:rPr>
      </w:pPr>
      <w:r>
        <w:rPr>
          <w:rFonts w:hint="eastAsia" w:ascii="仿宋_GB2312" w:hAnsi="宋体" w:eastAsia="仿宋_GB2312" w:cs="仿宋_GB2312"/>
          <w:color w:val="000000"/>
          <w:kern w:val="0"/>
          <w:sz w:val="32"/>
          <w:szCs w:val="32"/>
          <w:lang w:val="en-US" w:eastAsia="zh-CN" w:bidi="ar"/>
        </w:rPr>
        <w:t>2、加强财务监督，提高管理水平。</w:t>
      </w:r>
    </w:p>
    <w:p w14:paraId="2A4B1C5F">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九、部门整体支出绩效自评结果拟应用和公开情况</w:t>
      </w:r>
    </w:p>
    <w:p w14:paraId="305DC33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仿宋_GB2312" w:eastAsia="仿宋_GB2312"/>
          <w:sz w:val="32"/>
          <w:szCs w:val="32"/>
        </w:rPr>
      </w:pPr>
      <w:r>
        <w:rPr>
          <w:rFonts w:ascii="仿宋_GB2312" w:hAnsi="宋体" w:eastAsia="仿宋_GB2312" w:cs="仿宋_GB2312"/>
          <w:color w:val="000000"/>
          <w:kern w:val="0"/>
          <w:sz w:val="32"/>
          <w:szCs w:val="32"/>
          <w:lang w:val="en-US" w:eastAsia="zh-CN" w:bidi="ar"/>
        </w:rPr>
        <w:t>根据</w:t>
      </w:r>
      <w:r>
        <w:rPr>
          <w:rFonts w:hint="eastAsia" w:ascii="仿宋_GB2312" w:hAnsi="宋体" w:eastAsia="仿宋_GB2312" w:cs="仿宋_GB2312"/>
          <w:color w:val="000000"/>
          <w:kern w:val="0"/>
          <w:sz w:val="32"/>
          <w:szCs w:val="32"/>
          <w:lang w:val="en-US" w:eastAsia="zh-CN" w:bidi="ar"/>
        </w:rPr>
        <w:t>2023</w:t>
      </w:r>
      <w:r>
        <w:rPr>
          <w:rFonts w:ascii="仿宋_GB2312" w:hAnsi="宋体" w:eastAsia="仿宋_GB2312" w:cs="仿宋_GB2312"/>
          <w:color w:val="000000"/>
          <w:kern w:val="0"/>
          <w:sz w:val="32"/>
          <w:szCs w:val="32"/>
          <w:lang w:val="en-US" w:eastAsia="zh-CN" w:bidi="ar"/>
        </w:rPr>
        <w:t>年度部门整体支出绩效自评表绩效评定指标对各</w:t>
      </w:r>
      <w:r>
        <w:rPr>
          <w:rFonts w:hint="eastAsia" w:ascii="仿宋_GB2312" w:hAnsi="宋体" w:eastAsia="仿宋_GB2312" w:cs="仿宋_GB2312"/>
          <w:color w:val="000000"/>
          <w:kern w:val="0"/>
          <w:sz w:val="32"/>
          <w:szCs w:val="32"/>
          <w:lang w:val="en-US" w:eastAsia="zh-CN" w:bidi="ar"/>
        </w:rPr>
        <w:t>项目量化评价，本单位自评指标得分100分</w:t>
      </w:r>
      <w:r>
        <w:rPr>
          <w:rFonts w:hint="eastAsia" w:ascii="仿宋_GB2312" w:eastAsia="仿宋_GB2312"/>
          <w:sz w:val="32"/>
          <w:szCs w:val="32"/>
        </w:rPr>
        <w:t>。</w:t>
      </w:r>
    </w:p>
    <w:p w14:paraId="5E8F2AC8">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其他需要说明的情况</w:t>
      </w:r>
    </w:p>
    <w:p w14:paraId="22EE9737">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无。</w:t>
      </w:r>
    </w:p>
    <w:p w14:paraId="289F0637">
      <w:pPr>
        <w:keepNext w:val="0"/>
        <w:keepLines w:val="0"/>
        <w:pageBreakBefore w:val="0"/>
        <w:tabs>
          <w:tab w:val="left" w:pos="7560"/>
        </w:tabs>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附件：2023年度部门整体支出绩效自评表</w:t>
      </w:r>
    </w:p>
    <w:p w14:paraId="6A1CAEE4">
      <w:pPr>
        <w:pStyle w:val="14"/>
        <w:rPr>
          <w:rFonts w:hint="eastAsia" w:ascii="仿宋_GB2312" w:eastAsia="仿宋_GB2312"/>
          <w:sz w:val="32"/>
          <w:szCs w:val="32"/>
          <w:highlight w:val="none"/>
        </w:rPr>
      </w:pPr>
    </w:p>
    <w:p w14:paraId="3B436595">
      <w:pPr>
        <w:rPr>
          <w:rFonts w:hint="eastAsia" w:ascii="仿宋_GB2312" w:eastAsia="仿宋_GB2312"/>
          <w:sz w:val="32"/>
          <w:szCs w:val="32"/>
          <w:highlight w:val="none"/>
        </w:rPr>
      </w:pPr>
    </w:p>
    <w:p w14:paraId="52636A50">
      <w:pPr>
        <w:pStyle w:val="14"/>
        <w:rPr>
          <w:rFonts w:hint="eastAsia" w:ascii="仿宋_GB2312" w:eastAsia="仿宋_GB2312"/>
          <w:sz w:val="32"/>
          <w:szCs w:val="32"/>
          <w:highlight w:val="none"/>
        </w:rPr>
      </w:pPr>
    </w:p>
    <w:p w14:paraId="2EEA4179">
      <w:pPr>
        <w:rPr>
          <w:rFonts w:hint="eastAsia" w:ascii="仿宋_GB2312" w:eastAsia="仿宋_GB2312"/>
          <w:sz w:val="32"/>
          <w:szCs w:val="32"/>
          <w:highlight w:val="none"/>
        </w:rPr>
      </w:pPr>
    </w:p>
    <w:p w14:paraId="11757172">
      <w:pPr>
        <w:pStyle w:val="14"/>
        <w:rPr>
          <w:rFonts w:hint="eastAsia" w:ascii="仿宋_GB2312" w:eastAsia="仿宋_GB2312"/>
          <w:sz w:val="32"/>
          <w:szCs w:val="32"/>
          <w:highlight w:val="none"/>
        </w:rPr>
      </w:pPr>
    </w:p>
    <w:p w14:paraId="17834359">
      <w:pPr>
        <w:rPr>
          <w:rFonts w:hint="eastAsia" w:ascii="仿宋_GB2312" w:eastAsia="仿宋_GB2312"/>
          <w:sz w:val="32"/>
          <w:szCs w:val="32"/>
          <w:highlight w:val="none"/>
        </w:rPr>
      </w:pPr>
    </w:p>
    <w:p w14:paraId="1E9557F3">
      <w:pPr>
        <w:pStyle w:val="14"/>
        <w:rPr>
          <w:rFonts w:hint="eastAsia" w:ascii="仿宋_GB2312" w:eastAsia="仿宋_GB2312"/>
          <w:sz w:val="32"/>
          <w:szCs w:val="32"/>
          <w:highlight w:val="none"/>
        </w:rPr>
      </w:pPr>
    </w:p>
    <w:p w14:paraId="7F5C981A">
      <w:pPr>
        <w:rPr>
          <w:rFonts w:hint="eastAsia" w:ascii="仿宋_GB2312" w:eastAsia="仿宋_GB2312"/>
          <w:sz w:val="32"/>
          <w:szCs w:val="32"/>
          <w:highlight w:val="none"/>
        </w:rPr>
      </w:pPr>
    </w:p>
    <w:p w14:paraId="68353895">
      <w:pPr>
        <w:pStyle w:val="14"/>
        <w:rPr>
          <w:rFonts w:hint="eastAsia" w:ascii="仿宋_GB2312" w:eastAsia="仿宋_GB2312"/>
          <w:sz w:val="32"/>
          <w:szCs w:val="32"/>
          <w:highlight w:val="none"/>
        </w:rPr>
      </w:pPr>
    </w:p>
    <w:p w14:paraId="379AD509">
      <w:pPr>
        <w:rPr>
          <w:rFonts w:hint="eastAsia" w:ascii="仿宋_GB2312" w:eastAsia="仿宋_GB2312"/>
          <w:sz w:val="32"/>
          <w:szCs w:val="32"/>
          <w:highlight w:val="none"/>
        </w:rPr>
      </w:pPr>
    </w:p>
    <w:p w14:paraId="348A5BD3">
      <w:pPr>
        <w:pStyle w:val="14"/>
        <w:rPr>
          <w:rFonts w:hint="eastAsia" w:ascii="仿宋_GB2312" w:eastAsia="仿宋_GB2312"/>
          <w:sz w:val="32"/>
          <w:szCs w:val="32"/>
          <w:highlight w:val="none"/>
        </w:rPr>
      </w:pPr>
    </w:p>
    <w:p w14:paraId="2F5944F3">
      <w:pPr>
        <w:rPr>
          <w:rFonts w:hint="eastAsia" w:ascii="仿宋_GB2312" w:eastAsia="仿宋_GB2312"/>
          <w:sz w:val="32"/>
          <w:szCs w:val="32"/>
          <w:highlight w:val="none"/>
        </w:rPr>
      </w:pPr>
    </w:p>
    <w:p w14:paraId="6A092AD1">
      <w:pPr>
        <w:pStyle w:val="14"/>
        <w:rPr>
          <w:rFonts w:hint="eastAsia" w:ascii="仿宋_GB2312" w:eastAsia="仿宋_GB2312"/>
          <w:sz w:val="32"/>
          <w:szCs w:val="32"/>
          <w:highlight w:val="none"/>
        </w:rPr>
      </w:pPr>
    </w:p>
    <w:p w14:paraId="4C807EBF">
      <w:pPr>
        <w:rPr>
          <w:rFonts w:hint="eastAsia"/>
        </w:rPr>
      </w:pPr>
    </w:p>
    <w:p w14:paraId="70C50DE7">
      <w:pPr>
        <w:pStyle w:val="14"/>
        <w:rPr>
          <w:rFonts w:hint="eastAsia" w:ascii="仿宋_GB2312" w:eastAsia="仿宋_GB2312"/>
          <w:sz w:val="32"/>
          <w:szCs w:val="32"/>
          <w:highlight w:val="none"/>
        </w:rPr>
      </w:pPr>
    </w:p>
    <w:p w14:paraId="3E8116B0">
      <w:pPr>
        <w:rPr>
          <w:rFonts w:hint="eastAsia" w:ascii="仿宋_GB2312" w:eastAsia="仿宋_GB2312"/>
          <w:sz w:val="32"/>
          <w:szCs w:val="32"/>
          <w:highlight w:val="none"/>
        </w:rPr>
      </w:pPr>
    </w:p>
    <w:p w14:paraId="1E643A2F">
      <w:pPr>
        <w:pStyle w:val="14"/>
        <w:rPr>
          <w:rFonts w:hint="eastAsia" w:ascii="仿宋_GB2312" w:eastAsia="仿宋_GB2312"/>
          <w:sz w:val="32"/>
          <w:szCs w:val="32"/>
          <w:highlight w:val="none"/>
        </w:rPr>
      </w:pPr>
    </w:p>
    <w:p w14:paraId="6AE37949">
      <w:pPr>
        <w:rPr>
          <w:rFonts w:hint="eastAsia" w:ascii="仿宋_GB2312" w:eastAsia="仿宋_GB2312"/>
          <w:sz w:val="32"/>
          <w:szCs w:val="32"/>
          <w:highlight w:val="none"/>
        </w:rPr>
      </w:pPr>
    </w:p>
    <w:p w14:paraId="7BCFBDD6">
      <w:pPr>
        <w:rPr>
          <w:rFonts w:hint="eastAsia" w:ascii="仿宋_GB2312" w:eastAsia="仿宋_GB2312"/>
          <w:sz w:val="32"/>
          <w:szCs w:val="32"/>
          <w:highlight w:val="none"/>
        </w:rPr>
      </w:pPr>
    </w:p>
    <w:p w14:paraId="51C51722">
      <w:pPr>
        <w:rPr>
          <w:rFonts w:hint="eastAsia" w:ascii="仿宋_GB2312" w:eastAsia="仿宋_GB2312"/>
          <w:sz w:val="32"/>
          <w:szCs w:val="32"/>
          <w:highlight w:val="none"/>
        </w:rPr>
      </w:pPr>
    </w:p>
    <w:p w14:paraId="49E7F4FD">
      <w:pPr>
        <w:rPr>
          <w:rFonts w:hint="eastAsia" w:ascii="仿宋_GB2312" w:eastAsia="仿宋_GB2312"/>
          <w:sz w:val="32"/>
          <w:szCs w:val="32"/>
          <w:highlight w:val="none"/>
        </w:rPr>
      </w:pPr>
    </w:p>
    <w:p w14:paraId="1BB6B3F3">
      <w:pPr>
        <w:rPr>
          <w:rFonts w:hint="eastAsia" w:ascii="仿宋_GB2312" w:eastAsia="仿宋_GB2312"/>
          <w:sz w:val="32"/>
          <w:szCs w:val="32"/>
          <w:highlight w:val="none"/>
        </w:rPr>
      </w:pPr>
    </w:p>
    <w:p w14:paraId="2503D6FD">
      <w:pPr>
        <w:rPr>
          <w:rFonts w:hint="eastAsia" w:ascii="仿宋_GB2312" w:eastAsia="仿宋_GB2312"/>
          <w:sz w:val="32"/>
          <w:szCs w:val="32"/>
          <w:highlight w:val="none"/>
        </w:rPr>
      </w:pPr>
    </w:p>
    <w:p w14:paraId="1821B4AF">
      <w:pPr>
        <w:rPr>
          <w:rFonts w:hint="eastAsia" w:ascii="仿宋_GB2312" w:eastAsia="仿宋_GB2312"/>
          <w:sz w:val="32"/>
          <w:szCs w:val="32"/>
          <w:highlight w:val="none"/>
        </w:rPr>
      </w:pPr>
    </w:p>
    <w:p w14:paraId="59E463AB">
      <w:pPr>
        <w:rPr>
          <w:rFonts w:hint="eastAsia" w:ascii="仿宋_GB2312" w:eastAsia="仿宋_GB2312"/>
          <w:sz w:val="32"/>
          <w:szCs w:val="32"/>
          <w:highlight w:val="none"/>
        </w:rPr>
      </w:pPr>
    </w:p>
    <w:p w14:paraId="3EF020DF">
      <w:pPr>
        <w:rPr>
          <w:rFonts w:hint="eastAsia" w:ascii="仿宋_GB2312" w:eastAsia="仿宋_GB2312"/>
          <w:sz w:val="32"/>
          <w:szCs w:val="32"/>
          <w:highlight w:val="none"/>
        </w:rPr>
      </w:pPr>
    </w:p>
    <w:p w14:paraId="2D67D496">
      <w:pPr>
        <w:rPr>
          <w:rFonts w:hint="eastAsia" w:ascii="仿宋_GB2312" w:eastAsia="仿宋_GB2312"/>
          <w:sz w:val="32"/>
          <w:szCs w:val="32"/>
          <w:highlight w:val="none"/>
        </w:rPr>
      </w:pPr>
    </w:p>
    <w:p w14:paraId="0D323371">
      <w:pPr>
        <w:rPr>
          <w:rFonts w:hint="eastAsia" w:ascii="仿宋_GB2312" w:eastAsia="仿宋_GB2312"/>
          <w:sz w:val="32"/>
          <w:szCs w:val="32"/>
          <w:highlight w:val="none"/>
        </w:rPr>
      </w:pPr>
    </w:p>
    <w:p w14:paraId="1A83B7D8">
      <w:pPr>
        <w:pStyle w:val="14"/>
        <w:rPr>
          <w:rFonts w:hint="eastAsia" w:ascii="仿宋_GB2312" w:eastAsia="仿宋_GB2312"/>
          <w:sz w:val="32"/>
          <w:szCs w:val="32"/>
          <w:highlight w:val="none"/>
        </w:rPr>
      </w:pPr>
    </w:p>
    <w:p w14:paraId="48579E18">
      <w:pPr>
        <w:rPr>
          <w:rFonts w:hint="eastAsia"/>
        </w:rPr>
      </w:pPr>
    </w:p>
    <w:p w14:paraId="129674BB">
      <w:pPr>
        <w:widowControl/>
        <w:jc w:val="left"/>
        <w:rPr>
          <w:rFonts w:eastAsia="黑体"/>
          <w:sz w:val="32"/>
          <w:szCs w:val="32"/>
        </w:rPr>
      </w:pPr>
      <w:r>
        <w:rPr>
          <w:rFonts w:eastAsia="黑体"/>
          <w:sz w:val="32"/>
          <w:szCs w:val="32"/>
        </w:rPr>
        <w:t>附件</w:t>
      </w:r>
    </w:p>
    <w:p w14:paraId="648A5080">
      <w:pPr>
        <w:widowControl/>
        <w:spacing w:after="120" w:afterLines="50"/>
        <w:jc w:val="center"/>
        <w:rPr>
          <w:rFonts w:hint="eastAsia" w:ascii="方正大标宋简体" w:eastAsia="方正大标宋简体"/>
          <w:color w:val="000000"/>
          <w:sz w:val="36"/>
          <w:szCs w:val="36"/>
        </w:rPr>
      </w:pPr>
      <w:r>
        <w:rPr>
          <w:rFonts w:hint="eastAsia" w:ascii="方正大标宋简体" w:eastAsia="方正大标宋简体"/>
          <w:color w:val="000000"/>
          <w:sz w:val="36"/>
          <w:szCs w:val="36"/>
        </w:rPr>
        <w:t>2023年度部门（单位）整体支出绩效自评表</w:t>
      </w:r>
    </w:p>
    <w:tbl>
      <w:tblPr>
        <w:tblStyle w:val="11"/>
        <w:tblW w:w="10079" w:type="dxa"/>
        <w:jc w:val="center"/>
        <w:tblLayout w:type="autofit"/>
        <w:tblCellMar>
          <w:top w:w="0" w:type="dxa"/>
          <w:left w:w="108" w:type="dxa"/>
          <w:bottom w:w="0" w:type="dxa"/>
          <w:right w:w="108" w:type="dxa"/>
        </w:tblCellMar>
      </w:tblPr>
      <w:tblGrid>
        <w:gridCol w:w="1080"/>
        <w:gridCol w:w="1080"/>
        <w:gridCol w:w="1098"/>
        <w:gridCol w:w="1338"/>
        <w:gridCol w:w="1179"/>
        <w:gridCol w:w="1269"/>
        <w:gridCol w:w="716"/>
        <w:gridCol w:w="873"/>
        <w:gridCol w:w="1446"/>
      </w:tblGrid>
      <w:tr w14:paraId="5E78B67D">
        <w:tblPrEx>
          <w:tblCellMar>
            <w:top w:w="0" w:type="dxa"/>
            <w:left w:w="108" w:type="dxa"/>
            <w:bottom w:w="0" w:type="dxa"/>
            <w:right w:w="108" w:type="dxa"/>
          </w:tblCellMar>
        </w:tblPrEx>
        <w:trPr>
          <w:trHeight w:val="293" w:hRule="atLeast"/>
          <w:jc w:val="center"/>
        </w:trPr>
        <w:tc>
          <w:tcPr>
            <w:tcW w:w="3258" w:type="dxa"/>
            <w:gridSpan w:val="3"/>
            <w:tcBorders>
              <w:top w:val="single" w:color="auto" w:sz="4" w:space="0"/>
              <w:left w:val="single" w:color="auto" w:sz="4" w:space="0"/>
              <w:bottom w:val="single" w:color="auto" w:sz="4" w:space="0"/>
              <w:right w:val="single" w:color="auto" w:sz="4" w:space="0"/>
            </w:tcBorders>
            <w:noWrap w:val="0"/>
            <w:vAlign w:val="center"/>
          </w:tcPr>
          <w:p w14:paraId="3611B76D">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市级预算部门（单位）名称</w:t>
            </w:r>
          </w:p>
        </w:tc>
        <w:tc>
          <w:tcPr>
            <w:tcW w:w="6821" w:type="dxa"/>
            <w:gridSpan w:val="6"/>
            <w:tcBorders>
              <w:top w:val="single" w:color="auto" w:sz="4" w:space="0"/>
              <w:left w:val="nil"/>
              <w:bottom w:val="single" w:color="auto" w:sz="4" w:space="0"/>
              <w:right w:val="single" w:color="auto" w:sz="4" w:space="0"/>
            </w:tcBorders>
            <w:noWrap w:val="0"/>
            <w:vAlign w:val="center"/>
          </w:tcPr>
          <w:p w14:paraId="7C5077C8">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lang w:val="en-US" w:eastAsia="zh-CN"/>
              </w:rPr>
              <w:t>株洲市人民政府国有资产监督管理委员会</w:t>
            </w:r>
            <w:r>
              <w:rPr>
                <w:rFonts w:hint="eastAsia" w:ascii="仿宋_GB2312" w:eastAsia="仿宋_GB2312"/>
                <w:color w:val="000000"/>
                <w:sz w:val="20"/>
                <w:szCs w:val="20"/>
              </w:rPr>
              <w:t>　</w:t>
            </w:r>
          </w:p>
        </w:tc>
      </w:tr>
      <w:tr w14:paraId="5689F89B">
        <w:tblPrEx>
          <w:tblCellMar>
            <w:top w:w="0" w:type="dxa"/>
            <w:left w:w="108" w:type="dxa"/>
            <w:bottom w:w="0" w:type="dxa"/>
            <w:right w:w="108" w:type="dxa"/>
          </w:tblCellMar>
        </w:tblPrEx>
        <w:trPr>
          <w:trHeight w:val="420" w:hRule="atLeast"/>
          <w:jc w:val="center"/>
        </w:trPr>
        <w:tc>
          <w:tcPr>
            <w:tcW w:w="1080" w:type="dxa"/>
            <w:vMerge w:val="restart"/>
            <w:tcBorders>
              <w:top w:val="nil"/>
              <w:left w:val="single" w:color="auto" w:sz="4" w:space="0"/>
              <w:right w:val="single" w:color="auto" w:sz="4" w:space="0"/>
            </w:tcBorders>
            <w:noWrap w:val="0"/>
            <w:vAlign w:val="center"/>
          </w:tcPr>
          <w:p w14:paraId="4ABCA244">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年度预</w:t>
            </w:r>
          </w:p>
          <w:p w14:paraId="3A19375B">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算申请</w:t>
            </w:r>
          </w:p>
          <w:p w14:paraId="0FDBB102">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（万元）</w:t>
            </w:r>
          </w:p>
        </w:tc>
        <w:tc>
          <w:tcPr>
            <w:tcW w:w="2178" w:type="dxa"/>
            <w:gridSpan w:val="2"/>
            <w:tcBorders>
              <w:top w:val="nil"/>
              <w:left w:val="nil"/>
              <w:bottom w:val="single" w:color="auto" w:sz="4" w:space="0"/>
              <w:right w:val="single" w:color="auto" w:sz="4" w:space="0"/>
            </w:tcBorders>
            <w:noWrap w:val="0"/>
            <w:vAlign w:val="center"/>
          </w:tcPr>
          <w:p w14:paraId="1D6F2CDD">
            <w:pPr>
              <w:spacing w:line="240" w:lineRule="exact"/>
              <w:jc w:val="center"/>
              <w:rPr>
                <w:rFonts w:hint="eastAsia" w:ascii="仿宋_GB2312" w:eastAsia="仿宋_GB2312"/>
                <w:sz w:val="20"/>
                <w:szCs w:val="20"/>
              </w:rPr>
            </w:pPr>
          </w:p>
        </w:tc>
        <w:tc>
          <w:tcPr>
            <w:tcW w:w="1338" w:type="dxa"/>
            <w:tcBorders>
              <w:top w:val="nil"/>
              <w:left w:val="nil"/>
              <w:bottom w:val="single" w:color="auto" w:sz="4" w:space="0"/>
              <w:right w:val="single" w:color="auto" w:sz="4" w:space="0"/>
            </w:tcBorders>
            <w:noWrap w:val="0"/>
            <w:vAlign w:val="center"/>
          </w:tcPr>
          <w:p w14:paraId="4305787B">
            <w:pPr>
              <w:spacing w:line="240" w:lineRule="exact"/>
              <w:jc w:val="center"/>
              <w:rPr>
                <w:rFonts w:hint="eastAsia" w:ascii="仿宋_GB2312" w:eastAsia="仿宋_GB2312"/>
                <w:sz w:val="20"/>
                <w:szCs w:val="20"/>
              </w:rPr>
            </w:pPr>
            <w:r>
              <w:rPr>
                <w:rFonts w:hint="eastAsia" w:ascii="仿宋_GB2312" w:eastAsia="仿宋_GB2312"/>
                <w:sz w:val="20"/>
                <w:szCs w:val="20"/>
              </w:rPr>
              <w:t>年初预算数</w:t>
            </w:r>
          </w:p>
        </w:tc>
        <w:tc>
          <w:tcPr>
            <w:tcW w:w="1179" w:type="dxa"/>
            <w:tcBorders>
              <w:top w:val="nil"/>
              <w:left w:val="nil"/>
              <w:bottom w:val="single" w:color="auto" w:sz="4" w:space="0"/>
              <w:right w:val="single" w:color="auto" w:sz="4" w:space="0"/>
            </w:tcBorders>
            <w:noWrap w:val="0"/>
            <w:vAlign w:val="center"/>
          </w:tcPr>
          <w:p w14:paraId="0AEB4A49">
            <w:pPr>
              <w:spacing w:line="240" w:lineRule="exact"/>
              <w:jc w:val="center"/>
              <w:rPr>
                <w:rFonts w:hint="eastAsia" w:ascii="仿宋_GB2312" w:eastAsia="仿宋_GB2312"/>
                <w:sz w:val="20"/>
                <w:szCs w:val="20"/>
              </w:rPr>
            </w:pPr>
            <w:r>
              <w:rPr>
                <w:rFonts w:hint="eastAsia" w:ascii="仿宋_GB2312" w:eastAsia="仿宋_GB2312"/>
                <w:sz w:val="20"/>
                <w:szCs w:val="20"/>
              </w:rPr>
              <w:t>全年预算数</w:t>
            </w:r>
          </w:p>
        </w:tc>
        <w:tc>
          <w:tcPr>
            <w:tcW w:w="1269" w:type="dxa"/>
            <w:tcBorders>
              <w:top w:val="nil"/>
              <w:left w:val="nil"/>
              <w:bottom w:val="single" w:color="auto" w:sz="4" w:space="0"/>
              <w:right w:val="single" w:color="auto" w:sz="4" w:space="0"/>
            </w:tcBorders>
            <w:noWrap w:val="0"/>
            <w:vAlign w:val="center"/>
          </w:tcPr>
          <w:p w14:paraId="63C0A3C2">
            <w:pPr>
              <w:spacing w:line="240" w:lineRule="exact"/>
              <w:jc w:val="center"/>
              <w:rPr>
                <w:rFonts w:hint="eastAsia" w:ascii="仿宋_GB2312" w:eastAsia="仿宋_GB2312"/>
                <w:sz w:val="20"/>
                <w:szCs w:val="20"/>
              </w:rPr>
            </w:pPr>
            <w:r>
              <w:rPr>
                <w:rFonts w:hint="eastAsia" w:ascii="仿宋_GB2312" w:eastAsia="仿宋_GB2312"/>
                <w:sz w:val="20"/>
                <w:szCs w:val="20"/>
              </w:rPr>
              <w:t>全年执行数</w:t>
            </w:r>
          </w:p>
        </w:tc>
        <w:tc>
          <w:tcPr>
            <w:tcW w:w="716" w:type="dxa"/>
            <w:tcBorders>
              <w:top w:val="nil"/>
              <w:left w:val="nil"/>
              <w:bottom w:val="single" w:color="auto" w:sz="4" w:space="0"/>
              <w:right w:val="single" w:color="auto" w:sz="4" w:space="0"/>
            </w:tcBorders>
            <w:noWrap w:val="0"/>
            <w:vAlign w:val="center"/>
          </w:tcPr>
          <w:p w14:paraId="48C16D70">
            <w:pPr>
              <w:spacing w:line="240" w:lineRule="exact"/>
              <w:jc w:val="center"/>
              <w:rPr>
                <w:rFonts w:hint="eastAsia" w:ascii="仿宋_GB2312" w:eastAsia="仿宋_GB2312"/>
                <w:sz w:val="20"/>
                <w:szCs w:val="20"/>
              </w:rPr>
            </w:pPr>
            <w:r>
              <w:rPr>
                <w:rFonts w:hint="eastAsia" w:ascii="仿宋_GB2312" w:eastAsia="仿宋_GB2312"/>
                <w:sz w:val="20"/>
                <w:szCs w:val="20"/>
              </w:rPr>
              <w:t>分值</w:t>
            </w:r>
          </w:p>
        </w:tc>
        <w:tc>
          <w:tcPr>
            <w:tcW w:w="873" w:type="dxa"/>
            <w:tcBorders>
              <w:top w:val="nil"/>
              <w:left w:val="nil"/>
              <w:bottom w:val="single" w:color="auto" w:sz="4" w:space="0"/>
              <w:right w:val="single" w:color="auto" w:sz="4" w:space="0"/>
            </w:tcBorders>
            <w:noWrap w:val="0"/>
            <w:vAlign w:val="center"/>
          </w:tcPr>
          <w:p w14:paraId="58D236F8">
            <w:pPr>
              <w:spacing w:line="240" w:lineRule="exact"/>
              <w:jc w:val="center"/>
              <w:rPr>
                <w:rFonts w:hint="eastAsia" w:ascii="仿宋_GB2312" w:eastAsia="仿宋_GB2312"/>
                <w:sz w:val="20"/>
                <w:szCs w:val="20"/>
              </w:rPr>
            </w:pPr>
            <w:r>
              <w:rPr>
                <w:rFonts w:hint="eastAsia" w:ascii="仿宋_GB2312" w:eastAsia="仿宋_GB2312"/>
                <w:sz w:val="20"/>
                <w:szCs w:val="20"/>
              </w:rPr>
              <w:t>执行率</w:t>
            </w:r>
          </w:p>
        </w:tc>
        <w:tc>
          <w:tcPr>
            <w:tcW w:w="1446" w:type="dxa"/>
            <w:tcBorders>
              <w:top w:val="nil"/>
              <w:left w:val="nil"/>
              <w:bottom w:val="single" w:color="auto" w:sz="4" w:space="0"/>
              <w:right w:val="single" w:color="auto" w:sz="4" w:space="0"/>
            </w:tcBorders>
            <w:noWrap w:val="0"/>
            <w:vAlign w:val="center"/>
          </w:tcPr>
          <w:p w14:paraId="550A7AEB">
            <w:pPr>
              <w:spacing w:line="240" w:lineRule="exact"/>
              <w:jc w:val="center"/>
              <w:rPr>
                <w:rFonts w:hint="eastAsia" w:ascii="仿宋_GB2312" w:eastAsia="仿宋_GB2312"/>
                <w:sz w:val="20"/>
                <w:szCs w:val="20"/>
              </w:rPr>
            </w:pPr>
            <w:r>
              <w:rPr>
                <w:rFonts w:hint="eastAsia" w:ascii="仿宋_GB2312" w:eastAsia="仿宋_GB2312"/>
                <w:sz w:val="20"/>
                <w:szCs w:val="20"/>
              </w:rPr>
              <w:t>得分</w:t>
            </w:r>
          </w:p>
        </w:tc>
      </w:tr>
      <w:tr w14:paraId="388419E1">
        <w:tblPrEx>
          <w:tblCellMar>
            <w:top w:w="0" w:type="dxa"/>
            <w:left w:w="108" w:type="dxa"/>
            <w:bottom w:w="0" w:type="dxa"/>
            <w:right w:w="108" w:type="dxa"/>
          </w:tblCellMar>
        </w:tblPrEx>
        <w:trPr>
          <w:trHeight w:val="254" w:hRule="atLeast"/>
          <w:jc w:val="center"/>
        </w:trPr>
        <w:tc>
          <w:tcPr>
            <w:tcW w:w="1080" w:type="dxa"/>
            <w:vMerge w:val="continue"/>
            <w:tcBorders>
              <w:top w:val="nil"/>
              <w:left w:val="single" w:color="auto" w:sz="4" w:space="0"/>
              <w:right w:val="single" w:color="auto" w:sz="4" w:space="0"/>
            </w:tcBorders>
            <w:noWrap w:val="0"/>
            <w:vAlign w:val="center"/>
          </w:tcPr>
          <w:p w14:paraId="07EC3D19">
            <w:pPr>
              <w:widowControl/>
              <w:spacing w:line="240" w:lineRule="exact"/>
              <w:jc w:val="center"/>
              <w:rPr>
                <w:rFonts w:hint="eastAsia" w:ascii="仿宋_GB2312" w:eastAsia="仿宋_GB2312"/>
                <w:color w:val="000000"/>
                <w:sz w:val="20"/>
                <w:szCs w:val="20"/>
              </w:rPr>
            </w:pPr>
          </w:p>
        </w:tc>
        <w:tc>
          <w:tcPr>
            <w:tcW w:w="2178" w:type="dxa"/>
            <w:gridSpan w:val="2"/>
            <w:tcBorders>
              <w:top w:val="nil"/>
              <w:left w:val="nil"/>
              <w:bottom w:val="single" w:color="auto" w:sz="4" w:space="0"/>
              <w:right w:val="single" w:color="auto" w:sz="4" w:space="0"/>
            </w:tcBorders>
            <w:noWrap w:val="0"/>
            <w:vAlign w:val="center"/>
          </w:tcPr>
          <w:p w14:paraId="5792A029">
            <w:pPr>
              <w:spacing w:line="240" w:lineRule="exact"/>
              <w:jc w:val="center"/>
              <w:rPr>
                <w:rFonts w:hint="eastAsia" w:ascii="仿宋_GB2312" w:eastAsia="仿宋_GB2312"/>
                <w:sz w:val="20"/>
                <w:szCs w:val="20"/>
              </w:rPr>
            </w:pPr>
            <w:r>
              <w:rPr>
                <w:rFonts w:hint="eastAsia" w:ascii="仿宋_GB2312" w:eastAsia="仿宋_GB2312"/>
                <w:color w:val="000000"/>
                <w:sz w:val="20"/>
                <w:szCs w:val="20"/>
              </w:rPr>
              <w:t>年度资金总额</w:t>
            </w:r>
          </w:p>
        </w:tc>
        <w:tc>
          <w:tcPr>
            <w:tcW w:w="1338" w:type="dxa"/>
            <w:tcBorders>
              <w:top w:val="nil"/>
              <w:left w:val="nil"/>
              <w:bottom w:val="single" w:color="auto" w:sz="4" w:space="0"/>
              <w:right w:val="single" w:color="auto" w:sz="4" w:space="0"/>
            </w:tcBorders>
            <w:noWrap w:val="0"/>
            <w:vAlign w:val="center"/>
          </w:tcPr>
          <w:p w14:paraId="17784014">
            <w:pPr>
              <w:spacing w:line="240" w:lineRule="exact"/>
              <w:jc w:val="center"/>
              <w:rPr>
                <w:rFonts w:hint="eastAsia" w:ascii="仿宋_GB2312" w:eastAsia="仿宋_GB2312"/>
                <w:sz w:val="20"/>
                <w:szCs w:val="20"/>
              </w:rPr>
            </w:pPr>
          </w:p>
        </w:tc>
        <w:tc>
          <w:tcPr>
            <w:tcW w:w="1179" w:type="dxa"/>
            <w:tcBorders>
              <w:top w:val="nil"/>
              <w:left w:val="nil"/>
              <w:bottom w:val="single" w:color="auto" w:sz="4" w:space="0"/>
              <w:right w:val="single" w:color="auto" w:sz="4" w:space="0"/>
            </w:tcBorders>
            <w:noWrap w:val="0"/>
            <w:vAlign w:val="center"/>
          </w:tcPr>
          <w:p w14:paraId="290C5C76">
            <w:pPr>
              <w:spacing w:line="240" w:lineRule="exact"/>
              <w:jc w:val="center"/>
              <w:rPr>
                <w:rFonts w:hint="eastAsia" w:ascii="仿宋_GB2312" w:eastAsia="仿宋_GB2312"/>
                <w:sz w:val="20"/>
                <w:szCs w:val="20"/>
              </w:rPr>
            </w:pPr>
          </w:p>
        </w:tc>
        <w:tc>
          <w:tcPr>
            <w:tcW w:w="1269" w:type="dxa"/>
            <w:tcBorders>
              <w:top w:val="nil"/>
              <w:left w:val="nil"/>
              <w:bottom w:val="single" w:color="auto" w:sz="4" w:space="0"/>
              <w:right w:val="single" w:color="auto" w:sz="4" w:space="0"/>
            </w:tcBorders>
            <w:noWrap w:val="0"/>
            <w:vAlign w:val="center"/>
          </w:tcPr>
          <w:p w14:paraId="6D7EFBE3">
            <w:pPr>
              <w:spacing w:line="240" w:lineRule="exact"/>
              <w:jc w:val="center"/>
              <w:rPr>
                <w:rFonts w:hint="eastAsia" w:ascii="仿宋_GB2312" w:eastAsia="仿宋_GB2312"/>
                <w:sz w:val="20"/>
                <w:szCs w:val="20"/>
              </w:rPr>
            </w:pPr>
          </w:p>
        </w:tc>
        <w:tc>
          <w:tcPr>
            <w:tcW w:w="716" w:type="dxa"/>
            <w:tcBorders>
              <w:top w:val="nil"/>
              <w:left w:val="nil"/>
              <w:bottom w:val="single" w:color="auto" w:sz="4" w:space="0"/>
              <w:right w:val="single" w:color="auto" w:sz="4" w:space="0"/>
            </w:tcBorders>
            <w:noWrap w:val="0"/>
            <w:vAlign w:val="center"/>
          </w:tcPr>
          <w:p w14:paraId="6D841465">
            <w:pPr>
              <w:spacing w:line="240" w:lineRule="exact"/>
              <w:jc w:val="center"/>
              <w:rPr>
                <w:rFonts w:hint="eastAsia" w:ascii="仿宋_GB2312" w:eastAsia="仿宋_GB2312"/>
                <w:sz w:val="20"/>
                <w:szCs w:val="20"/>
              </w:rPr>
            </w:pPr>
            <w:r>
              <w:rPr>
                <w:rFonts w:hint="eastAsia" w:ascii="仿宋_GB2312" w:eastAsia="仿宋_GB2312"/>
                <w:sz w:val="20"/>
                <w:szCs w:val="20"/>
              </w:rPr>
              <w:t>10</w:t>
            </w:r>
          </w:p>
        </w:tc>
        <w:tc>
          <w:tcPr>
            <w:tcW w:w="873" w:type="dxa"/>
            <w:tcBorders>
              <w:top w:val="nil"/>
              <w:left w:val="nil"/>
              <w:bottom w:val="single" w:color="auto" w:sz="4" w:space="0"/>
              <w:right w:val="single" w:color="auto" w:sz="4" w:space="0"/>
            </w:tcBorders>
            <w:noWrap w:val="0"/>
            <w:vAlign w:val="center"/>
          </w:tcPr>
          <w:p w14:paraId="7E5E6007">
            <w:pPr>
              <w:spacing w:line="240" w:lineRule="exact"/>
              <w:jc w:val="center"/>
              <w:rPr>
                <w:rFonts w:hint="eastAsia" w:ascii="仿宋_GB2312" w:eastAsia="仿宋_GB2312"/>
                <w:sz w:val="20"/>
                <w:szCs w:val="20"/>
              </w:rPr>
            </w:pPr>
          </w:p>
        </w:tc>
        <w:tc>
          <w:tcPr>
            <w:tcW w:w="1446" w:type="dxa"/>
            <w:tcBorders>
              <w:top w:val="nil"/>
              <w:left w:val="nil"/>
              <w:bottom w:val="single" w:color="auto" w:sz="4" w:space="0"/>
              <w:right w:val="single" w:color="auto" w:sz="4" w:space="0"/>
            </w:tcBorders>
            <w:noWrap w:val="0"/>
            <w:vAlign w:val="center"/>
          </w:tcPr>
          <w:p w14:paraId="679AF411">
            <w:pPr>
              <w:spacing w:line="240" w:lineRule="exact"/>
              <w:jc w:val="center"/>
              <w:rPr>
                <w:rFonts w:hint="eastAsia" w:ascii="仿宋_GB2312" w:eastAsia="仿宋_GB2312"/>
                <w:sz w:val="20"/>
                <w:szCs w:val="20"/>
              </w:rPr>
            </w:pPr>
          </w:p>
        </w:tc>
      </w:tr>
      <w:tr w14:paraId="38389C20">
        <w:tblPrEx>
          <w:tblCellMar>
            <w:top w:w="0" w:type="dxa"/>
            <w:left w:w="108" w:type="dxa"/>
            <w:bottom w:w="0" w:type="dxa"/>
            <w:right w:w="108" w:type="dxa"/>
          </w:tblCellMar>
        </w:tblPrEx>
        <w:trPr>
          <w:trHeight w:val="271" w:hRule="atLeast"/>
          <w:jc w:val="center"/>
        </w:trPr>
        <w:tc>
          <w:tcPr>
            <w:tcW w:w="1080" w:type="dxa"/>
            <w:vMerge w:val="continue"/>
            <w:tcBorders>
              <w:left w:val="single" w:color="auto" w:sz="4" w:space="0"/>
              <w:right w:val="single" w:color="auto" w:sz="4" w:space="0"/>
            </w:tcBorders>
            <w:noWrap w:val="0"/>
            <w:vAlign w:val="center"/>
          </w:tcPr>
          <w:p w14:paraId="4969DD07">
            <w:pPr>
              <w:widowControl/>
              <w:spacing w:line="240" w:lineRule="exact"/>
              <w:jc w:val="left"/>
              <w:rPr>
                <w:rFonts w:hint="eastAsia" w:ascii="仿宋_GB2312" w:eastAsia="仿宋_GB2312"/>
                <w:color w:val="000000"/>
                <w:sz w:val="20"/>
                <w:szCs w:val="20"/>
              </w:rPr>
            </w:pPr>
          </w:p>
        </w:tc>
        <w:tc>
          <w:tcPr>
            <w:tcW w:w="4695" w:type="dxa"/>
            <w:gridSpan w:val="4"/>
            <w:tcBorders>
              <w:top w:val="nil"/>
              <w:left w:val="nil"/>
              <w:bottom w:val="single" w:color="auto" w:sz="4" w:space="0"/>
              <w:right w:val="single" w:color="auto" w:sz="4" w:space="0"/>
            </w:tcBorders>
            <w:noWrap w:val="0"/>
            <w:vAlign w:val="center"/>
          </w:tcPr>
          <w:p w14:paraId="4FD59F54">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按收入性质分：</w:t>
            </w:r>
          </w:p>
        </w:tc>
        <w:tc>
          <w:tcPr>
            <w:tcW w:w="4304" w:type="dxa"/>
            <w:gridSpan w:val="4"/>
            <w:tcBorders>
              <w:top w:val="nil"/>
              <w:left w:val="nil"/>
              <w:bottom w:val="single" w:color="auto" w:sz="4" w:space="0"/>
              <w:right w:val="single" w:color="auto" w:sz="4" w:space="0"/>
            </w:tcBorders>
            <w:noWrap w:val="0"/>
            <w:vAlign w:val="center"/>
          </w:tcPr>
          <w:p w14:paraId="2F174D22">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按支出性质分：</w:t>
            </w:r>
          </w:p>
        </w:tc>
      </w:tr>
      <w:tr w14:paraId="227848FD">
        <w:tblPrEx>
          <w:tblCellMar>
            <w:top w:w="0" w:type="dxa"/>
            <w:left w:w="108" w:type="dxa"/>
            <w:bottom w:w="0" w:type="dxa"/>
            <w:right w:w="108" w:type="dxa"/>
          </w:tblCellMar>
        </w:tblPrEx>
        <w:trPr>
          <w:trHeight w:val="243" w:hRule="atLeast"/>
          <w:jc w:val="center"/>
        </w:trPr>
        <w:tc>
          <w:tcPr>
            <w:tcW w:w="1080" w:type="dxa"/>
            <w:vMerge w:val="continue"/>
            <w:tcBorders>
              <w:left w:val="single" w:color="auto" w:sz="4" w:space="0"/>
              <w:right w:val="single" w:color="auto" w:sz="4" w:space="0"/>
            </w:tcBorders>
            <w:noWrap w:val="0"/>
            <w:vAlign w:val="center"/>
          </w:tcPr>
          <w:p w14:paraId="7B9AB7EA">
            <w:pPr>
              <w:widowControl/>
              <w:spacing w:line="240" w:lineRule="exact"/>
              <w:jc w:val="left"/>
              <w:rPr>
                <w:rFonts w:hint="eastAsia" w:ascii="仿宋_GB2312" w:eastAsia="仿宋_GB2312"/>
                <w:color w:val="000000"/>
                <w:sz w:val="20"/>
                <w:szCs w:val="20"/>
              </w:rPr>
            </w:pPr>
          </w:p>
        </w:tc>
        <w:tc>
          <w:tcPr>
            <w:tcW w:w="4695" w:type="dxa"/>
            <w:gridSpan w:val="4"/>
            <w:tcBorders>
              <w:top w:val="nil"/>
              <w:left w:val="nil"/>
              <w:bottom w:val="single" w:color="auto" w:sz="4" w:space="0"/>
              <w:right w:val="single" w:color="auto" w:sz="4" w:space="0"/>
            </w:tcBorders>
            <w:noWrap w:val="0"/>
            <w:vAlign w:val="center"/>
          </w:tcPr>
          <w:p w14:paraId="7438696B">
            <w:pPr>
              <w:widowControl/>
              <w:spacing w:line="240" w:lineRule="exact"/>
              <w:jc w:val="left"/>
              <w:rPr>
                <w:rFonts w:hint="default" w:ascii="仿宋_GB2312" w:eastAsia="仿宋_GB2312"/>
                <w:color w:val="000000"/>
                <w:sz w:val="20"/>
                <w:szCs w:val="20"/>
                <w:lang w:val="en-US" w:eastAsia="zh-CN"/>
              </w:rPr>
            </w:pPr>
            <w:r>
              <w:rPr>
                <w:rFonts w:hint="eastAsia" w:ascii="仿宋_GB2312" w:eastAsia="仿宋_GB2312"/>
                <w:color w:val="000000"/>
                <w:sz w:val="20"/>
                <w:szCs w:val="20"/>
              </w:rPr>
              <w:t xml:space="preserve">  其中：  一般公共预算：</w:t>
            </w:r>
            <w:r>
              <w:rPr>
                <w:rFonts w:hint="eastAsia" w:ascii="仿宋_GB2312" w:eastAsia="仿宋_GB2312"/>
                <w:color w:val="000000"/>
                <w:sz w:val="20"/>
                <w:szCs w:val="20"/>
                <w:lang w:val="en-US" w:eastAsia="zh-CN"/>
              </w:rPr>
              <w:t>1417.94</w:t>
            </w:r>
          </w:p>
        </w:tc>
        <w:tc>
          <w:tcPr>
            <w:tcW w:w="4304" w:type="dxa"/>
            <w:gridSpan w:val="4"/>
            <w:tcBorders>
              <w:top w:val="nil"/>
              <w:left w:val="nil"/>
              <w:bottom w:val="single" w:color="auto" w:sz="4" w:space="0"/>
              <w:right w:val="single" w:color="auto" w:sz="4" w:space="0"/>
            </w:tcBorders>
            <w:noWrap w:val="0"/>
            <w:vAlign w:val="center"/>
          </w:tcPr>
          <w:p w14:paraId="377DED84">
            <w:pPr>
              <w:widowControl/>
              <w:spacing w:line="240" w:lineRule="exact"/>
              <w:jc w:val="left"/>
              <w:rPr>
                <w:rFonts w:hint="default" w:ascii="仿宋_GB2312" w:eastAsia="仿宋_GB2312"/>
                <w:color w:val="000000"/>
                <w:sz w:val="20"/>
                <w:szCs w:val="20"/>
                <w:lang w:val="en-US" w:eastAsia="zh-CN"/>
              </w:rPr>
            </w:pPr>
            <w:r>
              <w:rPr>
                <w:rFonts w:hint="eastAsia" w:ascii="仿宋_GB2312" w:eastAsia="仿宋_GB2312"/>
                <w:color w:val="000000"/>
                <w:sz w:val="20"/>
                <w:szCs w:val="20"/>
              </w:rPr>
              <w:t>其中：基本支出：</w:t>
            </w:r>
            <w:r>
              <w:rPr>
                <w:rFonts w:hint="eastAsia" w:ascii="仿宋_GB2312" w:eastAsia="仿宋_GB2312"/>
                <w:color w:val="000000"/>
                <w:sz w:val="20"/>
                <w:szCs w:val="20"/>
                <w:lang w:val="en-US" w:eastAsia="zh-CN"/>
              </w:rPr>
              <w:t>1262.06</w:t>
            </w:r>
          </w:p>
        </w:tc>
      </w:tr>
      <w:tr w14:paraId="7AAC707B">
        <w:tblPrEx>
          <w:tblCellMar>
            <w:top w:w="0" w:type="dxa"/>
            <w:left w:w="108" w:type="dxa"/>
            <w:bottom w:w="0" w:type="dxa"/>
            <w:right w:w="108" w:type="dxa"/>
          </w:tblCellMar>
        </w:tblPrEx>
        <w:trPr>
          <w:trHeight w:val="226" w:hRule="atLeast"/>
          <w:jc w:val="center"/>
        </w:trPr>
        <w:tc>
          <w:tcPr>
            <w:tcW w:w="1080" w:type="dxa"/>
            <w:vMerge w:val="continue"/>
            <w:tcBorders>
              <w:left w:val="single" w:color="auto" w:sz="4" w:space="0"/>
              <w:right w:val="single" w:color="auto" w:sz="4" w:space="0"/>
            </w:tcBorders>
            <w:noWrap w:val="0"/>
            <w:vAlign w:val="center"/>
          </w:tcPr>
          <w:p w14:paraId="7DE2D635">
            <w:pPr>
              <w:widowControl/>
              <w:spacing w:line="240" w:lineRule="exact"/>
              <w:jc w:val="left"/>
              <w:rPr>
                <w:rFonts w:hint="eastAsia" w:ascii="仿宋_GB2312" w:eastAsia="仿宋_GB2312"/>
                <w:color w:val="000000"/>
                <w:sz w:val="20"/>
                <w:szCs w:val="20"/>
              </w:rPr>
            </w:pPr>
          </w:p>
        </w:tc>
        <w:tc>
          <w:tcPr>
            <w:tcW w:w="4695" w:type="dxa"/>
            <w:gridSpan w:val="4"/>
            <w:tcBorders>
              <w:top w:val="nil"/>
              <w:left w:val="nil"/>
              <w:bottom w:val="single" w:color="auto" w:sz="4" w:space="0"/>
              <w:right w:val="single" w:color="auto" w:sz="4" w:space="0"/>
            </w:tcBorders>
            <w:noWrap w:val="0"/>
            <w:vAlign w:val="center"/>
          </w:tcPr>
          <w:p w14:paraId="418C6051">
            <w:pPr>
              <w:widowControl/>
              <w:spacing w:line="240" w:lineRule="exact"/>
              <w:ind w:firstLine="800" w:firstLineChars="400"/>
              <w:jc w:val="left"/>
              <w:rPr>
                <w:rFonts w:hint="eastAsia" w:ascii="仿宋_GB2312" w:eastAsia="仿宋_GB2312"/>
                <w:color w:val="000000"/>
                <w:sz w:val="20"/>
                <w:szCs w:val="20"/>
              </w:rPr>
            </w:pPr>
            <w:r>
              <w:rPr>
                <w:rFonts w:hint="eastAsia" w:ascii="仿宋_GB2312" w:eastAsia="仿宋_GB2312"/>
                <w:color w:val="000000"/>
                <w:sz w:val="20"/>
                <w:szCs w:val="20"/>
              </w:rPr>
              <w:t>政府性基金拨款：</w:t>
            </w:r>
          </w:p>
        </w:tc>
        <w:tc>
          <w:tcPr>
            <w:tcW w:w="4304" w:type="dxa"/>
            <w:gridSpan w:val="4"/>
            <w:tcBorders>
              <w:top w:val="nil"/>
              <w:left w:val="nil"/>
              <w:bottom w:val="single" w:color="auto" w:sz="4" w:space="0"/>
              <w:right w:val="single" w:color="auto" w:sz="4" w:space="0"/>
            </w:tcBorders>
            <w:noWrap w:val="0"/>
            <w:vAlign w:val="center"/>
          </w:tcPr>
          <w:p w14:paraId="5B15942E">
            <w:pPr>
              <w:widowControl/>
              <w:spacing w:line="240" w:lineRule="exact"/>
              <w:ind w:firstLine="600" w:firstLineChars="300"/>
              <w:jc w:val="left"/>
              <w:rPr>
                <w:rFonts w:hint="default" w:ascii="仿宋_GB2312" w:eastAsia="仿宋_GB2312"/>
                <w:color w:val="000000"/>
                <w:sz w:val="20"/>
                <w:szCs w:val="20"/>
                <w:lang w:val="en-US" w:eastAsia="zh-CN"/>
              </w:rPr>
            </w:pPr>
            <w:r>
              <w:rPr>
                <w:rFonts w:hint="eastAsia" w:ascii="仿宋_GB2312" w:eastAsia="仿宋_GB2312"/>
                <w:color w:val="000000"/>
                <w:sz w:val="20"/>
                <w:szCs w:val="20"/>
              </w:rPr>
              <w:t>项目支出：</w:t>
            </w:r>
            <w:r>
              <w:rPr>
                <w:rFonts w:hint="eastAsia" w:ascii="仿宋_GB2312" w:eastAsia="仿宋_GB2312"/>
                <w:color w:val="000000"/>
                <w:sz w:val="20"/>
                <w:szCs w:val="20"/>
                <w:lang w:val="en-US" w:eastAsia="zh-CN"/>
              </w:rPr>
              <w:t>415.67</w:t>
            </w:r>
          </w:p>
        </w:tc>
      </w:tr>
      <w:tr w14:paraId="5E99A888">
        <w:tblPrEx>
          <w:tblCellMar>
            <w:top w:w="0" w:type="dxa"/>
            <w:left w:w="108" w:type="dxa"/>
            <w:bottom w:w="0" w:type="dxa"/>
            <w:right w:w="108" w:type="dxa"/>
          </w:tblCellMar>
        </w:tblPrEx>
        <w:trPr>
          <w:trHeight w:val="226" w:hRule="atLeast"/>
          <w:jc w:val="center"/>
        </w:trPr>
        <w:tc>
          <w:tcPr>
            <w:tcW w:w="1080" w:type="dxa"/>
            <w:vMerge w:val="continue"/>
            <w:tcBorders>
              <w:left w:val="single" w:color="auto" w:sz="4" w:space="0"/>
              <w:right w:val="single" w:color="auto" w:sz="4" w:space="0"/>
            </w:tcBorders>
            <w:noWrap w:val="0"/>
            <w:vAlign w:val="center"/>
          </w:tcPr>
          <w:p w14:paraId="2FD13442">
            <w:pPr>
              <w:widowControl/>
              <w:spacing w:line="240" w:lineRule="exact"/>
              <w:jc w:val="left"/>
              <w:rPr>
                <w:rFonts w:hint="eastAsia" w:ascii="仿宋_GB2312" w:eastAsia="仿宋_GB2312"/>
                <w:color w:val="000000"/>
                <w:sz w:val="20"/>
                <w:szCs w:val="20"/>
              </w:rPr>
            </w:pPr>
          </w:p>
        </w:tc>
        <w:tc>
          <w:tcPr>
            <w:tcW w:w="4695" w:type="dxa"/>
            <w:gridSpan w:val="4"/>
            <w:tcBorders>
              <w:top w:val="nil"/>
              <w:left w:val="nil"/>
              <w:bottom w:val="single" w:color="auto" w:sz="4" w:space="0"/>
              <w:right w:val="single" w:color="auto" w:sz="4" w:space="0"/>
            </w:tcBorders>
            <w:noWrap w:val="0"/>
            <w:vAlign w:val="center"/>
          </w:tcPr>
          <w:p w14:paraId="42EEEAA4">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纳入专户管理的非税收入拨款：</w:t>
            </w:r>
          </w:p>
        </w:tc>
        <w:tc>
          <w:tcPr>
            <w:tcW w:w="4304" w:type="dxa"/>
            <w:gridSpan w:val="4"/>
            <w:tcBorders>
              <w:top w:val="nil"/>
              <w:left w:val="nil"/>
              <w:bottom w:val="single" w:color="auto" w:sz="4" w:space="0"/>
              <w:right w:val="single" w:color="auto" w:sz="4" w:space="0"/>
            </w:tcBorders>
            <w:noWrap w:val="0"/>
            <w:vAlign w:val="center"/>
          </w:tcPr>
          <w:p w14:paraId="3723E4CA">
            <w:pPr>
              <w:widowControl/>
              <w:spacing w:line="240" w:lineRule="exact"/>
              <w:jc w:val="left"/>
              <w:rPr>
                <w:rFonts w:hint="eastAsia" w:ascii="仿宋_GB2312" w:eastAsia="仿宋_GB2312"/>
                <w:color w:val="000000"/>
                <w:sz w:val="20"/>
                <w:szCs w:val="20"/>
              </w:rPr>
            </w:pPr>
          </w:p>
        </w:tc>
      </w:tr>
      <w:tr w14:paraId="00C220A7">
        <w:tblPrEx>
          <w:tblCellMar>
            <w:top w:w="0" w:type="dxa"/>
            <w:left w:w="108" w:type="dxa"/>
            <w:bottom w:w="0" w:type="dxa"/>
            <w:right w:w="108" w:type="dxa"/>
          </w:tblCellMar>
        </w:tblPrEx>
        <w:trPr>
          <w:trHeight w:val="90" w:hRule="atLeast"/>
          <w:jc w:val="center"/>
        </w:trPr>
        <w:tc>
          <w:tcPr>
            <w:tcW w:w="1080" w:type="dxa"/>
            <w:vMerge w:val="continue"/>
            <w:tcBorders>
              <w:left w:val="single" w:color="auto" w:sz="4" w:space="0"/>
              <w:bottom w:val="single" w:color="000000" w:sz="4" w:space="0"/>
              <w:right w:val="single" w:color="auto" w:sz="4" w:space="0"/>
            </w:tcBorders>
            <w:noWrap w:val="0"/>
            <w:vAlign w:val="center"/>
          </w:tcPr>
          <w:p w14:paraId="53620F3A">
            <w:pPr>
              <w:widowControl/>
              <w:spacing w:line="240" w:lineRule="exact"/>
              <w:jc w:val="left"/>
              <w:rPr>
                <w:rFonts w:hint="eastAsia" w:ascii="仿宋_GB2312" w:eastAsia="仿宋_GB2312"/>
                <w:color w:val="000000"/>
                <w:sz w:val="20"/>
                <w:szCs w:val="20"/>
              </w:rPr>
            </w:pPr>
          </w:p>
        </w:tc>
        <w:tc>
          <w:tcPr>
            <w:tcW w:w="4695" w:type="dxa"/>
            <w:gridSpan w:val="4"/>
            <w:tcBorders>
              <w:top w:val="nil"/>
              <w:left w:val="nil"/>
              <w:bottom w:val="single" w:color="auto" w:sz="4" w:space="0"/>
              <w:right w:val="single" w:color="auto" w:sz="4" w:space="0"/>
            </w:tcBorders>
            <w:noWrap w:val="0"/>
            <w:vAlign w:val="center"/>
          </w:tcPr>
          <w:p w14:paraId="4032B787">
            <w:pPr>
              <w:widowControl/>
              <w:spacing w:line="240" w:lineRule="exact"/>
              <w:ind w:firstLine="1000" w:firstLineChars="500"/>
              <w:jc w:val="left"/>
              <w:rPr>
                <w:rFonts w:hint="default" w:ascii="仿宋_GB2312" w:eastAsia="仿宋_GB2312"/>
                <w:color w:val="000000"/>
                <w:sz w:val="20"/>
                <w:szCs w:val="20"/>
                <w:lang w:val="en-US" w:eastAsia="zh-CN"/>
              </w:rPr>
            </w:pPr>
            <w:r>
              <w:rPr>
                <w:rFonts w:hint="eastAsia" w:ascii="仿宋_GB2312" w:eastAsia="仿宋_GB2312"/>
                <w:color w:val="000000"/>
                <w:sz w:val="20"/>
                <w:szCs w:val="20"/>
              </w:rPr>
              <w:t>其他资金：</w:t>
            </w:r>
            <w:r>
              <w:rPr>
                <w:rFonts w:hint="eastAsia" w:ascii="仿宋_GB2312" w:eastAsia="仿宋_GB2312"/>
                <w:color w:val="000000"/>
                <w:sz w:val="20"/>
                <w:szCs w:val="20"/>
                <w:lang w:val="en-US" w:eastAsia="zh-CN"/>
              </w:rPr>
              <w:t>259.79（国有资本经营预算）</w:t>
            </w:r>
          </w:p>
        </w:tc>
        <w:tc>
          <w:tcPr>
            <w:tcW w:w="4304" w:type="dxa"/>
            <w:gridSpan w:val="4"/>
            <w:tcBorders>
              <w:top w:val="nil"/>
              <w:left w:val="nil"/>
              <w:bottom w:val="single" w:color="auto" w:sz="4" w:space="0"/>
              <w:right w:val="single" w:color="auto" w:sz="4" w:space="0"/>
            </w:tcBorders>
            <w:noWrap w:val="0"/>
            <w:vAlign w:val="center"/>
          </w:tcPr>
          <w:p w14:paraId="0EE99D23">
            <w:pPr>
              <w:widowControl/>
              <w:spacing w:line="240" w:lineRule="exact"/>
              <w:jc w:val="left"/>
              <w:rPr>
                <w:rFonts w:hint="eastAsia" w:ascii="仿宋_GB2312" w:eastAsia="仿宋_GB2312"/>
                <w:color w:val="000000"/>
                <w:sz w:val="20"/>
                <w:szCs w:val="20"/>
              </w:rPr>
            </w:pPr>
          </w:p>
        </w:tc>
      </w:tr>
      <w:tr w14:paraId="5BD36BC6">
        <w:tblPrEx>
          <w:tblCellMar>
            <w:top w:w="0" w:type="dxa"/>
            <w:left w:w="108" w:type="dxa"/>
            <w:bottom w:w="0" w:type="dxa"/>
            <w:right w:w="108" w:type="dxa"/>
          </w:tblCellMar>
        </w:tblPrEx>
        <w:trPr>
          <w:trHeight w:val="190"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14:paraId="2B9E30C8">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年度总体目标</w:t>
            </w:r>
          </w:p>
        </w:tc>
        <w:tc>
          <w:tcPr>
            <w:tcW w:w="4695" w:type="dxa"/>
            <w:gridSpan w:val="4"/>
            <w:tcBorders>
              <w:top w:val="single" w:color="auto" w:sz="4" w:space="0"/>
              <w:left w:val="nil"/>
              <w:bottom w:val="single" w:color="auto" w:sz="4" w:space="0"/>
              <w:right w:val="single" w:color="000000" w:sz="4" w:space="0"/>
            </w:tcBorders>
            <w:noWrap w:val="0"/>
            <w:vAlign w:val="center"/>
          </w:tcPr>
          <w:p w14:paraId="3770AEEE">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预期目标</w:t>
            </w:r>
          </w:p>
        </w:tc>
        <w:tc>
          <w:tcPr>
            <w:tcW w:w="4304" w:type="dxa"/>
            <w:gridSpan w:val="4"/>
            <w:tcBorders>
              <w:top w:val="single" w:color="auto" w:sz="4" w:space="0"/>
              <w:left w:val="nil"/>
              <w:bottom w:val="single" w:color="auto" w:sz="4" w:space="0"/>
              <w:right w:val="single" w:color="auto" w:sz="4" w:space="0"/>
            </w:tcBorders>
            <w:noWrap w:val="0"/>
            <w:vAlign w:val="center"/>
          </w:tcPr>
          <w:p w14:paraId="5210BF22">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实际完成情况　</w:t>
            </w:r>
          </w:p>
        </w:tc>
      </w:tr>
      <w:tr w14:paraId="7CD1C93D">
        <w:tblPrEx>
          <w:tblCellMar>
            <w:top w:w="0" w:type="dxa"/>
            <w:left w:w="108" w:type="dxa"/>
            <w:bottom w:w="0" w:type="dxa"/>
            <w:right w:w="108" w:type="dxa"/>
          </w:tblCellMar>
        </w:tblPrEx>
        <w:trPr>
          <w:trHeight w:val="687"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14:paraId="59C469A1">
            <w:pPr>
              <w:widowControl/>
              <w:spacing w:line="240" w:lineRule="exact"/>
              <w:jc w:val="left"/>
              <w:rPr>
                <w:rFonts w:hint="eastAsia" w:ascii="仿宋_GB2312" w:eastAsia="仿宋_GB2312"/>
                <w:color w:val="000000"/>
                <w:sz w:val="20"/>
                <w:szCs w:val="20"/>
              </w:rPr>
            </w:pPr>
          </w:p>
        </w:tc>
        <w:tc>
          <w:tcPr>
            <w:tcW w:w="4695" w:type="dxa"/>
            <w:gridSpan w:val="4"/>
            <w:tcBorders>
              <w:top w:val="single" w:color="auto" w:sz="4" w:space="0"/>
              <w:left w:val="nil"/>
              <w:bottom w:val="single" w:color="auto" w:sz="4" w:space="0"/>
              <w:right w:val="single" w:color="000000" w:sz="4" w:space="0"/>
            </w:tcBorders>
            <w:noWrap w:val="0"/>
            <w:vAlign w:val="center"/>
          </w:tcPr>
          <w:p w14:paraId="420717A5">
            <w:pPr>
              <w:widowControl/>
              <w:spacing w:line="240" w:lineRule="exact"/>
              <w:jc w:val="center"/>
              <w:rPr>
                <w:rFonts w:hint="eastAsia" w:ascii="仿宋_GB2312" w:eastAsia="仿宋_GB2312"/>
                <w:color w:val="000000"/>
                <w:sz w:val="18"/>
                <w:szCs w:val="18"/>
              </w:rPr>
            </w:pPr>
            <w:r>
              <w:rPr>
                <w:rFonts w:hint="default" w:ascii="仿宋_GB2312" w:hAnsi="Times New Roman" w:eastAsia="仿宋_GB2312" w:cs="Times New Roman"/>
                <w:color w:val="000000"/>
                <w:sz w:val="18"/>
                <w:szCs w:val="18"/>
                <w:lang w:eastAsia="zh-CN"/>
              </w:rPr>
              <w:t>以深化国资国企改革为抓手，围绕做强做优做大国有企业目标，着力抓项目、促改革、强监管、防风险、强党建，</w:t>
            </w:r>
            <w:r>
              <w:rPr>
                <w:rFonts w:hint="default" w:ascii="仿宋_GB2312" w:hAnsi="Times New Roman" w:eastAsia="仿宋_GB2312" w:cs="Times New Roman"/>
                <w:color w:val="000000"/>
                <w:sz w:val="18"/>
                <w:szCs w:val="18"/>
                <w:lang w:val="zh-CN" w:eastAsia="zh-CN"/>
              </w:rPr>
              <w:t>坚定不移推进市属国有企业转型发展。</w:t>
            </w:r>
          </w:p>
        </w:tc>
        <w:tc>
          <w:tcPr>
            <w:tcW w:w="4304" w:type="dxa"/>
            <w:gridSpan w:val="4"/>
            <w:tcBorders>
              <w:top w:val="single" w:color="auto" w:sz="4" w:space="0"/>
              <w:left w:val="nil"/>
              <w:bottom w:val="single" w:color="auto" w:sz="4" w:space="0"/>
              <w:right w:val="single" w:color="auto" w:sz="4" w:space="0"/>
            </w:tcBorders>
            <w:noWrap w:val="0"/>
            <w:vAlign w:val="center"/>
          </w:tcPr>
          <w:p w14:paraId="26F117FD">
            <w:pPr>
              <w:widowControl/>
              <w:spacing w:line="240" w:lineRule="exact"/>
              <w:jc w:val="left"/>
              <w:rPr>
                <w:rFonts w:hint="eastAsia" w:ascii="仿宋_GB2312" w:eastAsia="仿宋_GB2312"/>
                <w:color w:val="000000"/>
                <w:sz w:val="18"/>
                <w:szCs w:val="18"/>
              </w:rPr>
            </w:pPr>
            <w:r>
              <w:rPr>
                <w:rFonts w:hint="default" w:ascii="仿宋_GB2312" w:hAnsi="Times New Roman" w:eastAsia="仿宋_GB2312" w:cs="Times New Roman"/>
                <w:color w:val="000000"/>
                <w:sz w:val="18"/>
                <w:szCs w:val="18"/>
                <w:lang w:eastAsia="zh-CN"/>
              </w:rPr>
              <w:t>以深化国资国企改革为抓手，围绕做强做优做大国有企业目标，着力抓项目、促改革、强监管、防风险、强党建，</w:t>
            </w:r>
            <w:r>
              <w:rPr>
                <w:rFonts w:hint="default" w:ascii="仿宋_GB2312" w:hAnsi="Times New Roman" w:eastAsia="仿宋_GB2312" w:cs="Times New Roman"/>
                <w:color w:val="000000"/>
                <w:sz w:val="18"/>
                <w:szCs w:val="18"/>
                <w:lang w:val="zh-CN" w:eastAsia="zh-CN"/>
              </w:rPr>
              <w:t>坚定不移推进市属国有企业转型发展。</w:t>
            </w:r>
          </w:p>
        </w:tc>
      </w:tr>
      <w:tr w14:paraId="459BD536">
        <w:tblPrEx>
          <w:tblCellMar>
            <w:top w:w="0" w:type="dxa"/>
            <w:left w:w="108" w:type="dxa"/>
            <w:bottom w:w="0" w:type="dxa"/>
            <w:right w:w="108" w:type="dxa"/>
          </w:tblCellMar>
        </w:tblPrEx>
        <w:trPr>
          <w:trHeight w:val="387"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5AF5C22F">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绩</w:t>
            </w:r>
          </w:p>
          <w:p w14:paraId="26DD6BB2">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效</w:t>
            </w:r>
          </w:p>
          <w:p w14:paraId="55E61C2F">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指</w:t>
            </w:r>
          </w:p>
          <w:p w14:paraId="1E9DF442">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标</w:t>
            </w:r>
          </w:p>
          <w:p w14:paraId="60932D7F">
            <w:pPr>
              <w:widowControl/>
              <w:spacing w:line="240" w:lineRule="exact"/>
              <w:jc w:val="center"/>
              <w:rPr>
                <w:rFonts w:hint="eastAsia" w:ascii="仿宋_GB2312"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9432C96">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一级指标</w:t>
            </w:r>
          </w:p>
        </w:tc>
        <w:tc>
          <w:tcPr>
            <w:tcW w:w="1098" w:type="dxa"/>
            <w:tcBorders>
              <w:top w:val="single" w:color="auto" w:sz="4" w:space="0"/>
              <w:left w:val="single" w:color="auto" w:sz="4" w:space="0"/>
              <w:bottom w:val="single" w:color="auto" w:sz="4" w:space="0"/>
              <w:right w:val="single" w:color="auto" w:sz="4" w:space="0"/>
            </w:tcBorders>
            <w:noWrap w:val="0"/>
            <w:vAlign w:val="center"/>
          </w:tcPr>
          <w:p w14:paraId="471724A7">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二级指标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7855F5C3">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三级指标</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0C0366A7">
            <w:pPr>
              <w:widowControl/>
              <w:spacing w:line="240" w:lineRule="exact"/>
              <w:rPr>
                <w:rFonts w:hint="eastAsia" w:ascii="仿宋_GB2312" w:eastAsia="仿宋_GB2312"/>
                <w:color w:val="000000"/>
                <w:sz w:val="20"/>
                <w:szCs w:val="20"/>
              </w:rPr>
            </w:pPr>
            <w:r>
              <w:rPr>
                <w:rFonts w:hint="eastAsia" w:ascii="仿宋_GB2312" w:eastAsia="仿宋_GB2312"/>
                <w:color w:val="000000"/>
                <w:sz w:val="20"/>
                <w:szCs w:val="20"/>
              </w:rPr>
              <w:t>年度指标值</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F2B8DF5">
            <w:pPr>
              <w:widowControl/>
              <w:spacing w:line="240" w:lineRule="exact"/>
              <w:rPr>
                <w:rFonts w:hint="eastAsia" w:ascii="仿宋_GB2312" w:eastAsia="仿宋_GB2312"/>
                <w:color w:val="000000"/>
                <w:sz w:val="20"/>
                <w:szCs w:val="20"/>
              </w:rPr>
            </w:pPr>
            <w:r>
              <w:rPr>
                <w:rFonts w:hint="eastAsia" w:ascii="仿宋_GB2312" w:eastAsia="仿宋_GB2312"/>
                <w:color w:val="000000"/>
                <w:sz w:val="20"/>
                <w:szCs w:val="20"/>
              </w:rPr>
              <w:t>实际完成值</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F1183E7">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分值</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CD90D4A">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得分</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52C91F4F">
            <w:pPr>
              <w:widowControl/>
              <w:spacing w:line="240" w:lineRule="exact"/>
              <w:rPr>
                <w:rFonts w:hint="eastAsia" w:ascii="仿宋_GB2312" w:eastAsia="仿宋_GB2312"/>
                <w:color w:val="000000"/>
                <w:sz w:val="20"/>
                <w:szCs w:val="20"/>
              </w:rPr>
            </w:pPr>
            <w:r>
              <w:rPr>
                <w:rFonts w:hint="eastAsia" w:ascii="仿宋_GB2312" w:eastAsia="仿宋_GB2312"/>
                <w:color w:val="000000"/>
                <w:sz w:val="20"/>
                <w:szCs w:val="20"/>
              </w:rPr>
              <w:t>偏差原因分析及改进措施</w:t>
            </w:r>
          </w:p>
        </w:tc>
      </w:tr>
      <w:tr w14:paraId="6761DB6F">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E2F48A5">
            <w:pPr>
              <w:spacing w:line="240" w:lineRule="exact"/>
              <w:jc w:val="left"/>
              <w:rPr>
                <w:rFonts w:hint="eastAsia" w:ascii="仿宋_GB2312"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7FC76AA0">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产出指标</w:t>
            </w:r>
          </w:p>
          <w:p w14:paraId="7CFC9EF3">
            <w:pPr>
              <w:widowControl/>
              <w:spacing w:line="240" w:lineRule="exact"/>
              <w:jc w:val="center"/>
              <w:rPr>
                <w:rFonts w:hint="eastAsia" w:ascii="仿宋_GB2312" w:eastAsia="仿宋_GB2312"/>
                <w:color w:val="000000"/>
                <w:sz w:val="20"/>
                <w:szCs w:val="20"/>
              </w:rPr>
            </w:pPr>
          </w:p>
          <w:p w14:paraId="4064E333">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(40分)</w:t>
            </w:r>
          </w:p>
        </w:tc>
        <w:tc>
          <w:tcPr>
            <w:tcW w:w="1098" w:type="dxa"/>
            <w:tcBorders>
              <w:top w:val="single" w:color="auto" w:sz="4" w:space="0"/>
              <w:left w:val="single" w:color="auto" w:sz="4" w:space="0"/>
              <w:bottom w:val="single" w:color="auto" w:sz="4" w:space="0"/>
              <w:right w:val="single" w:color="auto" w:sz="4" w:space="0"/>
            </w:tcBorders>
            <w:noWrap w:val="0"/>
            <w:vAlign w:val="center"/>
          </w:tcPr>
          <w:p w14:paraId="113DF42C">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数量指标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4FBBEDB3">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监管企业实现资产总额增长</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4C868106">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增长1%</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B5AB240">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807C56F">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C47762A">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5D78E210">
            <w:pPr>
              <w:widowControl/>
              <w:spacing w:line="240" w:lineRule="exact"/>
              <w:jc w:val="center"/>
              <w:rPr>
                <w:rFonts w:hint="eastAsia" w:ascii="仿宋_GB2312" w:eastAsia="仿宋_GB2312"/>
                <w:color w:val="000000"/>
                <w:sz w:val="18"/>
                <w:szCs w:val="18"/>
              </w:rPr>
            </w:pPr>
          </w:p>
        </w:tc>
      </w:tr>
      <w:tr w14:paraId="1697D83F">
        <w:tblPrEx>
          <w:tblCellMar>
            <w:top w:w="0" w:type="dxa"/>
            <w:left w:w="108" w:type="dxa"/>
            <w:bottom w:w="0" w:type="dxa"/>
            <w:right w:w="108" w:type="dxa"/>
          </w:tblCellMar>
        </w:tblPrEx>
        <w:trPr>
          <w:trHeight w:val="9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4384375">
            <w:pPr>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57E9D8A">
            <w:pPr>
              <w:spacing w:line="240" w:lineRule="exact"/>
              <w:jc w:val="left"/>
              <w:rPr>
                <w:rFonts w:hint="eastAsia" w:ascii="仿宋_GB2312" w:eastAsia="仿宋_GB2312"/>
                <w:color w:val="000000"/>
                <w:sz w:val="20"/>
                <w:szCs w:val="20"/>
              </w:rPr>
            </w:pPr>
          </w:p>
        </w:tc>
        <w:tc>
          <w:tcPr>
            <w:tcW w:w="1098" w:type="dxa"/>
            <w:vMerge w:val="restart"/>
            <w:tcBorders>
              <w:top w:val="single" w:color="auto" w:sz="4" w:space="0"/>
              <w:left w:val="single" w:color="auto" w:sz="4" w:space="0"/>
              <w:bottom w:val="single" w:color="auto" w:sz="4" w:space="0"/>
              <w:right w:val="single" w:color="auto" w:sz="4" w:space="0"/>
            </w:tcBorders>
            <w:noWrap w:val="0"/>
            <w:vAlign w:val="center"/>
          </w:tcPr>
          <w:p w14:paraId="7F1DA4CB">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质量指标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6A48C231">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完成市委绩效考核</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072BF80F">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达到B类及以上</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9E83B71">
            <w:pPr>
              <w:widowControl/>
              <w:spacing w:line="24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B</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38D16280">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8678A38">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0C25E175">
            <w:pPr>
              <w:widowControl/>
              <w:spacing w:line="240" w:lineRule="exact"/>
              <w:jc w:val="center"/>
              <w:rPr>
                <w:rFonts w:hint="eastAsia" w:ascii="仿宋_GB2312" w:eastAsia="仿宋_GB2312"/>
                <w:color w:val="000000"/>
                <w:sz w:val="18"/>
                <w:szCs w:val="18"/>
              </w:rPr>
            </w:pPr>
          </w:p>
        </w:tc>
      </w:tr>
      <w:tr w14:paraId="033BBADB">
        <w:tblPrEx>
          <w:tblCellMar>
            <w:top w:w="0" w:type="dxa"/>
            <w:left w:w="108" w:type="dxa"/>
            <w:bottom w:w="0" w:type="dxa"/>
            <w:right w:w="108" w:type="dxa"/>
          </w:tblCellMar>
        </w:tblPrEx>
        <w:trPr>
          <w:trHeight w:val="9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9A91CB6">
            <w:pPr>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6DD71CC">
            <w:pPr>
              <w:spacing w:line="240" w:lineRule="exact"/>
              <w:jc w:val="left"/>
              <w:rPr>
                <w:rFonts w:hint="eastAsia" w:ascii="仿宋_GB2312" w:eastAsia="仿宋_GB2312"/>
                <w:color w:val="000000"/>
                <w:sz w:val="20"/>
                <w:szCs w:val="20"/>
              </w:rPr>
            </w:pPr>
          </w:p>
        </w:tc>
        <w:tc>
          <w:tcPr>
            <w:tcW w:w="1098" w:type="dxa"/>
            <w:vMerge w:val="continue"/>
            <w:tcBorders>
              <w:top w:val="single" w:color="auto" w:sz="4" w:space="0"/>
              <w:left w:val="single" w:color="auto" w:sz="4" w:space="0"/>
              <w:bottom w:val="single" w:color="auto" w:sz="4" w:space="0"/>
              <w:right w:val="single" w:color="auto" w:sz="4" w:space="0"/>
            </w:tcBorders>
            <w:noWrap w:val="0"/>
            <w:vAlign w:val="center"/>
          </w:tcPr>
          <w:p w14:paraId="03B35F47">
            <w:pPr>
              <w:widowControl/>
              <w:spacing w:line="240" w:lineRule="exact"/>
              <w:jc w:val="center"/>
              <w:rPr>
                <w:rFonts w:hint="eastAsia" w:ascii="仿宋_GB2312" w:eastAsia="仿宋_GB2312"/>
                <w:color w:val="000000"/>
                <w:sz w:val="18"/>
                <w:szCs w:val="18"/>
              </w:rPr>
            </w:pPr>
          </w:p>
        </w:tc>
        <w:tc>
          <w:tcPr>
            <w:tcW w:w="1338" w:type="dxa"/>
            <w:tcBorders>
              <w:top w:val="single" w:color="auto" w:sz="4" w:space="0"/>
              <w:left w:val="single" w:color="auto" w:sz="4" w:space="0"/>
              <w:bottom w:val="single" w:color="auto" w:sz="4" w:space="0"/>
              <w:right w:val="single" w:color="auto" w:sz="4" w:space="0"/>
            </w:tcBorders>
            <w:noWrap w:val="0"/>
            <w:vAlign w:val="center"/>
          </w:tcPr>
          <w:p w14:paraId="5EC89B27">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项目完成率</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56080801">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08D8D177">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071F1046">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A631D40">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009D6DB0">
            <w:pPr>
              <w:widowControl/>
              <w:spacing w:line="240" w:lineRule="exact"/>
              <w:jc w:val="center"/>
              <w:rPr>
                <w:rFonts w:hint="eastAsia" w:ascii="仿宋_GB2312" w:eastAsia="仿宋_GB2312"/>
                <w:color w:val="000000"/>
                <w:sz w:val="18"/>
                <w:szCs w:val="18"/>
              </w:rPr>
            </w:pPr>
          </w:p>
        </w:tc>
      </w:tr>
      <w:tr w14:paraId="25B27EF6">
        <w:tblPrEx>
          <w:tblCellMar>
            <w:top w:w="0" w:type="dxa"/>
            <w:left w:w="108" w:type="dxa"/>
            <w:bottom w:w="0" w:type="dxa"/>
            <w:right w:w="108" w:type="dxa"/>
          </w:tblCellMar>
        </w:tblPrEx>
        <w:trPr>
          <w:trHeight w:val="67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C1BE8D9">
            <w:pPr>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9F25C81">
            <w:pPr>
              <w:spacing w:line="240" w:lineRule="exact"/>
              <w:jc w:val="left"/>
              <w:rPr>
                <w:rFonts w:hint="eastAsia" w:ascii="仿宋_GB2312" w:eastAsia="仿宋_GB2312"/>
                <w:color w:val="000000"/>
                <w:sz w:val="20"/>
                <w:szCs w:val="20"/>
              </w:rPr>
            </w:pPr>
          </w:p>
        </w:tc>
        <w:tc>
          <w:tcPr>
            <w:tcW w:w="1098" w:type="dxa"/>
            <w:tcBorders>
              <w:top w:val="single" w:color="auto" w:sz="4" w:space="0"/>
              <w:left w:val="single" w:color="auto" w:sz="4" w:space="0"/>
              <w:bottom w:val="single" w:color="auto" w:sz="4" w:space="0"/>
              <w:right w:val="single" w:color="auto" w:sz="4" w:space="0"/>
            </w:tcBorders>
            <w:noWrap w:val="0"/>
            <w:vAlign w:val="center"/>
          </w:tcPr>
          <w:p w14:paraId="3A7C4C1D">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时效指标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7A674B9F">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监管企业完成营业收入时间</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70079034">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12月31日</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40081AD">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完成</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7EBC8ED4">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BE01FE1">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769D2DC2">
            <w:pPr>
              <w:widowControl/>
              <w:spacing w:line="240" w:lineRule="exact"/>
              <w:jc w:val="center"/>
              <w:rPr>
                <w:rFonts w:hint="eastAsia" w:ascii="仿宋_GB2312" w:eastAsia="仿宋_GB2312"/>
                <w:color w:val="000000"/>
                <w:sz w:val="18"/>
                <w:szCs w:val="18"/>
              </w:rPr>
            </w:pPr>
          </w:p>
        </w:tc>
      </w:tr>
      <w:tr w14:paraId="1A9A805D">
        <w:tblPrEx>
          <w:tblCellMar>
            <w:top w:w="0" w:type="dxa"/>
            <w:left w:w="108" w:type="dxa"/>
            <w:bottom w:w="0" w:type="dxa"/>
            <w:right w:w="108" w:type="dxa"/>
          </w:tblCellMar>
        </w:tblPrEx>
        <w:trPr>
          <w:trHeight w:val="9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67F6B55">
            <w:pPr>
              <w:spacing w:line="240" w:lineRule="exact"/>
              <w:jc w:val="left"/>
              <w:rPr>
                <w:rFonts w:hint="eastAsia" w:ascii="仿宋_GB2312"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18DD8918">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效益指标</w:t>
            </w:r>
          </w:p>
          <w:p w14:paraId="5CBC8F40">
            <w:pPr>
              <w:widowControl/>
              <w:spacing w:line="240" w:lineRule="exact"/>
              <w:jc w:val="left"/>
              <w:rPr>
                <w:rFonts w:hint="eastAsia" w:ascii="仿宋_GB2312" w:eastAsia="仿宋_GB2312"/>
                <w:color w:val="000000"/>
                <w:sz w:val="20"/>
                <w:szCs w:val="20"/>
              </w:rPr>
            </w:pPr>
          </w:p>
          <w:p w14:paraId="7859AE24">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（20分）</w:t>
            </w:r>
          </w:p>
          <w:p w14:paraId="05CEE4DA">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　</w:t>
            </w:r>
          </w:p>
        </w:tc>
        <w:tc>
          <w:tcPr>
            <w:tcW w:w="1098" w:type="dxa"/>
            <w:tcBorders>
              <w:top w:val="single" w:color="auto" w:sz="4" w:space="0"/>
              <w:left w:val="single" w:color="auto" w:sz="4" w:space="0"/>
              <w:bottom w:val="single" w:color="auto" w:sz="4" w:space="0"/>
              <w:right w:val="single" w:color="auto" w:sz="4" w:space="0"/>
            </w:tcBorders>
            <w:noWrap w:val="0"/>
            <w:vAlign w:val="center"/>
          </w:tcPr>
          <w:p w14:paraId="34FE83DF">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经济效</w:t>
            </w:r>
          </w:p>
          <w:p w14:paraId="6EFEF464">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益指标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613AE286">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监管企业国有资产保值增值</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6FE52522">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4E4EEAEC">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25C91A8A">
            <w:pPr>
              <w:widowControl/>
              <w:spacing w:line="24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AF18E68">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lang w:val="en-US" w:eastAsia="zh-CN"/>
              </w:rPr>
              <w:t>5</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68D5B20A">
            <w:pPr>
              <w:widowControl/>
              <w:spacing w:line="240" w:lineRule="exact"/>
              <w:jc w:val="center"/>
              <w:rPr>
                <w:rFonts w:hint="eastAsia" w:ascii="仿宋_GB2312" w:eastAsia="仿宋_GB2312"/>
                <w:color w:val="000000"/>
                <w:sz w:val="18"/>
                <w:szCs w:val="18"/>
              </w:rPr>
            </w:pPr>
          </w:p>
        </w:tc>
      </w:tr>
      <w:tr w14:paraId="2CFFA9E5">
        <w:tblPrEx>
          <w:tblCellMar>
            <w:top w:w="0" w:type="dxa"/>
            <w:left w:w="108" w:type="dxa"/>
            <w:bottom w:w="0" w:type="dxa"/>
            <w:right w:w="108" w:type="dxa"/>
          </w:tblCellMar>
        </w:tblPrEx>
        <w:trPr>
          <w:trHeight w:val="19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085094AF">
            <w:pPr>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EF26EA8">
            <w:pPr>
              <w:spacing w:line="240" w:lineRule="exact"/>
              <w:jc w:val="left"/>
              <w:rPr>
                <w:rFonts w:hint="eastAsia" w:ascii="仿宋_GB2312" w:eastAsia="仿宋_GB2312"/>
                <w:color w:val="000000"/>
                <w:sz w:val="20"/>
                <w:szCs w:val="20"/>
              </w:rPr>
            </w:pPr>
          </w:p>
        </w:tc>
        <w:tc>
          <w:tcPr>
            <w:tcW w:w="1098" w:type="dxa"/>
            <w:tcBorders>
              <w:top w:val="single" w:color="auto" w:sz="4" w:space="0"/>
              <w:left w:val="single" w:color="auto" w:sz="4" w:space="0"/>
              <w:bottom w:val="single" w:color="auto" w:sz="4" w:space="0"/>
              <w:right w:val="single" w:color="auto" w:sz="4" w:space="0"/>
            </w:tcBorders>
            <w:noWrap w:val="0"/>
            <w:vAlign w:val="center"/>
          </w:tcPr>
          <w:p w14:paraId="03D08815">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社会效</w:t>
            </w:r>
          </w:p>
          <w:p w14:paraId="1F8BF6D8">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益指标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5A07ADEF">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监管企业安排就业人员数</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1FD3F8BC">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就业人数在8200以上</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3D064DA2">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8200以上</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5AE76008">
            <w:pPr>
              <w:widowControl/>
              <w:spacing w:line="24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18821D7">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lang w:val="en-US" w:eastAsia="zh-CN"/>
              </w:rPr>
              <w:t>5</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19CC5DC9">
            <w:pPr>
              <w:widowControl/>
              <w:spacing w:line="240" w:lineRule="exact"/>
              <w:jc w:val="center"/>
              <w:rPr>
                <w:rFonts w:hint="eastAsia" w:ascii="仿宋_GB2312" w:eastAsia="仿宋_GB2312"/>
                <w:color w:val="000000"/>
                <w:sz w:val="18"/>
                <w:szCs w:val="18"/>
              </w:rPr>
            </w:pPr>
          </w:p>
        </w:tc>
      </w:tr>
      <w:tr w14:paraId="335D86D9">
        <w:tblPrEx>
          <w:tblCellMar>
            <w:top w:w="0" w:type="dxa"/>
            <w:left w:w="108" w:type="dxa"/>
            <w:bottom w:w="0" w:type="dxa"/>
            <w:right w:w="108" w:type="dxa"/>
          </w:tblCellMar>
        </w:tblPrEx>
        <w:trPr>
          <w:trHeight w:val="52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C2D5D94">
            <w:pPr>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A2DA49A">
            <w:pPr>
              <w:spacing w:line="240" w:lineRule="exact"/>
              <w:jc w:val="left"/>
              <w:rPr>
                <w:rFonts w:hint="eastAsia" w:ascii="仿宋_GB2312" w:eastAsia="仿宋_GB2312"/>
                <w:color w:val="000000"/>
                <w:sz w:val="20"/>
                <w:szCs w:val="20"/>
              </w:rPr>
            </w:pPr>
          </w:p>
        </w:tc>
        <w:tc>
          <w:tcPr>
            <w:tcW w:w="1098" w:type="dxa"/>
            <w:tcBorders>
              <w:top w:val="single" w:color="auto" w:sz="4" w:space="0"/>
              <w:left w:val="single" w:color="auto" w:sz="4" w:space="0"/>
              <w:bottom w:val="single" w:color="auto" w:sz="4" w:space="0"/>
              <w:right w:val="single" w:color="auto" w:sz="4" w:space="0"/>
            </w:tcBorders>
            <w:noWrap w:val="0"/>
            <w:vAlign w:val="center"/>
          </w:tcPr>
          <w:p w14:paraId="5902D6BD">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生态效</w:t>
            </w:r>
          </w:p>
          <w:p w14:paraId="5B9958E4">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益指标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1D45B889">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监管企业发生重大环境污染</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5B4A07F8">
            <w:pPr>
              <w:widowControl/>
              <w:spacing w:line="24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0</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43AAA7E1">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38B6E14C">
            <w:pPr>
              <w:widowControl/>
              <w:spacing w:line="24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2C6CA0B">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lang w:val="en-US" w:eastAsia="zh-CN"/>
              </w:rPr>
              <w:t>5</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1AF623F6">
            <w:pPr>
              <w:widowControl/>
              <w:spacing w:line="240" w:lineRule="exact"/>
              <w:jc w:val="center"/>
              <w:rPr>
                <w:rFonts w:hint="eastAsia" w:ascii="仿宋_GB2312" w:eastAsia="仿宋_GB2312"/>
                <w:color w:val="000000"/>
                <w:sz w:val="18"/>
                <w:szCs w:val="18"/>
              </w:rPr>
            </w:pPr>
          </w:p>
        </w:tc>
      </w:tr>
      <w:tr w14:paraId="357FD120">
        <w:tblPrEx>
          <w:tblCellMar>
            <w:top w:w="0" w:type="dxa"/>
            <w:left w:w="108" w:type="dxa"/>
            <w:bottom w:w="0" w:type="dxa"/>
            <w:right w:w="108" w:type="dxa"/>
          </w:tblCellMar>
        </w:tblPrEx>
        <w:trPr>
          <w:trHeight w:val="49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A5F04E3">
            <w:pPr>
              <w:widowControl/>
              <w:spacing w:line="240" w:lineRule="exact"/>
              <w:jc w:val="center"/>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0639E74">
            <w:pPr>
              <w:widowControl/>
              <w:spacing w:line="240" w:lineRule="exact"/>
              <w:jc w:val="left"/>
              <w:rPr>
                <w:rFonts w:hint="eastAsia" w:ascii="仿宋_GB2312" w:eastAsia="仿宋_GB2312"/>
                <w:color w:val="000000"/>
                <w:sz w:val="20"/>
                <w:szCs w:val="20"/>
              </w:rPr>
            </w:pPr>
          </w:p>
        </w:tc>
        <w:tc>
          <w:tcPr>
            <w:tcW w:w="1098" w:type="dxa"/>
            <w:tcBorders>
              <w:top w:val="single" w:color="auto" w:sz="4" w:space="0"/>
              <w:left w:val="single" w:color="auto" w:sz="4" w:space="0"/>
              <w:bottom w:val="single" w:color="auto" w:sz="4" w:space="0"/>
              <w:right w:val="single" w:color="auto" w:sz="4" w:space="0"/>
            </w:tcBorders>
            <w:noWrap w:val="0"/>
            <w:vAlign w:val="center"/>
          </w:tcPr>
          <w:p w14:paraId="5ACDB4F0">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可持续影响指标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21564EFA">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监管企业转型发展工作完成率</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15307158">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0A292A4">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306DFB53">
            <w:pPr>
              <w:widowControl/>
              <w:spacing w:line="24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151BFB2">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lang w:val="en-US" w:eastAsia="zh-CN"/>
              </w:rPr>
              <w:t>5</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43E58E3">
            <w:pPr>
              <w:widowControl/>
              <w:spacing w:line="240" w:lineRule="exact"/>
              <w:jc w:val="center"/>
              <w:rPr>
                <w:rFonts w:hint="eastAsia" w:ascii="仿宋_GB2312" w:eastAsia="仿宋_GB2312"/>
                <w:color w:val="000000"/>
                <w:sz w:val="18"/>
                <w:szCs w:val="18"/>
              </w:rPr>
            </w:pPr>
          </w:p>
        </w:tc>
      </w:tr>
      <w:tr w14:paraId="494CF085">
        <w:tblPrEx>
          <w:tblCellMar>
            <w:top w:w="0" w:type="dxa"/>
            <w:left w:w="108" w:type="dxa"/>
            <w:bottom w:w="0" w:type="dxa"/>
            <w:right w:w="108" w:type="dxa"/>
          </w:tblCellMar>
        </w:tblPrEx>
        <w:trPr>
          <w:trHeight w:val="33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44794E4">
            <w:pPr>
              <w:spacing w:line="240" w:lineRule="exact"/>
              <w:jc w:val="left"/>
              <w:rPr>
                <w:rFonts w:hint="eastAsia" w:ascii="仿宋_GB2312"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F270189">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满意度</w:t>
            </w:r>
          </w:p>
          <w:p w14:paraId="4E38FA58">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指标</w:t>
            </w:r>
          </w:p>
          <w:p w14:paraId="076CC491">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（10分）</w:t>
            </w:r>
          </w:p>
        </w:tc>
        <w:tc>
          <w:tcPr>
            <w:tcW w:w="1098" w:type="dxa"/>
            <w:tcBorders>
              <w:top w:val="single" w:color="auto" w:sz="4" w:space="0"/>
              <w:left w:val="single" w:color="auto" w:sz="4" w:space="0"/>
              <w:bottom w:val="single" w:color="auto" w:sz="4" w:space="0"/>
              <w:right w:val="single" w:color="auto" w:sz="4" w:space="0"/>
            </w:tcBorders>
            <w:noWrap w:val="0"/>
            <w:vAlign w:val="center"/>
          </w:tcPr>
          <w:p w14:paraId="21AFBF37">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服务对象满意度指标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0BADBB60">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监管企业满意度</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58CFD638">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85%以上</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D73C841">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721EA72F">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C6D756B">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118BDD94">
            <w:pPr>
              <w:widowControl/>
              <w:spacing w:line="240" w:lineRule="exact"/>
              <w:jc w:val="center"/>
              <w:rPr>
                <w:rFonts w:hint="eastAsia" w:ascii="仿宋_GB2312" w:eastAsia="仿宋_GB2312"/>
                <w:color w:val="000000"/>
                <w:sz w:val="18"/>
                <w:szCs w:val="18"/>
              </w:rPr>
            </w:pPr>
          </w:p>
        </w:tc>
      </w:tr>
      <w:tr w14:paraId="4EACDF85">
        <w:tblPrEx>
          <w:tblCellMar>
            <w:top w:w="0" w:type="dxa"/>
            <w:left w:w="108" w:type="dxa"/>
            <w:bottom w:w="0" w:type="dxa"/>
            <w:right w:w="108" w:type="dxa"/>
          </w:tblCellMar>
        </w:tblPrEx>
        <w:trPr>
          <w:trHeight w:val="386"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BAF69CA">
            <w:pPr>
              <w:widowControl/>
              <w:spacing w:line="240" w:lineRule="exact"/>
              <w:jc w:val="left"/>
              <w:rPr>
                <w:rFonts w:hint="eastAsia" w:ascii="仿宋_GB2312"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08B2703F">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成本指标（20分）</w:t>
            </w:r>
          </w:p>
        </w:tc>
        <w:tc>
          <w:tcPr>
            <w:tcW w:w="1098" w:type="dxa"/>
            <w:tcBorders>
              <w:top w:val="single" w:color="auto" w:sz="4" w:space="0"/>
              <w:left w:val="single" w:color="auto" w:sz="4" w:space="0"/>
              <w:bottom w:val="single" w:color="auto" w:sz="4" w:space="0"/>
              <w:right w:val="single" w:color="auto" w:sz="4" w:space="0"/>
            </w:tcBorders>
            <w:noWrap w:val="0"/>
            <w:vAlign w:val="center"/>
          </w:tcPr>
          <w:p w14:paraId="097E953C">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经济成本指标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7DB31A72">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财政资金预算完成率</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55E22D5D">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90%以上</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173AEA7">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100%</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6722586B">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20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40A71757">
            <w:pPr>
              <w:widowControl/>
              <w:spacing w:line="24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20</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1869B8CE">
            <w:pPr>
              <w:widowControl/>
              <w:spacing w:line="240" w:lineRule="exact"/>
              <w:jc w:val="center"/>
              <w:rPr>
                <w:rFonts w:hint="eastAsia" w:ascii="仿宋_GB2312" w:eastAsia="仿宋_GB2312"/>
                <w:color w:val="000000"/>
                <w:sz w:val="18"/>
                <w:szCs w:val="18"/>
              </w:rPr>
            </w:pPr>
          </w:p>
        </w:tc>
      </w:tr>
      <w:tr w14:paraId="54E66CFD">
        <w:tblPrEx>
          <w:tblCellMar>
            <w:top w:w="0" w:type="dxa"/>
            <w:left w:w="108" w:type="dxa"/>
            <w:bottom w:w="0" w:type="dxa"/>
            <w:right w:w="108" w:type="dxa"/>
          </w:tblCellMar>
        </w:tblPrEx>
        <w:trPr>
          <w:trHeight w:val="9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2B79316">
            <w:pPr>
              <w:widowControl/>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7505AE77">
            <w:pPr>
              <w:widowControl/>
              <w:spacing w:line="240" w:lineRule="exact"/>
              <w:jc w:val="left"/>
              <w:rPr>
                <w:rFonts w:hint="eastAsia" w:ascii="仿宋_GB2312" w:eastAsia="仿宋_GB2312"/>
                <w:color w:val="000000"/>
                <w:sz w:val="20"/>
                <w:szCs w:val="20"/>
              </w:rPr>
            </w:pPr>
          </w:p>
        </w:tc>
        <w:tc>
          <w:tcPr>
            <w:tcW w:w="1098" w:type="dxa"/>
            <w:vMerge w:val="restart"/>
            <w:tcBorders>
              <w:top w:val="single" w:color="auto" w:sz="4" w:space="0"/>
              <w:left w:val="single" w:color="auto" w:sz="4" w:space="0"/>
              <w:bottom w:val="single" w:color="auto" w:sz="4" w:space="0"/>
              <w:right w:val="single" w:color="auto" w:sz="4" w:space="0"/>
            </w:tcBorders>
            <w:noWrap w:val="0"/>
            <w:vAlign w:val="center"/>
          </w:tcPr>
          <w:p w14:paraId="4F8A576A">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社会成本指标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04E1C2EE">
            <w:pPr>
              <w:widowControl/>
              <w:spacing w:line="240" w:lineRule="exact"/>
              <w:jc w:val="center"/>
              <w:rPr>
                <w:rFonts w:hint="eastAsia" w:ascii="仿宋_GB2312" w:eastAsia="仿宋_GB2312"/>
                <w:color w:val="000000"/>
                <w:sz w:val="18"/>
                <w:szCs w:val="18"/>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14:paraId="7FC225AF">
            <w:pPr>
              <w:widowControl/>
              <w:spacing w:line="240" w:lineRule="exact"/>
              <w:jc w:val="center"/>
              <w:rPr>
                <w:rFonts w:hint="eastAsia" w:ascii="仿宋_GB2312" w:eastAsia="仿宋_GB2312"/>
                <w:color w:val="000000"/>
                <w:sz w:val="18"/>
                <w:szCs w:val="1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A8C758E">
            <w:pPr>
              <w:widowControl/>
              <w:spacing w:line="240" w:lineRule="exact"/>
              <w:jc w:val="center"/>
              <w:rPr>
                <w:rFonts w:hint="eastAsia" w:ascii="仿宋_GB2312" w:eastAsia="仿宋_GB2312"/>
                <w:color w:val="000000"/>
                <w:sz w:val="18"/>
                <w:szCs w:val="18"/>
              </w:rPr>
            </w:pPr>
          </w:p>
        </w:tc>
        <w:tc>
          <w:tcPr>
            <w:tcW w:w="716" w:type="dxa"/>
            <w:tcBorders>
              <w:top w:val="single" w:color="auto" w:sz="4" w:space="0"/>
              <w:left w:val="single" w:color="auto" w:sz="4" w:space="0"/>
              <w:bottom w:val="single" w:color="auto" w:sz="4" w:space="0"/>
              <w:right w:val="single" w:color="auto" w:sz="4" w:space="0"/>
            </w:tcBorders>
            <w:noWrap w:val="0"/>
            <w:vAlign w:val="center"/>
          </w:tcPr>
          <w:p w14:paraId="52950FE9">
            <w:pPr>
              <w:widowControl/>
              <w:spacing w:line="240" w:lineRule="exact"/>
              <w:jc w:val="center"/>
              <w:rPr>
                <w:rFonts w:hint="eastAsia" w:ascii="仿宋_GB2312" w:eastAsia="仿宋_GB2312"/>
                <w:color w:val="000000"/>
                <w:sz w:val="18"/>
                <w:szCs w:val="18"/>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2A415984">
            <w:pPr>
              <w:widowControl/>
              <w:spacing w:line="240" w:lineRule="exact"/>
              <w:jc w:val="center"/>
              <w:rPr>
                <w:rFonts w:hint="eastAsia" w:ascii="仿宋_GB2312" w:eastAsia="仿宋_GB2312"/>
                <w:color w:val="000000"/>
                <w:sz w:val="18"/>
                <w:szCs w:val="18"/>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2EC3F0B4">
            <w:pPr>
              <w:widowControl/>
              <w:spacing w:line="240" w:lineRule="exact"/>
              <w:jc w:val="center"/>
              <w:rPr>
                <w:rFonts w:hint="eastAsia" w:ascii="仿宋_GB2312" w:eastAsia="仿宋_GB2312"/>
                <w:color w:val="000000"/>
                <w:sz w:val="18"/>
                <w:szCs w:val="18"/>
              </w:rPr>
            </w:pPr>
          </w:p>
        </w:tc>
      </w:tr>
      <w:tr w14:paraId="209036C3">
        <w:tblPrEx>
          <w:tblCellMar>
            <w:top w:w="0" w:type="dxa"/>
            <w:left w:w="108" w:type="dxa"/>
            <w:bottom w:w="0" w:type="dxa"/>
            <w:right w:w="108" w:type="dxa"/>
          </w:tblCellMar>
        </w:tblPrEx>
        <w:trPr>
          <w:trHeight w:val="17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23D5A747">
            <w:pPr>
              <w:widowControl/>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2DAE827">
            <w:pPr>
              <w:widowControl/>
              <w:spacing w:line="240" w:lineRule="exact"/>
              <w:jc w:val="left"/>
              <w:rPr>
                <w:rFonts w:hint="eastAsia" w:ascii="仿宋_GB2312" w:eastAsia="仿宋_GB2312"/>
                <w:color w:val="000000"/>
                <w:sz w:val="20"/>
                <w:szCs w:val="20"/>
              </w:rPr>
            </w:pPr>
          </w:p>
        </w:tc>
        <w:tc>
          <w:tcPr>
            <w:tcW w:w="1098" w:type="dxa"/>
            <w:vMerge w:val="continue"/>
            <w:tcBorders>
              <w:top w:val="single" w:color="auto" w:sz="4" w:space="0"/>
              <w:left w:val="single" w:color="auto" w:sz="4" w:space="0"/>
              <w:bottom w:val="single" w:color="auto" w:sz="4" w:space="0"/>
              <w:right w:val="single" w:color="auto" w:sz="4" w:space="0"/>
            </w:tcBorders>
            <w:noWrap w:val="0"/>
            <w:vAlign w:val="center"/>
          </w:tcPr>
          <w:p w14:paraId="1055A9DA">
            <w:pPr>
              <w:widowControl/>
              <w:spacing w:line="240" w:lineRule="exact"/>
              <w:jc w:val="center"/>
              <w:rPr>
                <w:rFonts w:hint="eastAsia" w:ascii="仿宋_GB2312" w:eastAsia="仿宋_GB2312"/>
                <w:color w:val="000000"/>
                <w:sz w:val="18"/>
                <w:szCs w:val="18"/>
              </w:rPr>
            </w:pPr>
          </w:p>
        </w:tc>
        <w:tc>
          <w:tcPr>
            <w:tcW w:w="1338" w:type="dxa"/>
            <w:tcBorders>
              <w:top w:val="single" w:color="auto" w:sz="4" w:space="0"/>
              <w:left w:val="single" w:color="auto" w:sz="4" w:space="0"/>
              <w:bottom w:val="single" w:color="auto" w:sz="4" w:space="0"/>
              <w:right w:val="single" w:color="auto" w:sz="4" w:space="0"/>
            </w:tcBorders>
            <w:noWrap w:val="0"/>
            <w:vAlign w:val="center"/>
          </w:tcPr>
          <w:p w14:paraId="4C30969D">
            <w:pPr>
              <w:widowControl/>
              <w:spacing w:line="240" w:lineRule="exact"/>
              <w:jc w:val="center"/>
              <w:rPr>
                <w:rFonts w:hint="eastAsia" w:ascii="仿宋_GB2312" w:eastAsia="仿宋_GB2312"/>
                <w:color w:val="000000"/>
                <w:sz w:val="18"/>
                <w:szCs w:val="18"/>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14:paraId="0FCCA170">
            <w:pPr>
              <w:widowControl/>
              <w:spacing w:line="240" w:lineRule="exact"/>
              <w:jc w:val="center"/>
              <w:rPr>
                <w:rFonts w:hint="eastAsia" w:ascii="仿宋_GB2312" w:eastAsia="仿宋_GB2312"/>
                <w:color w:val="000000"/>
                <w:sz w:val="18"/>
                <w:szCs w:val="1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358D5781">
            <w:pPr>
              <w:widowControl/>
              <w:spacing w:line="240" w:lineRule="exact"/>
              <w:jc w:val="center"/>
              <w:rPr>
                <w:rFonts w:hint="eastAsia" w:ascii="仿宋_GB2312" w:eastAsia="仿宋_GB2312"/>
                <w:color w:val="000000"/>
                <w:sz w:val="18"/>
                <w:szCs w:val="18"/>
              </w:rPr>
            </w:pPr>
          </w:p>
        </w:tc>
        <w:tc>
          <w:tcPr>
            <w:tcW w:w="716" w:type="dxa"/>
            <w:tcBorders>
              <w:top w:val="single" w:color="auto" w:sz="4" w:space="0"/>
              <w:left w:val="single" w:color="auto" w:sz="4" w:space="0"/>
              <w:bottom w:val="single" w:color="auto" w:sz="4" w:space="0"/>
              <w:right w:val="single" w:color="auto" w:sz="4" w:space="0"/>
            </w:tcBorders>
            <w:noWrap w:val="0"/>
            <w:vAlign w:val="center"/>
          </w:tcPr>
          <w:p w14:paraId="5AE0DFAA">
            <w:pPr>
              <w:widowControl/>
              <w:spacing w:line="240" w:lineRule="exact"/>
              <w:jc w:val="center"/>
              <w:rPr>
                <w:rFonts w:hint="eastAsia" w:ascii="仿宋_GB2312" w:eastAsia="仿宋_GB2312"/>
                <w:color w:val="000000"/>
                <w:sz w:val="18"/>
                <w:szCs w:val="18"/>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4175A08E">
            <w:pPr>
              <w:widowControl/>
              <w:spacing w:line="240" w:lineRule="exact"/>
              <w:jc w:val="center"/>
              <w:rPr>
                <w:rFonts w:hint="eastAsia" w:ascii="仿宋_GB2312" w:eastAsia="仿宋_GB2312"/>
                <w:color w:val="000000"/>
                <w:sz w:val="18"/>
                <w:szCs w:val="18"/>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6DB55D3E">
            <w:pPr>
              <w:widowControl/>
              <w:spacing w:line="240" w:lineRule="exact"/>
              <w:jc w:val="center"/>
              <w:rPr>
                <w:rFonts w:hint="eastAsia" w:ascii="仿宋_GB2312" w:eastAsia="仿宋_GB2312"/>
                <w:color w:val="000000"/>
                <w:sz w:val="18"/>
                <w:szCs w:val="18"/>
              </w:rPr>
            </w:pPr>
          </w:p>
        </w:tc>
      </w:tr>
      <w:tr w14:paraId="59FBE48E">
        <w:tblPrEx>
          <w:tblCellMar>
            <w:top w:w="0" w:type="dxa"/>
            <w:left w:w="108" w:type="dxa"/>
            <w:bottom w:w="0" w:type="dxa"/>
            <w:right w:w="108" w:type="dxa"/>
          </w:tblCellMar>
        </w:tblPrEx>
        <w:trPr>
          <w:trHeight w:val="18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2FB09EC">
            <w:pPr>
              <w:widowControl/>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6933BE1">
            <w:pPr>
              <w:widowControl/>
              <w:spacing w:line="240" w:lineRule="exact"/>
              <w:jc w:val="left"/>
              <w:rPr>
                <w:rFonts w:hint="eastAsia" w:ascii="仿宋_GB2312" w:eastAsia="仿宋_GB2312"/>
                <w:color w:val="000000"/>
                <w:sz w:val="20"/>
                <w:szCs w:val="20"/>
              </w:rPr>
            </w:pPr>
          </w:p>
        </w:tc>
        <w:tc>
          <w:tcPr>
            <w:tcW w:w="1098" w:type="dxa"/>
            <w:vMerge w:val="restart"/>
            <w:tcBorders>
              <w:top w:val="single" w:color="auto" w:sz="4" w:space="0"/>
              <w:left w:val="single" w:color="auto" w:sz="4" w:space="0"/>
              <w:bottom w:val="single" w:color="auto" w:sz="4" w:space="0"/>
              <w:right w:val="single" w:color="auto" w:sz="4" w:space="0"/>
            </w:tcBorders>
            <w:noWrap w:val="0"/>
            <w:vAlign w:val="center"/>
          </w:tcPr>
          <w:p w14:paraId="5E8C3DEA">
            <w:pPr>
              <w:widowControl/>
              <w:spacing w:line="240" w:lineRule="exact"/>
              <w:jc w:val="center"/>
              <w:rPr>
                <w:rFonts w:hint="eastAsia" w:ascii="仿宋_GB2312" w:eastAsia="仿宋_GB2312"/>
                <w:color w:val="000000"/>
                <w:sz w:val="18"/>
                <w:szCs w:val="18"/>
              </w:rPr>
            </w:pPr>
            <w:r>
              <w:rPr>
                <w:rFonts w:hint="eastAsia" w:ascii="仿宋_GB2312" w:eastAsia="仿宋_GB2312"/>
                <w:color w:val="000000"/>
                <w:sz w:val="18"/>
                <w:szCs w:val="18"/>
              </w:rPr>
              <w:t>生态环境成本指标</w:t>
            </w:r>
          </w:p>
        </w:tc>
        <w:tc>
          <w:tcPr>
            <w:tcW w:w="1338" w:type="dxa"/>
            <w:tcBorders>
              <w:top w:val="single" w:color="auto" w:sz="4" w:space="0"/>
              <w:left w:val="single" w:color="auto" w:sz="4" w:space="0"/>
              <w:bottom w:val="single" w:color="auto" w:sz="4" w:space="0"/>
              <w:right w:val="single" w:color="auto" w:sz="4" w:space="0"/>
            </w:tcBorders>
            <w:noWrap w:val="0"/>
            <w:vAlign w:val="center"/>
          </w:tcPr>
          <w:p w14:paraId="6D0EA311">
            <w:pPr>
              <w:widowControl/>
              <w:spacing w:line="240" w:lineRule="exact"/>
              <w:jc w:val="center"/>
              <w:rPr>
                <w:rFonts w:hint="eastAsia" w:ascii="仿宋_GB2312" w:eastAsia="仿宋_GB2312"/>
                <w:color w:val="000000"/>
                <w:sz w:val="18"/>
                <w:szCs w:val="18"/>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14:paraId="7E2314DE">
            <w:pPr>
              <w:widowControl/>
              <w:spacing w:line="240" w:lineRule="exact"/>
              <w:jc w:val="center"/>
              <w:rPr>
                <w:rFonts w:hint="eastAsia" w:ascii="仿宋_GB2312" w:eastAsia="仿宋_GB2312"/>
                <w:color w:val="000000"/>
                <w:sz w:val="18"/>
                <w:szCs w:val="1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0C5CF89B">
            <w:pPr>
              <w:widowControl/>
              <w:spacing w:line="240" w:lineRule="exact"/>
              <w:jc w:val="center"/>
              <w:rPr>
                <w:rFonts w:hint="eastAsia" w:ascii="仿宋_GB2312" w:eastAsia="仿宋_GB2312"/>
                <w:color w:val="000000"/>
                <w:sz w:val="18"/>
                <w:szCs w:val="18"/>
              </w:rPr>
            </w:pPr>
          </w:p>
        </w:tc>
        <w:tc>
          <w:tcPr>
            <w:tcW w:w="716" w:type="dxa"/>
            <w:tcBorders>
              <w:top w:val="single" w:color="auto" w:sz="4" w:space="0"/>
              <w:left w:val="single" w:color="auto" w:sz="4" w:space="0"/>
              <w:bottom w:val="single" w:color="auto" w:sz="4" w:space="0"/>
              <w:right w:val="single" w:color="auto" w:sz="4" w:space="0"/>
            </w:tcBorders>
            <w:noWrap w:val="0"/>
            <w:vAlign w:val="center"/>
          </w:tcPr>
          <w:p w14:paraId="5BFABF30">
            <w:pPr>
              <w:widowControl/>
              <w:spacing w:line="240" w:lineRule="exact"/>
              <w:jc w:val="center"/>
              <w:rPr>
                <w:rFonts w:hint="eastAsia" w:ascii="仿宋_GB2312" w:eastAsia="仿宋_GB2312"/>
                <w:color w:val="000000"/>
                <w:sz w:val="18"/>
                <w:szCs w:val="18"/>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7DBE42EC">
            <w:pPr>
              <w:widowControl/>
              <w:spacing w:line="240" w:lineRule="exact"/>
              <w:jc w:val="center"/>
              <w:rPr>
                <w:rFonts w:hint="eastAsia" w:ascii="仿宋_GB2312" w:eastAsia="仿宋_GB2312"/>
                <w:color w:val="000000"/>
                <w:sz w:val="18"/>
                <w:szCs w:val="18"/>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7B6BC209">
            <w:pPr>
              <w:widowControl/>
              <w:spacing w:line="240" w:lineRule="exact"/>
              <w:jc w:val="center"/>
              <w:rPr>
                <w:rFonts w:hint="eastAsia" w:ascii="仿宋_GB2312" w:eastAsia="仿宋_GB2312"/>
                <w:color w:val="000000"/>
                <w:sz w:val="18"/>
                <w:szCs w:val="18"/>
              </w:rPr>
            </w:pPr>
          </w:p>
        </w:tc>
      </w:tr>
      <w:tr w14:paraId="57AC6DE8">
        <w:tblPrEx>
          <w:tblCellMar>
            <w:top w:w="0" w:type="dxa"/>
            <w:left w:w="108" w:type="dxa"/>
            <w:bottom w:w="0" w:type="dxa"/>
            <w:right w:w="108" w:type="dxa"/>
          </w:tblCellMar>
        </w:tblPrEx>
        <w:trPr>
          <w:trHeight w:val="146"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49D62870">
            <w:pPr>
              <w:widowControl/>
              <w:spacing w:line="240" w:lineRule="exact"/>
              <w:jc w:val="left"/>
              <w:rPr>
                <w:rFonts w:hint="eastAsia" w:ascii="仿宋_GB2312"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F7E0891">
            <w:pPr>
              <w:widowControl/>
              <w:spacing w:line="240" w:lineRule="exact"/>
              <w:jc w:val="left"/>
              <w:rPr>
                <w:rFonts w:hint="eastAsia" w:ascii="仿宋_GB2312" w:eastAsia="仿宋_GB2312"/>
                <w:color w:val="000000"/>
                <w:sz w:val="20"/>
                <w:szCs w:val="20"/>
              </w:rPr>
            </w:pPr>
          </w:p>
        </w:tc>
        <w:tc>
          <w:tcPr>
            <w:tcW w:w="1098" w:type="dxa"/>
            <w:vMerge w:val="continue"/>
            <w:tcBorders>
              <w:top w:val="single" w:color="auto" w:sz="4" w:space="0"/>
              <w:left w:val="single" w:color="auto" w:sz="4" w:space="0"/>
              <w:bottom w:val="single" w:color="auto" w:sz="4" w:space="0"/>
              <w:right w:val="single" w:color="auto" w:sz="4" w:space="0"/>
            </w:tcBorders>
            <w:noWrap w:val="0"/>
            <w:vAlign w:val="center"/>
          </w:tcPr>
          <w:p w14:paraId="7DFC575D">
            <w:pPr>
              <w:widowControl/>
              <w:spacing w:line="240" w:lineRule="exact"/>
              <w:jc w:val="left"/>
              <w:rPr>
                <w:rFonts w:hint="eastAsia" w:ascii="仿宋_GB2312" w:eastAsia="仿宋_GB2312"/>
                <w:color w:val="000000"/>
                <w:sz w:val="18"/>
                <w:szCs w:val="18"/>
              </w:rPr>
            </w:pPr>
          </w:p>
        </w:tc>
        <w:tc>
          <w:tcPr>
            <w:tcW w:w="1338" w:type="dxa"/>
            <w:tcBorders>
              <w:top w:val="single" w:color="auto" w:sz="4" w:space="0"/>
              <w:left w:val="single" w:color="auto" w:sz="4" w:space="0"/>
              <w:bottom w:val="single" w:color="auto" w:sz="4" w:space="0"/>
              <w:right w:val="single" w:color="auto" w:sz="4" w:space="0"/>
            </w:tcBorders>
            <w:noWrap w:val="0"/>
            <w:vAlign w:val="center"/>
          </w:tcPr>
          <w:p w14:paraId="3AE5BDD2">
            <w:pPr>
              <w:widowControl/>
              <w:spacing w:line="240" w:lineRule="exact"/>
              <w:jc w:val="center"/>
              <w:rPr>
                <w:rFonts w:hint="eastAsia" w:ascii="仿宋_GB2312" w:eastAsia="仿宋_GB2312"/>
                <w:color w:val="000000"/>
                <w:sz w:val="18"/>
                <w:szCs w:val="18"/>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14:paraId="00E44F92">
            <w:pPr>
              <w:widowControl/>
              <w:spacing w:line="240" w:lineRule="exact"/>
              <w:jc w:val="center"/>
              <w:rPr>
                <w:rFonts w:hint="eastAsia" w:ascii="仿宋_GB2312" w:eastAsia="仿宋_GB2312"/>
                <w:color w:val="000000"/>
                <w:sz w:val="18"/>
                <w:szCs w:val="1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3D37808">
            <w:pPr>
              <w:widowControl/>
              <w:spacing w:line="240" w:lineRule="exact"/>
              <w:jc w:val="center"/>
              <w:rPr>
                <w:rFonts w:hint="eastAsia" w:ascii="仿宋_GB2312" w:eastAsia="仿宋_GB2312"/>
                <w:color w:val="000000"/>
                <w:sz w:val="18"/>
                <w:szCs w:val="18"/>
              </w:rPr>
            </w:pPr>
          </w:p>
        </w:tc>
        <w:tc>
          <w:tcPr>
            <w:tcW w:w="716" w:type="dxa"/>
            <w:tcBorders>
              <w:top w:val="single" w:color="auto" w:sz="4" w:space="0"/>
              <w:left w:val="single" w:color="auto" w:sz="4" w:space="0"/>
              <w:bottom w:val="single" w:color="auto" w:sz="4" w:space="0"/>
              <w:right w:val="single" w:color="auto" w:sz="4" w:space="0"/>
            </w:tcBorders>
            <w:noWrap w:val="0"/>
            <w:vAlign w:val="center"/>
          </w:tcPr>
          <w:p w14:paraId="716234D1">
            <w:pPr>
              <w:widowControl/>
              <w:spacing w:line="240" w:lineRule="exact"/>
              <w:jc w:val="center"/>
              <w:rPr>
                <w:rFonts w:hint="eastAsia" w:ascii="仿宋_GB2312" w:eastAsia="仿宋_GB2312"/>
                <w:color w:val="000000"/>
                <w:sz w:val="18"/>
                <w:szCs w:val="18"/>
              </w:rPr>
            </w:pPr>
          </w:p>
        </w:tc>
        <w:tc>
          <w:tcPr>
            <w:tcW w:w="873" w:type="dxa"/>
            <w:tcBorders>
              <w:top w:val="single" w:color="auto" w:sz="4" w:space="0"/>
              <w:left w:val="single" w:color="auto" w:sz="4" w:space="0"/>
              <w:bottom w:val="single" w:color="auto" w:sz="4" w:space="0"/>
              <w:right w:val="single" w:color="auto" w:sz="4" w:space="0"/>
            </w:tcBorders>
            <w:noWrap w:val="0"/>
            <w:vAlign w:val="center"/>
          </w:tcPr>
          <w:p w14:paraId="15B18898">
            <w:pPr>
              <w:widowControl/>
              <w:spacing w:line="240" w:lineRule="exact"/>
              <w:jc w:val="center"/>
              <w:rPr>
                <w:rFonts w:hint="eastAsia" w:ascii="仿宋_GB2312" w:eastAsia="仿宋_GB2312"/>
                <w:color w:val="000000"/>
                <w:sz w:val="18"/>
                <w:szCs w:val="18"/>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169BDD46">
            <w:pPr>
              <w:widowControl/>
              <w:spacing w:line="240" w:lineRule="exact"/>
              <w:jc w:val="center"/>
              <w:rPr>
                <w:rFonts w:hint="eastAsia" w:ascii="仿宋_GB2312" w:eastAsia="仿宋_GB2312"/>
                <w:color w:val="000000"/>
                <w:sz w:val="18"/>
                <w:szCs w:val="18"/>
              </w:rPr>
            </w:pPr>
          </w:p>
        </w:tc>
      </w:tr>
      <w:tr w14:paraId="1E2651BB">
        <w:tblPrEx>
          <w:tblCellMar>
            <w:top w:w="0" w:type="dxa"/>
            <w:left w:w="108" w:type="dxa"/>
            <w:bottom w:w="0" w:type="dxa"/>
            <w:right w:w="108" w:type="dxa"/>
          </w:tblCellMar>
        </w:tblPrEx>
        <w:trPr>
          <w:trHeight w:val="253" w:hRule="atLeast"/>
          <w:jc w:val="center"/>
        </w:trPr>
        <w:tc>
          <w:tcPr>
            <w:tcW w:w="7044" w:type="dxa"/>
            <w:gridSpan w:val="6"/>
            <w:tcBorders>
              <w:top w:val="single" w:color="auto" w:sz="4" w:space="0"/>
              <w:left w:val="single" w:color="auto" w:sz="4" w:space="0"/>
              <w:bottom w:val="single" w:color="auto" w:sz="4" w:space="0"/>
              <w:right w:val="single" w:color="000000" w:sz="4" w:space="0"/>
            </w:tcBorders>
            <w:noWrap w:val="0"/>
            <w:vAlign w:val="center"/>
          </w:tcPr>
          <w:p w14:paraId="7DE27845">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总分</w:t>
            </w:r>
          </w:p>
        </w:tc>
        <w:tc>
          <w:tcPr>
            <w:tcW w:w="716" w:type="dxa"/>
            <w:tcBorders>
              <w:top w:val="single" w:color="auto" w:sz="4" w:space="0"/>
              <w:left w:val="nil"/>
              <w:bottom w:val="single" w:color="auto" w:sz="4" w:space="0"/>
              <w:right w:val="single" w:color="auto" w:sz="4" w:space="0"/>
            </w:tcBorders>
            <w:noWrap w:val="0"/>
            <w:vAlign w:val="center"/>
          </w:tcPr>
          <w:p w14:paraId="5694E490">
            <w:pPr>
              <w:widowControl/>
              <w:spacing w:line="240" w:lineRule="exact"/>
              <w:jc w:val="center"/>
              <w:rPr>
                <w:rFonts w:hint="eastAsia" w:ascii="仿宋_GB2312" w:eastAsia="仿宋_GB2312"/>
                <w:color w:val="000000"/>
                <w:sz w:val="20"/>
                <w:szCs w:val="20"/>
              </w:rPr>
            </w:pPr>
            <w:r>
              <w:rPr>
                <w:rFonts w:hint="eastAsia" w:ascii="仿宋_GB2312" w:eastAsia="仿宋_GB2312"/>
                <w:color w:val="000000"/>
                <w:sz w:val="20"/>
                <w:szCs w:val="20"/>
              </w:rPr>
              <w:t>100</w:t>
            </w:r>
          </w:p>
        </w:tc>
        <w:tc>
          <w:tcPr>
            <w:tcW w:w="873" w:type="dxa"/>
            <w:tcBorders>
              <w:top w:val="single" w:color="auto" w:sz="4" w:space="0"/>
              <w:left w:val="nil"/>
              <w:bottom w:val="single" w:color="auto" w:sz="4" w:space="0"/>
              <w:right w:val="single" w:color="auto" w:sz="4" w:space="0"/>
            </w:tcBorders>
            <w:noWrap w:val="0"/>
            <w:vAlign w:val="center"/>
          </w:tcPr>
          <w:p w14:paraId="375DD84A">
            <w:pPr>
              <w:widowControl/>
              <w:spacing w:line="240" w:lineRule="exact"/>
              <w:jc w:val="center"/>
              <w:rPr>
                <w:rFonts w:hint="default" w:ascii="仿宋_GB2312" w:eastAsia="仿宋_GB2312"/>
                <w:color w:val="000000"/>
                <w:sz w:val="20"/>
                <w:szCs w:val="20"/>
                <w:lang w:val="en-US" w:eastAsia="zh-CN"/>
              </w:rPr>
            </w:pPr>
            <w:r>
              <w:rPr>
                <w:rFonts w:hint="eastAsia" w:ascii="仿宋_GB2312" w:eastAsia="仿宋_GB2312"/>
                <w:color w:val="000000"/>
                <w:sz w:val="20"/>
                <w:szCs w:val="20"/>
                <w:lang w:val="en-US" w:eastAsia="zh-CN"/>
              </w:rPr>
              <w:t>100</w:t>
            </w:r>
          </w:p>
        </w:tc>
        <w:tc>
          <w:tcPr>
            <w:tcW w:w="1446" w:type="dxa"/>
            <w:tcBorders>
              <w:top w:val="single" w:color="auto" w:sz="4" w:space="0"/>
              <w:left w:val="nil"/>
              <w:bottom w:val="single" w:color="auto" w:sz="4" w:space="0"/>
              <w:right w:val="single" w:color="auto" w:sz="4" w:space="0"/>
            </w:tcBorders>
            <w:noWrap w:val="0"/>
            <w:vAlign w:val="center"/>
          </w:tcPr>
          <w:p w14:paraId="1482F758">
            <w:pPr>
              <w:widowControl/>
              <w:spacing w:line="240" w:lineRule="exact"/>
              <w:jc w:val="left"/>
              <w:rPr>
                <w:rFonts w:hint="eastAsia" w:ascii="仿宋_GB2312" w:eastAsia="仿宋_GB2312"/>
                <w:color w:val="000000"/>
                <w:sz w:val="20"/>
                <w:szCs w:val="20"/>
              </w:rPr>
            </w:pPr>
            <w:r>
              <w:rPr>
                <w:rFonts w:hint="eastAsia" w:ascii="仿宋_GB2312" w:eastAsia="仿宋_GB2312"/>
                <w:color w:val="000000"/>
                <w:sz w:val="20"/>
                <w:szCs w:val="20"/>
              </w:rPr>
              <w:t>　</w:t>
            </w:r>
          </w:p>
        </w:tc>
      </w:tr>
    </w:tbl>
    <w:p w14:paraId="63287C81">
      <w:pPr>
        <w:tabs>
          <w:tab w:val="left" w:pos="7560"/>
        </w:tabs>
        <w:adjustRightInd w:val="0"/>
        <w:snapToGrid w:val="0"/>
        <w:spacing w:line="560" w:lineRule="exact"/>
        <w:rPr>
          <w:rFonts w:ascii="黑体" w:hAnsi="黑体" w:eastAsia="黑体"/>
          <w:sz w:val="32"/>
          <w:szCs w:val="32"/>
        </w:rPr>
      </w:pPr>
      <w:r>
        <w:rPr>
          <w:rFonts w:eastAsia="仿宋_GB2312"/>
          <w:sz w:val="22"/>
          <w:szCs w:val="22"/>
        </w:rPr>
        <w:t>填表人：</w:t>
      </w:r>
      <w:r>
        <w:rPr>
          <w:rFonts w:hint="eastAsia" w:eastAsia="仿宋_GB2312"/>
          <w:sz w:val="22"/>
          <w:szCs w:val="22"/>
          <w:lang w:val="en-US" w:eastAsia="zh-CN"/>
        </w:rPr>
        <w:t>谭华芳</w:t>
      </w:r>
      <w:r>
        <w:rPr>
          <w:rFonts w:eastAsia="仿宋_GB2312"/>
          <w:sz w:val="22"/>
          <w:szCs w:val="22"/>
        </w:rPr>
        <w:t>填报日期：</w:t>
      </w:r>
      <w:r>
        <w:rPr>
          <w:rFonts w:hint="eastAsia" w:eastAsia="仿宋_GB2312"/>
          <w:sz w:val="22"/>
          <w:szCs w:val="22"/>
          <w:lang w:val="en-US" w:eastAsia="zh-CN"/>
        </w:rPr>
        <w:t>2024年4月30日</w:t>
      </w:r>
      <w:r>
        <w:rPr>
          <w:rFonts w:eastAsia="仿宋_GB2312"/>
          <w:sz w:val="22"/>
          <w:szCs w:val="22"/>
        </w:rPr>
        <w:t>联系电话：</w:t>
      </w:r>
      <w:r>
        <w:rPr>
          <w:rFonts w:hint="eastAsia" w:eastAsia="仿宋_GB2312"/>
          <w:sz w:val="22"/>
          <w:szCs w:val="22"/>
          <w:lang w:val="en-US" w:eastAsia="zh-CN"/>
        </w:rPr>
        <w:t>19573344696</w:t>
      </w:r>
      <w:r>
        <w:rPr>
          <w:rFonts w:eastAsia="仿宋_GB2312"/>
          <w:sz w:val="22"/>
          <w:szCs w:val="22"/>
        </w:rPr>
        <w:t>单位负责人签字：</w:t>
      </w:r>
      <w:r>
        <w:rPr>
          <w:rFonts w:hint="eastAsia" w:eastAsia="仿宋_GB2312"/>
          <w:sz w:val="22"/>
          <w:szCs w:val="22"/>
          <w:lang w:val="en-US" w:eastAsia="zh-CN"/>
        </w:rPr>
        <w:t>宋宇</w:t>
      </w:r>
    </w:p>
    <w:p w14:paraId="3CE91E0A">
      <w:pPr>
        <w:jc w:val="center"/>
        <w:rPr>
          <w:rFonts w:ascii="仿宋_GB2312" w:hAnsi="宋体" w:eastAsia="仿宋_GB2312" w:cs="黑体"/>
          <w:color w:val="000000"/>
          <w:kern w:val="0"/>
          <w:sz w:val="32"/>
          <w:szCs w:val="32"/>
        </w:rPr>
      </w:pPr>
    </w:p>
    <w:sectPr>
      <w:pgSz w:w="11906" w:h="16838"/>
      <w:pgMar w:top="2098" w:right="1531" w:bottom="1985" w:left="1531" w:header="851" w:footer="1588"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大标宋简体">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5077B">
    <w:pPr>
      <w:pStyle w:val="8"/>
      <w:framePr w:wrap="around" w:vAnchor="text" w:hAnchor="margin" w:xAlign="outside" w:y="1"/>
      <w:rPr>
        <w:rStyle w:val="13"/>
        <w:rFonts w:hint="eastAsia" w:ascii="宋体"/>
        <w:sz w:val="28"/>
        <w:szCs w:val="28"/>
      </w:rPr>
    </w:pPr>
    <w:r>
      <w:rPr>
        <w:rStyle w:val="13"/>
        <w:rFonts w:hint="eastAsia" w:ascii="宋体"/>
        <w:color w:val="FFFFFF"/>
        <w:sz w:val="28"/>
        <w:szCs w:val="28"/>
      </w:rPr>
      <w:t>——</w:t>
    </w:r>
  </w:p>
  <w:p w14:paraId="1539D61C">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98564">
    <w:pPr>
      <w:pStyle w:val="8"/>
      <w:framePr w:wrap="around" w:vAnchor="text" w:hAnchor="margin" w:xAlign="outside" w:y="1"/>
      <w:rPr>
        <w:rStyle w:val="13"/>
      </w:rPr>
    </w:pPr>
    <w:r>
      <w:fldChar w:fldCharType="begin"/>
    </w:r>
    <w:r>
      <w:rPr>
        <w:rStyle w:val="13"/>
      </w:rPr>
      <w:instrText xml:space="preserve">PAGE  </w:instrText>
    </w:r>
    <w:r>
      <w:fldChar w:fldCharType="separate"/>
    </w:r>
    <w:r>
      <w:rPr>
        <w:rStyle w:val="13"/>
      </w:rPr>
      <w:t xml:space="preserve"> </w:t>
    </w:r>
    <w:r>
      <w:fldChar w:fldCharType="end"/>
    </w:r>
  </w:p>
  <w:p w14:paraId="02620BAE">
    <w:pPr>
      <w:pStyle w:val="8"/>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18045"/>
    <w:multiLevelType w:val="singleLevel"/>
    <w:tmpl w:val="8F518045"/>
    <w:lvl w:ilvl="0" w:tentative="0">
      <w:start w:val="8"/>
      <w:numFmt w:val="chineseCounting"/>
      <w:suff w:val="nothing"/>
      <w:lvlText w:val="%1、"/>
      <w:lvlJc w:val="left"/>
      <w:rPr>
        <w:rFonts w:hint="eastAsia"/>
      </w:rPr>
    </w:lvl>
  </w:abstractNum>
  <w:abstractNum w:abstractNumId="1">
    <w:nsid w:val="1E440416"/>
    <w:multiLevelType w:val="singleLevel"/>
    <w:tmpl w:val="1E440416"/>
    <w:lvl w:ilvl="0" w:tentative="0">
      <w:start w:val="2"/>
      <w:numFmt w:val="chineseCounting"/>
      <w:suff w:val="nothing"/>
      <w:lvlText w:val="（%1）"/>
      <w:lvlJc w:val="left"/>
      <w:rPr>
        <w:rFonts w:hint="eastAsia"/>
      </w:rPr>
    </w:lvl>
  </w:abstractNum>
  <w:abstractNum w:abstractNumId="2">
    <w:nsid w:val="59908F2F"/>
    <w:multiLevelType w:val="singleLevel"/>
    <w:tmpl w:val="59908F2F"/>
    <w:lvl w:ilvl="0" w:tentative="0">
      <w:start w:val="3"/>
      <w:numFmt w:val="chineseCounting"/>
      <w:suff w:val="nothing"/>
      <w:lvlText w:val="%1、"/>
      <w:lvlJc w:val="left"/>
      <w:rPr>
        <w:rFonts w:hint="eastAsia"/>
      </w:rPr>
    </w:lvl>
  </w:abstractNum>
  <w:abstractNum w:abstractNumId="3">
    <w:nsid w:val="75D2AEB9"/>
    <w:multiLevelType w:val="singleLevel"/>
    <w:tmpl w:val="75D2AEB9"/>
    <w:lvl w:ilvl="0" w:tentative="0">
      <w:start w:val="1"/>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597"/>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g1NWY1NTNjZTY3MmYwYWE0N2NlMjQwNzFjNGEzZTIifQ=="/>
  </w:docVars>
  <w:rsids>
    <w:rsidRoot w:val="00172A27"/>
    <w:rsid w:val="00017707"/>
    <w:rsid w:val="00030000"/>
    <w:rsid w:val="0003303B"/>
    <w:rsid w:val="0004493F"/>
    <w:rsid w:val="00075035"/>
    <w:rsid w:val="000924B2"/>
    <w:rsid w:val="000B22DE"/>
    <w:rsid w:val="000B2DB7"/>
    <w:rsid w:val="000B5001"/>
    <w:rsid w:val="000B5584"/>
    <w:rsid w:val="000D06F4"/>
    <w:rsid w:val="000D4AF4"/>
    <w:rsid w:val="0013569A"/>
    <w:rsid w:val="00156CC0"/>
    <w:rsid w:val="00160B07"/>
    <w:rsid w:val="001772EC"/>
    <w:rsid w:val="00204FC8"/>
    <w:rsid w:val="002102B3"/>
    <w:rsid w:val="0021148F"/>
    <w:rsid w:val="0022532A"/>
    <w:rsid w:val="00231C79"/>
    <w:rsid w:val="002370E4"/>
    <w:rsid w:val="00260D91"/>
    <w:rsid w:val="00265785"/>
    <w:rsid w:val="00282F1C"/>
    <w:rsid w:val="00293A0A"/>
    <w:rsid w:val="002A26A6"/>
    <w:rsid w:val="002B194C"/>
    <w:rsid w:val="002D0C76"/>
    <w:rsid w:val="002D3CE8"/>
    <w:rsid w:val="00331D18"/>
    <w:rsid w:val="003501B5"/>
    <w:rsid w:val="00356191"/>
    <w:rsid w:val="003A14FB"/>
    <w:rsid w:val="003A2560"/>
    <w:rsid w:val="003D7EAA"/>
    <w:rsid w:val="003E7C35"/>
    <w:rsid w:val="003E7EC4"/>
    <w:rsid w:val="0043139F"/>
    <w:rsid w:val="0045726B"/>
    <w:rsid w:val="004670F6"/>
    <w:rsid w:val="00474F5A"/>
    <w:rsid w:val="00480994"/>
    <w:rsid w:val="004A19BD"/>
    <w:rsid w:val="004D786C"/>
    <w:rsid w:val="005534D4"/>
    <w:rsid w:val="005B191B"/>
    <w:rsid w:val="00605B38"/>
    <w:rsid w:val="00607E1C"/>
    <w:rsid w:val="0061648C"/>
    <w:rsid w:val="006169B1"/>
    <w:rsid w:val="006324C4"/>
    <w:rsid w:val="00637988"/>
    <w:rsid w:val="00655D82"/>
    <w:rsid w:val="00661BE3"/>
    <w:rsid w:val="00680A52"/>
    <w:rsid w:val="006C039F"/>
    <w:rsid w:val="006E40CD"/>
    <w:rsid w:val="006E6782"/>
    <w:rsid w:val="006E6B10"/>
    <w:rsid w:val="00715B72"/>
    <w:rsid w:val="00724ADC"/>
    <w:rsid w:val="00732E06"/>
    <w:rsid w:val="007B1D84"/>
    <w:rsid w:val="007B5DB1"/>
    <w:rsid w:val="007C547B"/>
    <w:rsid w:val="007C73B3"/>
    <w:rsid w:val="007E32B0"/>
    <w:rsid w:val="007E5D6A"/>
    <w:rsid w:val="007F1129"/>
    <w:rsid w:val="00831A44"/>
    <w:rsid w:val="00832441"/>
    <w:rsid w:val="0089113F"/>
    <w:rsid w:val="008A1F68"/>
    <w:rsid w:val="008B57F4"/>
    <w:rsid w:val="008C209B"/>
    <w:rsid w:val="008C4061"/>
    <w:rsid w:val="008D1FDF"/>
    <w:rsid w:val="008D5C51"/>
    <w:rsid w:val="008F131B"/>
    <w:rsid w:val="009230DF"/>
    <w:rsid w:val="009445AE"/>
    <w:rsid w:val="009465BA"/>
    <w:rsid w:val="009970F8"/>
    <w:rsid w:val="009A4B1E"/>
    <w:rsid w:val="009B79D0"/>
    <w:rsid w:val="009C60CA"/>
    <w:rsid w:val="009E3264"/>
    <w:rsid w:val="00A01ED1"/>
    <w:rsid w:val="00A1344D"/>
    <w:rsid w:val="00A80DD2"/>
    <w:rsid w:val="00A81EF6"/>
    <w:rsid w:val="00AB7078"/>
    <w:rsid w:val="00AD3130"/>
    <w:rsid w:val="00B656BB"/>
    <w:rsid w:val="00BB5CCB"/>
    <w:rsid w:val="00BE3036"/>
    <w:rsid w:val="00BF626C"/>
    <w:rsid w:val="00C11800"/>
    <w:rsid w:val="00C351AF"/>
    <w:rsid w:val="00C6227D"/>
    <w:rsid w:val="00C95B73"/>
    <w:rsid w:val="00CA61A9"/>
    <w:rsid w:val="00CB38E2"/>
    <w:rsid w:val="00CC5923"/>
    <w:rsid w:val="00D93B34"/>
    <w:rsid w:val="00D946A2"/>
    <w:rsid w:val="00D97E83"/>
    <w:rsid w:val="00DA3F1E"/>
    <w:rsid w:val="00DA509B"/>
    <w:rsid w:val="00DA54D3"/>
    <w:rsid w:val="00DB4B37"/>
    <w:rsid w:val="00DC3353"/>
    <w:rsid w:val="00DF04D8"/>
    <w:rsid w:val="00E04D9D"/>
    <w:rsid w:val="00E15E55"/>
    <w:rsid w:val="00E245B7"/>
    <w:rsid w:val="00E3107B"/>
    <w:rsid w:val="00E333D9"/>
    <w:rsid w:val="00E4726C"/>
    <w:rsid w:val="00E55010"/>
    <w:rsid w:val="00E74F10"/>
    <w:rsid w:val="00E84C4C"/>
    <w:rsid w:val="00E8685F"/>
    <w:rsid w:val="00EC79E4"/>
    <w:rsid w:val="00F17404"/>
    <w:rsid w:val="00F31ADC"/>
    <w:rsid w:val="00F64CFF"/>
    <w:rsid w:val="00F77E74"/>
    <w:rsid w:val="00F85445"/>
    <w:rsid w:val="00F95FF1"/>
    <w:rsid w:val="00FB5286"/>
    <w:rsid w:val="00FB73F6"/>
    <w:rsid w:val="00FD30D9"/>
    <w:rsid w:val="02E87B9E"/>
    <w:rsid w:val="05127F61"/>
    <w:rsid w:val="05C026CA"/>
    <w:rsid w:val="060F0626"/>
    <w:rsid w:val="06483AE2"/>
    <w:rsid w:val="068833E4"/>
    <w:rsid w:val="07006549"/>
    <w:rsid w:val="077D1172"/>
    <w:rsid w:val="08385949"/>
    <w:rsid w:val="0984741A"/>
    <w:rsid w:val="0A8C241E"/>
    <w:rsid w:val="0B4473C4"/>
    <w:rsid w:val="0C05698C"/>
    <w:rsid w:val="0C131C67"/>
    <w:rsid w:val="0C93515C"/>
    <w:rsid w:val="0C9A22DD"/>
    <w:rsid w:val="0CC0148E"/>
    <w:rsid w:val="0CCC63E5"/>
    <w:rsid w:val="0D6211AF"/>
    <w:rsid w:val="0DB94C1E"/>
    <w:rsid w:val="10273052"/>
    <w:rsid w:val="10EB1856"/>
    <w:rsid w:val="12491394"/>
    <w:rsid w:val="125A1BAE"/>
    <w:rsid w:val="145D2A7E"/>
    <w:rsid w:val="150C2B7A"/>
    <w:rsid w:val="15204125"/>
    <w:rsid w:val="15FC2543"/>
    <w:rsid w:val="15FE7BDA"/>
    <w:rsid w:val="16F43ECF"/>
    <w:rsid w:val="1783086D"/>
    <w:rsid w:val="17C36A63"/>
    <w:rsid w:val="17EF6030"/>
    <w:rsid w:val="1AFF09DE"/>
    <w:rsid w:val="1C866977"/>
    <w:rsid w:val="1CC166FF"/>
    <w:rsid w:val="1CFB0973"/>
    <w:rsid w:val="1E3C7540"/>
    <w:rsid w:val="1FD7587F"/>
    <w:rsid w:val="219C79FB"/>
    <w:rsid w:val="21EB08E1"/>
    <w:rsid w:val="231A72B3"/>
    <w:rsid w:val="25382169"/>
    <w:rsid w:val="25D1175D"/>
    <w:rsid w:val="25E03713"/>
    <w:rsid w:val="26AD2A7F"/>
    <w:rsid w:val="27DC180E"/>
    <w:rsid w:val="27FC1F3A"/>
    <w:rsid w:val="28752DA9"/>
    <w:rsid w:val="28BC375A"/>
    <w:rsid w:val="296A740D"/>
    <w:rsid w:val="29EB3F42"/>
    <w:rsid w:val="2A501DC4"/>
    <w:rsid w:val="2AB16E57"/>
    <w:rsid w:val="2AF84E3D"/>
    <w:rsid w:val="2B4F360E"/>
    <w:rsid w:val="2BD10B3A"/>
    <w:rsid w:val="2C22545B"/>
    <w:rsid w:val="2DFB6A54"/>
    <w:rsid w:val="2E735971"/>
    <w:rsid w:val="2EB2065F"/>
    <w:rsid w:val="2EC55D8E"/>
    <w:rsid w:val="2F8623A8"/>
    <w:rsid w:val="31E637B4"/>
    <w:rsid w:val="32125035"/>
    <w:rsid w:val="328007CD"/>
    <w:rsid w:val="34565655"/>
    <w:rsid w:val="34D33032"/>
    <w:rsid w:val="36D93411"/>
    <w:rsid w:val="377E4FAF"/>
    <w:rsid w:val="38573FC6"/>
    <w:rsid w:val="391334D5"/>
    <w:rsid w:val="39A60455"/>
    <w:rsid w:val="3A4F6EE3"/>
    <w:rsid w:val="3ADE5178"/>
    <w:rsid w:val="3BFC7ED0"/>
    <w:rsid w:val="3CD81056"/>
    <w:rsid w:val="3D3E5FB9"/>
    <w:rsid w:val="3E0F54ED"/>
    <w:rsid w:val="40095748"/>
    <w:rsid w:val="40627A03"/>
    <w:rsid w:val="40E234C0"/>
    <w:rsid w:val="4268732D"/>
    <w:rsid w:val="42EE7D52"/>
    <w:rsid w:val="43C71199"/>
    <w:rsid w:val="44C57BFA"/>
    <w:rsid w:val="47ED578E"/>
    <w:rsid w:val="48DE68EB"/>
    <w:rsid w:val="4A51167B"/>
    <w:rsid w:val="4AAE5FAB"/>
    <w:rsid w:val="4C4C5224"/>
    <w:rsid w:val="4C8B5B16"/>
    <w:rsid w:val="4D445EFB"/>
    <w:rsid w:val="4E9904C8"/>
    <w:rsid w:val="4F9949A4"/>
    <w:rsid w:val="528946E8"/>
    <w:rsid w:val="5479292E"/>
    <w:rsid w:val="55A034D8"/>
    <w:rsid w:val="579765FF"/>
    <w:rsid w:val="587A2AD1"/>
    <w:rsid w:val="590806BF"/>
    <w:rsid w:val="59D62F8D"/>
    <w:rsid w:val="5B5D4CEC"/>
    <w:rsid w:val="5BF67C2A"/>
    <w:rsid w:val="5BF94355"/>
    <w:rsid w:val="5E741A4D"/>
    <w:rsid w:val="5EE43432"/>
    <w:rsid w:val="5F8818D4"/>
    <w:rsid w:val="5FE607D7"/>
    <w:rsid w:val="607D14E3"/>
    <w:rsid w:val="60F60068"/>
    <w:rsid w:val="644256CC"/>
    <w:rsid w:val="646F3B20"/>
    <w:rsid w:val="650E74A3"/>
    <w:rsid w:val="657F0502"/>
    <w:rsid w:val="668F68E2"/>
    <w:rsid w:val="67740FD2"/>
    <w:rsid w:val="67BC32EF"/>
    <w:rsid w:val="67DF1C3C"/>
    <w:rsid w:val="6EC802E2"/>
    <w:rsid w:val="6F924D32"/>
    <w:rsid w:val="6FA94A4C"/>
    <w:rsid w:val="714402A8"/>
    <w:rsid w:val="71687EC5"/>
    <w:rsid w:val="720B6FBB"/>
    <w:rsid w:val="74B17A6A"/>
    <w:rsid w:val="74B4659B"/>
    <w:rsid w:val="75AF5FCD"/>
    <w:rsid w:val="76A855A3"/>
    <w:rsid w:val="78B23A8C"/>
    <w:rsid w:val="793731F4"/>
    <w:rsid w:val="79850AF1"/>
    <w:rsid w:val="79C1605A"/>
    <w:rsid w:val="7ABE07EB"/>
    <w:rsid w:val="7B580C40"/>
    <w:rsid w:val="7BB22E0C"/>
    <w:rsid w:val="7BC3191A"/>
    <w:rsid w:val="7BDC2893"/>
    <w:rsid w:val="7C031A53"/>
    <w:rsid w:val="7C9537CE"/>
    <w:rsid w:val="7CEE5846"/>
    <w:rsid w:val="7DF369FE"/>
    <w:rsid w:val="7E135600"/>
    <w:rsid w:val="7EAD6162"/>
    <w:rsid w:val="7F0E47F4"/>
    <w:rsid w:val="7F185D55"/>
    <w:rsid w:val="7FF37FEC"/>
    <w:rsid w:val="BF7F6430"/>
    <w:rsid w:val="F9FFAF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qFormat/>
    <w:uiPriority w:val="0"/>
    <w:rPr>
      <w:rFonts w:ascii="Times New Roman" w:hAnsi="Times New Roman" w:eastAsia="仿宋_GB2312" w:cs="Times New Roman"/>
    </w:rPr>
  </w:style>
  <w:style w:type="table" w:default="1" w:styleId="11">
    <w:name w:val="Normal Table"/>
    <w:qFormat/>
    <w:uiPriority w:val="0"/>
    <w:rPr>
      <w:rFonts w:ascii="Times New Roman" w:hAnsi="Times New Roman" w:eastAsia="仿宋_GB2312" w:cs="Times New Roman"/>
    </w:rPr>
    <w:tblPr>
      <w:tblCellMar>
        <w:top w:w="0" w:type="dxa"/>
        <w:left w:w="108" w:type="dxa"/>
        <w:bottom w:w="0" w:type="dxa"/>
        <w:right w:w="108" w:type="dxa"/>
      </w:tblCellMar>
    </w:tblPr>
  </w:style>
  <w:style w:type="paragraph" w:styleId="2">
    <w:name w:val="Normal Indent"/>
    <w:basedOn w:val="1"/>
    <w:next w:val="3"/>
    <w:qFormat/>
    <w:uiPriority w:val="0"/>
    <w:pPr>
      <w:widowControl/>
      <w:ind w:firstLine="420"/>
      <w:jc w:val="left"/>
    </w:pPr>
    <w:rPr>
      <w:rFonts w:ascii="Times New Roman" w:hAnsi="Times New Roman" w:cs="Times New Roman"/>
      <w:kern w:val="0"/>
      <w:sz w:val="20"/>
      <w:szCs w:val="20"/>
    </w:rPr>
  </w:style>
  <w:style w:type="paragraph" w:styleId="3">
    <w:name w:val="List Paragraph"/>
    <w:basedOn w:val="1"/>
    <w:qFormat/>
    <w:uiPriority w:val="0"/>
    <w:pPr>
      <w:widowControl w:val="0"/>
      <w:spacing w:after="0"/>
      <w:ind w:firstLine="420" w:firstLineChars="200"/>
      <w:jc w:val="both"/>
    </w:pPr>
    <w:rPr>
      <w:rFonts w:ascii="Calibri" w:hAnsi="Calibri" w:eastAsia="宋体" w:cs="Times New Roman"/>
      <w:kern w:val="2"/>
      <w:sz w:val="21"/>
      <w:szCs w:val="22"/>
      <w:lang w:val="en-US" w:eastAsia="zh-CN" w:bidi="ar-SA"/>
    </w:rPr>
  </w:style>
  <w:style w:type="paragraph" w:styleId="4">
    <w:name w:val="Body Text"/>
    <w:basedOn w:val="1"/>
    <w:qFormat/>
    <w:uiPriority w:val="0"/>
    <w:pPr>
      <w:spacing w:line="400" w:lineRule="atLeast"/>
    </w:pPr>
    <w:rPr>
      <w:rFonts w:ascii="楷体_GB2312" w:hAnsi="Times New Roman" w:eastAsia="楷体_GB2312" w:cs="Times New Roman"/>
      <w:sz w:val="32"/>
    </w:rPr>
  </w:style>
  <w:style w:type="paragraph" w:styleId="5">
    <w:name w:val="Body Text Indent"/>
    <w:basedOn w:val="1"/>
    <w:qFormat/>
    <w:uiPriority w:val="0"/>
    <w:pPr>
      <w:spacing w:line="360" w:lineRule="auto"/>
      <w:ind w:firstLine="200" w:firstLineChars="200"/>
    </w:pPr>
    <w:rPr>
      <w:rFonts w:ascii="方正仿宋_GBK" w:hAnsi="Times New Roman" w:eastAsia="方正仿宋_GBK" w:cs="Times New Roman"/>
      <w:sz w:val="30"/>
    </w:rPr>
  </w:style>
  <w:style w:type="paragraph" w:styleId="6">
    <w:name w:val="Date"/>
    <w:basedOn w:val="1"/>
    <w:next w:val="1"/>
    <w:link w:val="15"/>
    <w:qFormat/>
    <w:uiPriority w:val="0"/>
    <w:pPr>
      <w:ind w:left="100" w:leftChars="2500"/>
    </w:pPr>
    <w:rPr>
      <w:rFonts w:ascii="Times New Roman" w:hAnsi="Times New Roman" w:eastAsia="仿宋_GB2312" w:cs="Times New Roman"/>
    </w:rPr>
  </w:style>
  <w:style w:type="paragraph" w:styleId="7">
    <w:name w:val="Balloon Text"/>
    <w:basedOn w:val="1"/>
    <w:qFormat/>
    <w:uiPriority w:val="0"/>
    <w:rPr>
      <w:rFonts w:ascii="Times New Roman" w:hAnsi="Times New Roman" w:eastAsia="仿宋_GB2312" w:cs="Times New Roman"/>
      <w:sz w:val="18"/>
      <w:szCs w:val="18"/>
    </w:rPr>
  </w:style>
  <w:style w:type="paragraph" w:styleId="8">
    <w:name w:val="footer"/>
    <w:basedOn w:val="1"/>
    <w:qFormat/>
    <w:uiPriority w:val="0"/>
    <w:pPr>
      <w:widowControl w:val="0"/>
      <w:tabs>
        <w:tab w:val="center" w:pos="4140"/>
        <w:tab w:val="right" w:pos="8300"/>
      </w:tabs>
      <w:snapToGrid w:val="0"/>
      <w:spacing w:after="0"/>
      <w:jc w:val="left"/>
    </w:pPr>
    <w:rPr>
      <w:rFonts w:ascii="Times New Roman" w:hAnsi="Times New Roman" w:eastAsia="宋体" w:cs="Times New Roman"/>
      <w:kern w:val="2"/>
      <w:sz w:val="18"/>
      <w:szCs w:val="18"/>
      <w:lang w:val="en-US" w:eastAsia="zh-CN" w:bidi="ar-SA"/>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10">
    <w:name w:val="Normal (Web)"/>
    <w:basedOn w:val="1"/>
    <w:qFormat/>
    <w:uiPriority w:val="0"/>
    <w:pPr>
      <w:widowControl/>
      <w:spacing w:before="100" w:beforeAutospacing="1" w:after="100" w:afterAutospacing="1"/>
      <w:jc w:val="left"/>
    </w:pPr>
    <w:rPr>
      <w:rFonts w:ascii="宋体" w:hAnsi="Times New Roman" w:eastAsia="仿宋_GB2312" w:cs="Times New Roman"/>
      <w:color w:val="000000"/>
      <w:kern w:val="0"/>
      <w:sz w:val="24"/>
    </w:rPr>
  </w:style>
  <w:style w:type="character" w:styleId="13">
    <w:name w:val="page number"/>
    <w:qFormat/>
    <w:uiPriority w:val="0"/>
    <w:rPr>
      <w:rFonts w:ascii="Times New Roman" w:hAnsi="Times New Roman" w:eastAsia="仿宋_GB2312" w:cs="Times New Roman"/>
    </w:rPr>
  </w:style>
  <w:style w:type="paragraph" w:customStyle="1" w:styleId="14">
    <w:name w:val="正文文字"/>
    <w:basedOn w:val="1"/>
    <w:next w:val="1"/>
    <w:unhideWhenUsed/>
    <w:qFormat/>
    <w:uiPriority w:val="99"/>
    <w:rPr>
      <w:rFonts w:hint="eastAsia"/>
    </w:rPr>
  </w:style>
  <w:style w:type="character" w:customStyle="1" w:styleId="15">
    <w:name w:val="日期 字符"/>
    <w:link w:val="6"/>
    <w:qFormat/>
    <w:uiPriority w:val="0"/>
    <w:rPr>
      <w:rFonts w:ascii="Times New Roman" w:hAnsi="Times New Roman" w:eastAsia="宋体" w:cs="Times New Roman"/>
      <w:kern w:val="2"/>
      <w:sz w:val="21"/>
      <w:szCs w:val="24"/>
    </w:rPr>
  </w:style>
  <w:style w:type="paragraph" w:customStyle="1" w:styleId="16">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Company>
  <Pages>39</Pages>
  <Words>10630</Words>
  <Characters>11757</Characters>
  <Lines>90</Lines>
  <Paragraphs>25</Paragraphs>
  <TotalTime>18</TotalTime>
  <ScaleCrop>false</ScaleCrop>
  <LinksUpToDate>false</LinksUpToDate>
  <CharactersWithSpaces>13421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2023-08-31T05:48:00Z</dcterms:created>
  <dc:creator>lzlyc</dc:creator>
  <cp:lastModifiedBy>WPS_1556592900</cp:lastModifiedBy>
  <cp:lastPrinted>2023-08-31T16:08:00Z</cp:lastPrinted>
  <dcterms:modified xsi:type="dcterms:W3CDTF">2025-01-03T07:15:15Z</dcterms:modified>
  <dc:title>此件拟比照国务院办公厅发文由省政府办公厅转发</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68FDE338AAF145CBAD37AE8CC314B6EB_13</vt:lpwstr>
  </property>
  <property fmtid="{D5CDD505-2E9C-101B-9397-08002B2CF9AE}" pid="4" name="KSOTemplateDocerSaveRecord">
    <vt:lpwstr>eyJoZGlkIjoiMzMyMTBhOWU0NjliYzYwNzQwZTljMWI4MDNlYjc3ZWUiLCJ1c2VySWQiOiI1NDA4MDAwNTgifQ==</vt:lpwstr>
  </property>
</Properties>
</file>