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firstLineChars="200"/>
        <w:jc w:val="center"/>
        <w:rPr>
          <w:rFonts w:hint="eastAsia" w:ascii="华文中宋" w:hAnsi="华文中宋" w:eastAsia="华文中宋"/>
          <w:sz w:val="36"/>
          <w:szCs w:val="36"/>
        </w:rPr>
      </w:pPr>
      <w:bookmarkStart w:id="0" w:name="第七部分部门决算分析报告撰写提纲"/>
      <w:bookmarkStart w:id="8" w:name="_GoBack"/>
      <w:bookmarkEnd w:id="8"/>
    </w:p>
    <w:p>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202</w:t>
      </w:r>
      <w:r>
        <w:rPr>
          <w:rFonts w:ascii="华文中宋" w:hAnsi="华文中宋" w:eastAsia="华文中宋"/>
          <w:sz w:val="36"/>
          <w:szCs w:val="36"/>
        </w:rPr>
        <w:t>3</w:t>
      </w:r>
      <w:r>
        <w:rPr>
          <w:rFonts w:hint="eastAsia" w:ascii="华文中宋" w:hAnsi="华文中宋" w:eastAsia="华文中宋"/>
          <w:sz w:val="36"/>
          <w:szCs w:val="36"/>
        </w:rPr>
        <w:t>年度部门决算分析报告</w:t>
      </w:r>
    </w:p>
    <w:p>
      <w:pPr>
        <w:snapToGrid w:val="0"/>
        <w:ind w:firstLine="720" w:firstLineChars="200"/>
        <w:jc w:val="center"/>
        <w:rPr>
          <w:rFonts w:hint="eastAsia" w:ascii="仿宋_GB2312" w:hAnsi="仿宋" w:eastAsia="华文中宋"/>
          <w:sz w:val="32"/>
          <w:szCs w:val="32"/>
          <w:lang w:eastAsia="zh-CN"/>
        </w:rPr>
      </w:pPr>
      <w:r>
        <w:rPr>
          <w:rFonts w:hint="eastAsia" w:ascii="华文中宋" w:hAnsi="华文中宋" w:eastAsia="华文中宋"/>
          <w:sz w:val="36"/>
          <w:szCs w:val="36"/>
          <w:lang w:eastAsia="zh-CN"/>
        </w:rPr>
        <w:t>株洲市档案馆</w:t>
      </w:r>
    </w:p>
    <w:p>
      <w:pPr>
        <w:snapToGrid w:val="0"/>
        <w:spacing w:line="520" w:lineRule="exact"/>
        <w:ind w:firstLine="640" w:firstLineChars="200"/>
        <w:rPr>
          <w:rFonts w:hint="eastAsia" w:ascii="黑体" w:hAnsi="黑体" w:eastAsia="黑体"/>
          <w:sz w:val="32"/>
          <w:szCs w:val="32"/>
        </w:rPr>
      </w:pPr>
      <w:bookmarkStart w:id="1" w:name="YS060101"/>
      <w:r>
        <w:rPr>
          <w:rFonts w:hint="eastAsia" w:ascii="黑体" w:hAnsi="黑体" w:eastAsia="黑体"/>
          <w:sz w:val="32"/>
          <w:szCs w:val="32"/>
        </w:rPr>
        <w:t>一、单位情况</w:t>
      </w:r>
    </w:p>
    <w:bookmarkEnd w:id="1"/>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cs="Times New Roman"/>
          <w:bCs w:val="0"/>
          <w:sz w:val="32"/>
          <w:szCs w:val="32"/>
        </w:rPr>
      </w:pPr>
      <w:r>
        <w:rPr>
          <w:rFonts w:hint="eastAsia" w:ascii="仿宋_GB2312" w:hAnsi="仿宋" w:eastAsia="仿宋_GB2312" w:cs="Times New Roman"/>
          <w:sz w:val="32"/>
          <w:szCs w:val="32"/>
        </w:rPr>
        <w:t>根据相关文件规定，本部门主要职责是：贯彻执行国家、省、市有关档案工作的法律、法规和方针、政策；编制市档案馆档案事业发展中长期规划和年度计划；负责全市档案和已公开现行文件的接收、征集；负责重大活动、重大事件、重要人物档案资料的收集、鉴定、归档；负责馆藏档案的科学分类和保管；负责馆藏档案的统计、鉴定、开放，提供档案资料查阅利用；负责馆藏档案安全，维护档案完整，保守党和国家机密；围绕市委、市政府的中心工作，开展档案宣传、档案文化建设和爱国主义教育；研究、编撰、出版档案史料，利用馆藏档案资料举办展览；负责推进市档案馆数字化建设，开发档案信息资源；负责完成市委、市人民政府、市委办公室交办的其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根据编办核定，我单位内设科室 6 个，分别是：办公室、人事科、接收征集科、保管利用科、编研声像科、科技信息科。所属事业单位 0 个。</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本部门共有编制人数 28人，实有人数30人。</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pPr>
        <w:widowControl/>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
        </w:rPr>
        <w:t>3</w:t>
      </w:r>
      <w:r>
        <w:rPr>
          <w:rFonts w:hint="eastAsia" w:ascii="仿宋_GB2312" w:hAnsi="仿宋" w:eastAsia="仿宋_GB2312" w:cs="Times New Roman"/>
          <w:sz w:val="32"/>
          <w:szCs w:val="32"/>
        </w:rPr>
        <w:t>年，在市委正确领导下，市档案馆以习近平新时代中国特色社会主义思想为指导，</w:t>
      </w:r>
      <w:r>
        <w:rPr>
          <w:rFonts w:hint="eastAsia" w:ascii="仿宋_GB2312" w:hAnsi="仿宋" w:eastAsia="仿宋_GB2312" w:cs="Times New Roman"/>
          <w:kern w:val="2"/>
          <w:sz w:val="32"/>
          <w:szCs w:val="32"/>
          <w:shd w:val="clear" w:color="auto" w:fill="auto"/>
          <w:lang w:bidi="ar"/>
        </w:rPr>
        <w:t>以深入学习贯彻落实党的二十大精神为首要任务，以深入贯彻实施《档案法》和“十四五”档案事业发展规划为主要抓手，坚持“聚焦、裂变、创新、升级、品牌”工作思路，坚持政治建馆、业务立馆、服务强馆、人才兴馆，推动了档案事业创新发展，为“培养制造名城、建设幸福株洲”贡献了档案力量。</w:t>
      </w:r>
    </w:p>
    <w:p>
      <w:pPr>
        <w:numPr>
          <w:ilvl w:val="0"/>
          <w:numId w:val="1"/>
        </w:numPr>
        <w:rPr>
          <w:rFonts w:hint="eastAsia" w:ascii="黑体" w:hAnsi="黑体" w:eastAsia="黑体" w:cs="黑体"/>
          <w:sz w:val="32"/>
          <w:szCs w:val="32"/>
        </w:rPr>
      </w:pPr>
      <w:r>
        <w:rPr>
          <w:rFonts w:hint="eastAsia" w:ascii="黑体" w:hAnsi="黑体" w:eastAsia="黑体" w:cs="黑体"/>
          <w:sz w:val="32"/>
          <w:szCs w:val="32"/>
        </w:rPr>
        <w:t>坚持政治建馆，提升机关党建工作水平</w:t>
      </w:r>
    </w:p>
    <w:p>
      <w:pPr>
        <w:ind w:firstLine="640" w:firstLineChars="200"/>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（一）深入学习贯彻党的二十大精神。</w:t>
      </w:r>
      <w:r>
        <w:rPr>
          <w:rFonts w:hint="eastAsia" w:ascii="仿宋_GB2312" w:hAnsi="仿宋" w:eastAsia="仿宋_GB2312" w:cs="Times New Roman"/>
          <w:sz w:val="32"/>
          <w:szCs w:val="32"/>
        </w:rPr>
        <w:t>始终将学习好、宣传好、贯彻好党的二十大精神作为当前一项重要政治任务，馆党组坚持带头</w:t>
      </w:r>
      <w:r>
        <w:rPr>
          <w:rFonts w:hint="eastAsia" w:ascii="仿宋_GB2312" w:hAnsi="仿宋" w:eastAsia="仿宋_GB2312" w:cs="Times New Roman"/>
          <w:sz w:val="32"/>
          <w:szCs w:val="32"/>
          <w:lang w:val="en"/>
        </w:rPr>
        <w:t>学、深入学、反复学</w:t>
      </w:r>
      <w:r>
        <w:rPr>
          <w:rFonts w:hint="eastAsia" w:ascii="仿宋_GB2312" w:hAnsi="仿宋" w:eastAsia="仿宋_GB2312" w:cs="Times New Roman"/>
          <w:sz w:val="32"/>
          <w:szCs w:val="32"/>
        </w:rPr>
        <w:t>，深刻领会二十大报告的精神内涵，深刻领会新时期新征程对档案工作的新要求，引导干部深刻认识档案工作的政治属性，不断增强“四个意识”，坚定“四个自信”，拥护“两个确立”，自觉涵养对党绝对忠诚的政治品格，确保队伍站稳政治立场、把牢政治方向，奋力</w:t>
      </w:r>
      <w:r>
        <w:rPr>
          <w:rFonts w:hint="eastAsia" w:ascii="仿宋_GB2312" w:hAnsi="仿宋" w:eastAsia="仿宋_GB2312" w:cs="Times New Roman"/>
          <w:kern w:val="2"/>
          <w:sz w:val="32"/>
          <w:szCs w:val="32"/>
          <w:lang w:bidi="ar"/>
        </w:rPr>
        <w:t>将党的二十大报告精神转化为推动株洲档案事业高质量发展的生动实践。</w:t>
      </w:r>
    </w:p>
    <w:p>
      <w:pPr>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 xml:space="preserve">    （二）深入贯彻落实习近平总书记对档案工作的重要指示批示精神。</w:t>
      </w:r>
      <w:r>
        <w:rPr>
          <w:rFonts w:hint="eastAsia" w:ascii="仿宋_GB2312" w:hAnsi="仿宋" w:eastAsia="仿宋_GB2312" w:cs="Times New Roman"/>
          <w:bCs w:val="0"/>
          <w:sz w:val="32"/>
          <w:szCs w:val="32"/>
        </w:rPr>
        <w:t>严格落实</w:t>
      </w:r>
      <w:r>
        <w:rPr>
          <w:rFonts w:hint="eastAsia" w:ascii="仿宋_GB2312" w:hAnsi="仿宋" w:eastAsia="仿宋_GB2312" w:cs="Times New Roman"/>
          <w:sz w:val="32"/>
          <w:szCs w:val="32"/>
        </w:rPr>
        <w:t>“第一议题”学习制度，</w:t>
      </w:r>
      <w:r>
        <w:rPr>
          <w:rFonts w:hint="eastAsia" w:ascii="仿宋_GB2312" w:hAnsi="仿宋" w:eastAsia="仿宋_GB2312" w:cs="Times New Roman"/>
          <w:bCs w:val="0"/>
          <w:sz w:val="32"/>
          <w:szCs w:val="32"/>
        </w:rPr>
        <w:t>深入学习贯彻习近平新时代中国特色社会主义思想、习近平总书记系列重要讲话重要指示批示精神，以及省市重要会议、市委常委会会议精神，确保党中央、省委、市委决策部署落到实处</w:t>
      </w:r>
      <w:r>
        <w:rPr>
          <w:rFonts w:hint="eastAsia" w:ascii="仿宋_GB2312" w:hAnsi="仿宋" w:eastAsia="仿宋_GB2312" w:cs="Times New Roman"/>
          <w:sz w:val="32"/>
          <w:szCs w:val="32"/>
        </w:rPr>
        <w:t>。6月，馆党组书记、馆长刘继承参加省档案局举办的全省档案系统</w:t>
      </w:r>
      <w:r>
        <w:rPr>
          <w:rFonts w:hint="eastAsia" w:ascii="仿宋_GB2312" w:hAnsi="仿宋" w:eastAsia="仿宋_GB2312" w:cs="Times New Roman"/>
          <w:sz w:val="32"/>
          <w:szCs w:val="32"/>
          <w:lang w:val="en"/>
        </w:rPr>
        <w:t>学习贯彻习近平总书记关于档案工作“三个走向”重要论述</w:t>
      </w:r>
      <w:r>
        <w:rPr>
          <w:rFonts w:hint="eastAsia" w:ascii="仿宋_GB2312" w:hAnsi="仿宋" w:eastAsia="仿宋_GB2312" w:cs="Times New Roman"/>
          <w:sz w:val="32"/>
          <w:szCs w:val="32"/>
        </w:rPr>
        <w:t>座谈会，感悟论述内涵和意义，共谋档案事业发展。</w:t>
      </w:r>
    </w:p>
    <w:p>
      <w:pPr>
        <w:pStyle w:val="5"/>
        <w:spacing w:after="0"/>
        <w:ind w:firstLine="640" w:firstLineChars="200"/>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（三）深入推进全面从严治党。</w:t>
      </w:r>
      <w:r>
        <w:rPr>
          <w:rFonts w:hint="eastAsia" w:ascii="仿宋_GB2312" w:hAnsi="仿宋" w:eastAsia="仿宋_GB2312" w:cs="Times New Roman"/>
          <w:sz w:val="32"/>
          <w:szCs w:val="32"/>
        </w:rPr>
        <w:t>坚持把政治纪律和政治规矩挺在前面。认真接受十三届市委第二轮巡察，健全管理制度，强化监督问责，完成了问题整改；认真召开“镜鉴”</w:t>
      </w:r>
      <w:r>
        <w:rPr>
          <w:rFonts w:hint="eastAsia" w:ascii="仿宋_GB2312" w:hAnsi="仿宋" w:eastAsia="仿宋_GB2312" w:cs="Times New Roman"/>
          <w:sz w:val="32"/>
          <w:szCs w:val="32"/>
          <w:lang w:val="en-US"/>
        </w:rPr>
        <w:t>专题民主生活会</w:t>
      </w:r>
      <w:r>
        <w:rPr>
          <w:rFonts w:hint="eastAsia" w:ascii="仿宋_GB2312" w:hAnsi="仿宋" w:eastAsia="仿宋_GB2312" w:cs="Times New Roman"/>
          <w:sz w:val="32"/>
          <w:szCs w:val="32"/>
        </w:rPr>
        <w:t>，深化</w:t>
      </w:r>
      <w:r>
        <w:rPr>
          <w:rFonts w:hint="eastAsia" w:ascii="仿宋_GB2312" w:hAnsi="仿宋" w:eastAsia="仿宋_GB2312" w:cs="Times New Roman"/>
          <w:sz w:val="32"/>
          <w:szCs w:val="32"/>
          <w:lang w:val="en-US"/>
        </w:rPr>
        <w:t>以案明纪、</w:t>
      </w:r>
      <w:r>
        <w:rPr>
          <w:rFonts w:hint="eastAsia" w:ascii="仿宋_GB2312" w:hAnsi="仿宋" w:eastAsia="仿宋_GB2312" w:cs="Times New Roman"/>
          <w:sz w:val="32"/>
          <w:szCs w:val="32"/>
        </w:rPr>
        <w:t>以案促改、以案促治、以案促建工作，净化修复了机关政治生态，推动了党风政风持续好转；扎实开展学习贯彻习近平新时代中国特色社会主义思想主题教育，在加强党性锻炼等各方面取得了实实在在的成效；严格落实中央八项规定精神，持续推进清廉机关建设，筑牢廉洁自律防线，全馆全年未发生一例干部违纪违法案例。</w:t>
      </w:r>
    </w:p>
    <w:p>
      <w:pPr>
        <w:rPr>
          <w:sz w:val="32"/>
          <w:szCs w:val="32"/>
        </w:rPr>
      </w:pPr>
      <w:r>
        <w:rPr>
          <w:rFonts w:hint="eastAsia" w:ascii="方正仿宋_GBK" w:hAnsi="方正仿宋_GBK" w:eastAsia="方正仿宋_GBK" w:cs="方正仿宋_GBK"/>
          <w:sz w:val="32"/>
          <w:szCs w:val="32"/>
        </w:rPr>
        <w:t xml:space="preserve">  </w:t>
      </w:r>
      <w:r>
        <w:rPr>
          <w:rFonts w:hint="eastAsia" w:ascii="楷体_GB2312" w:hAnsi="楷体_GB2312" w:eastAsia="楷体_GB2312" w:cs="楷体_GB2312"/>
          <w:sz w:val="32"/>
          <w:szCs w:val="32"/>
        </w:rPr>
        <w:t xml:space="preserve">  </w:t>
      </w:r>
      <w:r>
        <w:rPr>
          <w:rFonts w:hint="eastAsia" w:ascii="华文楷体" w:hAnsi="华文楷体" w:eastAsia="华文楷体" w:cs="华文楷体"/>
          <w:sz w:val="32"/>
          <w:szCs w:val="32"/>
        </w:rPr>
        <w:t>（四）深入开展“作风建设年”活动。</w:t>
      </w:r>
      <w:r>
        <w:rPr>
          <w:rFonts w:hint="eastAsia" w:ascii="仿宋_GB2312" w:hAnsi="仿宋" w:eastAsia="仿宋_GB2312" w:cs="Times New Roman"/>
          <w:sz w:val="32"/>
          <w:szCs w:val="32"/>
        </w:rPr>
        <w:t>根据市委、市政府”作风建设年”工作要求，成立由单位一把手任组长的活动领导小组，制定了活动实施方案，分步分阶段推进，主要开展“讲政治铸忠诚、讲学习强专业、讲担当重创新、讲落实促高效、讲规矩守廉洁”五大专项行动，着力解决干部站位不高、能力不足、状态不佳、服务不优、自律不够六个方面问题。结合大兴调查研究，</w:t>
      </w:r>
      <w:r>
        <w:rPr>
          <w:rFonts w:hint="eastAsia" w:ascii="仿宋_GB2312" w:hAnsi="仿宋" w:eastAsia="仿宋_GB2312" w:cs="Times New Roman"/>
          <w:kern w:val="2"/>
          <w:sz w:val="32"/>
          <w:szCs w:val="32"/>
          <w:shd w:val="clear" w:color="auto" w:fill="auto"/>
          <w:lang w:bidi="ar"/>
        </w:rPr>
        <w:t>领导干部带头深入基层一线，为群众谋实招、办实事，形成了丰富的调研成果，解决了系列的民生问题。</w:t>
      </w:r>
    </w:p>
    <w:p>
      <w:pPr>
        <w:ind w:firstLine="642"/>
        <w:rPr>
          <w:rFonts w:hint="eastAsia" w:ascii="方正仿宋简体" w:hAnsi="方正仿宋简体" w:eastAsia="方正仿宋简体" w:cs="方正仿宋简体"/>
          <w:spacing w:val="-4"/>
          <w:sz w:val="32"/>
          <w:szCs w:val="32"/>
        </w:rPr>
      </w:pPr>
      <w:r>
        <w:rPr>
          <w:rFonts w:hint="eastAsia" w:ascii="华文楷体" w:hAnsi="华文楷体" w:eastAsia="华文楷体" w:cs="华文楷体"/>
          <w:sz w:val="32"/>
          <w:szCs w:val="32"/>
        </w:rPr>
        <w:t>（五）</w:t>
      </w:r>
      <w:r>
        <w:rPr>
          <w:rFonts w:hint="eastAsia" w:ascii="华文楷体" w:hAnsi="华文楷体" w:eastAsia="华文楷体" w:cs="华文楷体"/>
          <w:color w:val="222222"/>
          <w:kern w:val="0"/>
          <w:sz w:val="32"/>
          <w:szCs w:val="32"/>
          <w:shd w:val="clear" w:color="auto" w:fill="FFFFFF"/>
          <w:lang w:bidi="ar"/>
        </w:rPr>
        <w:t>切实抓好意识形态工作</w:t>
      </w:r>
      <w:r>
        <w:rPr>
          <w:rFonts w:hint="eastAsia" w:ascii="华文楷体" w:hAnsi="华文楷体" w:eastAsia="华文楷体" w:cs="华文楷体"/>
          <w:sz w:val="32"/>
          <w:szCs w:val="32"/>
        </w:rPr>
        <w:t>。</w:t>
      </w:r>
      <w:r>
        <w:rPr>
          <w:rFonts w:hint="eastAsia" w:ascii="仿宋_GB2312" w:hAnsi="仿宋" w:eastAsia="仿宋_GB2312" w:cs="Times New Roman"/>
          <w:color w:val="000000"/>
          <w:sz w:val="32"/>
          <w:szCs w:val="32"/>
        </w:rPr>
        <w:t>坚持做到意识形态工作“四个纳入”“四个同步”，馆党组</w:t>
      </w:r>
      <w:r>
        <w:rPr>
          <w:rFonts w:hint="eastAsia" w:ascii="仿宋_GB2312" w:hAnsi="仿宋" w:eastAsia="仿宋_GB2312" w:cs="Times New Roman"/>
          <w:sz w:val="32"/>
          <w:szCs w:val="32"/>
        </w:rPr>
        <w:t>定期分析研究问题形势，定期听取工作汇报，定期组织专题学习</w:t>
      </w:r>
      <w:r>
        <w:rPr>
          <w:rFonts w:hint="eastAsia" w:ascii="仿宋_GB2312" w:hAnsi="仿宋" w:eastAsia="仿宋_GB2312" w:cs="Times New Roman"/>
          <w:spacing w:val="0"/>
          <w:sz w:val="32"/>
          <w:szCs w:val="32"/>
        </w:rPr>
        <w:t>。坚持把牢思想舆论阵地，在株洲日报、株洲新闻频道、今天头条等媒体宣传档案工作亮点，用档案讲好党的故事、株洲故事，传递正能量，弘扬主旋律；坚持贯彻总体国家安全观，</w:t>
      </w:r>
      <w:r>
        <w:rPr>
          <w:rFonts w:hint="eastAsia" w:ascii="仿宋_GB2312" w:hAnsi="仿宋" w:eastAsia="仿宋_GB2312" w:cs="Times New Roman"/>
          <w:sz w:val="32"/>
          <w:szCs w:val="32"/>
        </w:rPr>
        <w:t>严格落实保密法律法规有关要求，加强单位</w:t>
      </w:r>
      <w:r>
        <w:rPr>
          <w:rFonts w:hint="eastAsia" w:ascii="仿宋_GB2312" w:hAnsi="仿宋" w:eastAsia="仿宋_GB2312" w:cs="Times New Roman"/>
          <w:spacing w:val="0"/>
          <w:sz w:val="32"/>
          <w:szCs w:val="32"/>
        </w:rPr>
        <w:t>微信群、QQ群管理，禁止传播错误思想言论，禁止泄露涉密信息。</w:t>
      </w:r>
    </w:p>
    <w:p>
      <w:pPr>
        <w:rPr>
          <w:rFonts w:hint="eastAsia" w:ascii="黑体" w:hAnsi="黑体" w:eastAsia="黑体" w:cs="黑体"/>
          <w:sz w:val="32"/>
          <w:szCs w:val="32"/>
        </w:rPr>
      </w:pPr>
      <w:r>
        <w:rPr>
          <w:rFonts w:hint="eastAsia" w:ascii="华文楷体" w:hAnsi="华文楷体" w:eastAsia="华文楷体" w:cs="华文楷体"/>
          <w:sz w:val="32"/>
          <w:szCs w:val="32"/>
        </w:rPr>
        <w:t xml:space="preserve">    </w:t>
      </w:r>
      <w:r>
        <w:rPr>
          <w:rFonts w:hint="eastAsia" w:ascii="黑体" w:hAnsi="黑体" w:eastAsia="黑体" w:cs="黑体"/>
          <w:sz w:val="32"/>
          <w:szCs w:val="32"/>
        </w:rPr>
        <w:t>二、坚持业务立馆，推动档案事业创新发展</w:t>
      </w:r>
    </w:p>
    <w:p>
      <w:pPr>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rPr>
        <w:t xml:space="preserve">    </w:t>
      </w:r>
      <w:r>
        <w:rPr>
          <w:rFonts w:hint="eastAsia" w:ascii="华文楷体" w:hAnsi="华文楷体" w:eastAsia="华文楷体" w:cs="华文楷体"/>
          <w:sz w:val="32"/>
          <w:szCs w:val="32"/>
        </w:rPr>
        <w:t>（一）顺利完成业务建设评价工作。</w:t>
      </w:r>
      <w:r>
        <w:rPr>
          <w:rFonts w:hint="eastAsia" w:ascii="仿宋_GB2312" w:hAnsi="仿宋" w:eastAsia="仿宋_GB2312" w:cs="Times New Roman"/>
          <w:sz w:val="32"/>
          <w:szCs w:val="32"/>
        </w:rPr>
        <w:t>根据湖南省档案局安排，今年对全省各市州综合档案馆开展业务建设评价工作，评价结果直接影响综合档案馆排名月。为做好迎评工作，我馆</w:t>
      </w:r>
      <w:r>
        <w:rPr>
          <w:rFonts w:hint="eastAsia" w:ascii="仿宋_GB2312" w:hAnsi="仿宋" w:eastAsia="仿宋_GB2312" w:cs="Times New Roman"/>
          <w:color w:val="000000"/>
          <w:sz w:val="32"/>
          <w:szCs w:val="32"/>
          <w:shd w:val="clear" w:color="auto" w:fill="auto"/>
        </w:rPr>
        <w:t>严格对标对表，</w:t>
      </w:r>
      <w:r>
        <w:rPr>
          <w:rFonts w:hint="eastAsia" w:ascii="仿宋_GB2312" w:hAnsi="仿宋" w:eastAsia="仿宋_GB2312" w:cs="Times New Roman"/>
          <w:sz w:val="32"/>
          <w:szCs w:val="32"/>
        </w:rPr>
        <w:t>将评价内容中的</w:t>
      </w:r>
      <w:r>
        <w:rPr>
          <w:rFonts w:hint="eastAsia" w:ascii="仿宋_GB2312" w:hAnsi="仿宋" w:eastAsia="仿宋_GB2312" w:cs="Times New Roman"/>
          <w:color w:val="000000"/>
          <w:sz w:val="32"/>
          <w:szCs w:val="32"/>
          <w:shd w:val="clear" w:color="auto" w:fill="auto"/>
        </w:rPr>
        <w:t>97项指标细化为324项具体任务清单，对照清单全面自查，形成了自查报告并报送至省档案局。同时根据自查发现的问题，逐条逐项开展了整改。9月中旬，圆满完成了评价工作，省业务建设评价专家组对我馆各项工作给予了高度评价。</w:t>
      </w:r>
    </w:p>
    <w:p>
      <w:pPr>
        <w:ind w:firstLine="640"/>
        <w:rPr>
          <w:rFonts w:hint="eastAsia" w:ascii="方正仿宋_GBK" w:hAnsi="方正仿宋_GBK" w:eastAsia="方正仿宋_GBK" w:cs="方正仿宋_GBK"/>
          <w:sz w:val="32"/>
          <w:szCs w:val="32"/>
        </w:rPr>
      </w:pPr>
      <w:r>
        <w:rPr>
          <w:rFonts w:hint="eastAsia" w:ascii="华文楷体" w:hAnsi="华文楷体" w:eastAsia="华文楷体" w:cs="华文楷体"/>
          <w:color w:val="000000"/>
          <w:sz w:val="32"/>
          <w:szCs w:val="32"/>
          <w:shd w:val="clear" w:color="auto" w:fill="FFFFFF"/>
        </w:rPr>
        <w:t>（二）不断强化档案资源体系建设。</w:t>
      </w:r>
      <w:r>
        <w:rPr>
          <w:rFonts w:hint="eastAsia" w:ascii="仿宋_GB2312" w:hAnsi="仿宋" w:eastAsia="仿宋_GB2312" w:cs="Times New Roman"/>
          <w:color w:val="000000"/>
          <w:sz w:val="32"/>
          <w:szCs w:val="32"/>
          <w:shd w:val="clear" w:color="auto" w:fill="auto"/>
        </w:rPr>
        <w:t>以总量丰富、结构优化、门类多样为目标，加大馆藏资源建设力度。加强</w:t>
      </w:r>
      <w:r>
        <w:rPr>
          <w:rFonts w:hint="eastAsia" w:ascii="仿宋_GB2312" w:hAnsi="仿宋" w:eastAsia="仿宋_GB2312" w:cs="Times New Roman"/>
          <w:sz w:val="32"/>
          <w:szCs w:val="32"/>
        </w:rPr>
        <w:t>新一轮档案接收工作，截至12月完成了30余家市直机关、企业事业单位的纸质档案和电子档案进馆工作，共接收进馆档案8万余件。启动了政府公开信息接收和整理工作，8家单位报送了相关资料。新接收了轨道交通博览会等重大活动档案进馆。</w:t>
      </w:r>
    </w:p>
    <w:p>
      <w:pPr>
        <w:ind w:firstLine="640"/>
        <w:rPr>
          <w:rFonts w:ascii="方正仿宋简体" w:hAnsi="微软雅黑" w:eastAsia="方正仿宋简体" w:cs="方正仿宋简体"/>
          <w:color w:val="000000"/>
          <w:sz w:val="32"/>
          <w:szCs w:val="32"/>
          <w:shd w:val="clear" w:color="auto" w:fill="FFFFFF"/>
        </w:rPr>
      </w:pPr>
      <w:r>
        <w:rPr>
          <w:rFonts w:hint="eastAsia" w:ascii="华文楷体" w:hAnsi="华文楷体" w:eastAsia="华文楷体" w:cs="华文楷体"/>
          <w:color w:val="000000"/>
          <w:sz w:val="32"/>
          <w:szCs w:val="32"/>
          <w:shd w:val="clear" w:color="auto" w:fill="FFFFFF"/>
        </w:rPr>
        <w:t>（三）持续强化档案安全体系建设。</w:t>
      </w:r>
      <w:r>
        <w:rPr>
          <w:rFonts w:hint="eastAsia" w:ascii="仿宋_GB2312" w:hAnsi="仿宋" w:eastAsia="仿宋_GB2312" w:cs="Times New Roman"/>
          <w:color w:val="000000"/>
          <w:sz w:val="32"/>
          <w:szCs w:val="32"/>
          <w:shd w:val="clear" w:color="auto" w:fill="auto"/>
        </w:rPr>
        <w:t>坚守档案安全防线，加强档案安全管理，一是确保档案实体安全，严格做好档案进出库管理，认真抓好馆库日常安全维护，定期开展水、火、电等安全隐患排查，完善七楼库房安全设备设施。二是确保档案信息安全，实施档案利用和档案数字化加工全过程监控，严格档案查阅利用过程中的审核把关，严格档案移交过程中的涉密处理。全馆未发生一例档案安全事故。</w:t>
      </w:r>
    </w:p>
    <w:p>
      <w:pPr>
        <w:ind w:firstLine="640"/>
        <w:rPr>
          <w:rFonts w:hint="eastAsia" w:ascii="方正仿宋简体" w:hAnsi="微软雅黑" w:eastAsia="方正仿宋简体" w:cs="方正仿宋简体"/>
          <w:color w:val="000000"/>
          <w:sz w:val="32"/>
          <w:szCs w:val="32"/>
          <w:shd w:val="clear" w:color="auto" w:fill="FFFFFF"/>
        </w:rPr>
      </w:pPr>
      <w:r>
        <w:rPr>
          <w:rFonts w:hint="eastAsia" w:ascii="华文楷体" w:hAnsi="华文楷体" w:eastAsia="华文楷体" w:cs="华文楷体"/>
          <w:sz w:val="32"/>
          <w:szCs w:val="32"/>
        </w:rPr>
        <w:t>（四）全力加快档案信息化建设。</w:t>
      </w:r>
      <w:r>
        <w:rPr>
          <w:rFonts w:hint="eastAsia" w:ascii="仿宋_GB2312" w:hAnsi="仿宋" w:eastAsia="仿宋_GB2312" w:cs="Times New Roman"/>
          <w:sz w:val="32"/>
          <w:szCs w:val="32"/>
        </w:rPr>
        <w:t>根据市委常委会要求，以建成数字档案馆为目标，想方设法加快项目建设进度，前期共计</w:t>
      </w:r>
      <w:r>
        <w:rPr>
          <w:rFonts w:hint="eastAsia" w:ascii="仿宋_GB2312" w:hAnsi="仿宋" w:eastAsia="仿宋_GB2312" w:cs="Times New Roman"/>
          <w:sz w:val="32"/>
          <w:szCs w:val="32"/>
          <w:lang w:val="en"/>
        </w:rPr>
        <w:t>完成了</w:t>
      </w:r>
      <w:r>
        <w:rPr>
          <w:rFonts w:hint="eastAsia" w:ascii="仿宋_GB2312" w:hAnsi="仿宋" w:eastAsia="仿宋_GB2312" w:cs="Times New Roman"/>
          <w:sz w:val="32"/>
          <w:szCs w:val="32"/>
        </w:rPr>
        <w:t>800万</w:t>
      </w:r>
      <w:r>
        <w:rPr>
          <w:rFonts w:hint="eastAsia" w:ascii="仿宋_GB2312" w:hAnsi="仿宋" w:eastAsia="仿宋_GB2312" w:cs="Times New Roman"/>
          <w:sz w:val="32"/>
          <w:szCs w:val="32"/>
          <w:lang w:val="en"/>
        </w:rPr>
        <w:t>页馆藏纸质档案数字化加工</w:t>
      </w:r>
      <w:r>
        <w:rPr>
          <w:rFonts w:hint="eastAsia" w:ascii="仿宋_GB2312" w:hAnsi="仿宋" w:eastAsia="仿宋_GB2312" w:cs="Times New Roman"/>
          <w:sz w:val="32"/>
          <w:szCs w:val="32"/>
        </w:rPr>
        <w:t>。在因多种原因导致项目进度偏缓的情况下，多次向上级领导作专项汇报，多次组织建设方、施工方召开协调会，商议项目建设事宜。目前已与建设方国投智城公司就硬件建设达成了共识，项目正在走变更流程。</w:t>
      </w:r>
    </w:p>
    <w:p>
      <w:pPr>
        <w:rPr>
          <w:rFonts w:ascii="方正楷体_GBK" w:hAnsi="方正楷体_GBK" w:eastAsia="方正楷体_GBK" w:cs="方正楷体_GBK"/>
          <w:kern w:val="0"/>
          <w:sz w:val="32"/>
          <w:szCs w:val="32"/>
          <w:shd w:val="clear" w:color="auto" w:fill="FFFFFF"/>
          <w:lang w:val="en" w:bidi="ar"/>
        </w:rPr>
      </w:pPr>
      <w:r>
        <w:rPr>
          <w:rFonts w:hint="eastAsia" w:ascii="华文楷体" w:hAnsi="华文楷体" w:eastAsia="华文楷体" w:cs="华文楷体"/>
          <w:sz w:val="32"/>
          <w:szCs w:val="32"/>
        </w:rPr>
        <w:t xml:space="preserve">    </w:t>
      </w:r>
      <w:r>
        <w:rPr>
          <w:rFonts w:hint="eastAsia" w:ascii="黑体" w:hAnsi="黑体" w:eastAsia="黑体" w:cs="黑体"/>
          <w:sz w:val="32"/>
          <w:szCs w:val="32"/>
        </w:rPr>
        <w:t>三、坚持</w:t>
      </w:r>
      <w:r>
        <w:rPr>
          <w:rFonts w:hint="eastAsia" w:ascii="黑体" w:hAnsi="黑体" w:eastAsia="黑体" w:cs="黑体"/>
          <w:kern w:val="0"/>
          <w:sz w:val="32"/>
          <w:szCs w:val="32"/>
          <w:shd w:val="clear" w:color="auto" w:fill="FFFFFF"/>
          <w:lang w:bidi="ar"/>
        </w:rPr>
        <w:t>服务强馆，发挥档案工作独特作用</w:t>
      </w:r>
    </w:p>
    <w:p>
      <w:pPr>
        <w:ind w:firstLine="640"/>
        <w:rPr>
          <w:rFonts w:hint="eastAsia" w:ascii="仿宋" w:hAnsi="仿宋" w:eastAsia="仿宋" w:cs="仿宋"/>
          <w:sz w:val="32"/>
          <w:szCs w:val="32"/>
        </w:rPr>
      </w:pPr>
      <w:r>
        <w:rPr>
          <w:rFonts w:hint="eastAsia" w:ascii="华文楷体" w:hAnsi="华文楷体" w:eastAsia="华文楷体" w:cs="华文楷体"/>
          <w:sz w:val="32"/>
          <w:szCs w:val="32"/>
        </w:rPr>
        <w:t>（一）档案开发编研成效突出。</w:t>
      </w:r>
      <w:r>
        <w:rPr>
          <w:rFonts w:hint="eastAsia" w:ascii="仿宋_GB2312" w:hAnsi="仿宋" w:eastAsia="仿宋_GB2312" w:cs="Times New Roman"/>
          <w:sz w:val="32"/>
          <w:szCs w:val="32"/>
        </w:rPr>
        <w:t>开展了《全宗指南》《档案馆指南》的起草修改工作，启动了疫情防控档案、主要市级领导公务活动档案收集编纂工作，形成了《吹响培育制造名城冲锋号 为建设现代化新株洲不懈奋斗——领导公务活动实录》《抢抓机遇促发展—市领导公务档案汇编》《〈风雨兼程〉—市级领导公务活动纪实》等编研成果；收集了与李强总理视察株洲相关档案，并采集相关人士的口述档案，编纂了《春来株洲早——李强总理考察株洲纪实》一书，为市委提供了资政参考。</w:t>
      </w:r>
    </w:p>
    <w:p>
      <w:pPr>
        <w:widowControl/>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_GB2312" w:hAnsi="楷体_GB2312" w:eastAsia="楷体_GB2312" w:cs="楷体_GB2312"/>
          <w:sz w:val="32"/>
          <w:szCs w:val="32"/>
        </w:rPr>
        <w:t>(二）服务中心工作彰显作为。</w:t>
      </w:r>
      <w:r>
        <w:rPr>
          <w:rFonts w:hint="eastAsia" w:ascii="仿宋_GB2312" w:hAnsi="仿宋" w:eastAsia="仿宋_GB2312" w:cs="Times New Roman"/>
          <w:sz w:val="32"/>
          <w:szCs w:val="32"/>
        </w:rPr>
        <w:t>主动介入轨道交通博览会、北斗峰会、海峡两岸炎帝神农文化交流大会等全市重大活动和重大会议，派专人参加活动服务工作、对接档案接收工作；派出干部到市委组织部协助“作风建设年”工作、到市委办协助省委巡视株洲工作。此外，多次派出业务骨干协助全市档案工作执法检查、业务建设评价工作等，不打折扣服从上级安排、服务工作大局。</w:t>
      </w:r>
    </w:p>
    <w:p>
      <w:pPr>
        <w:ind w:firstLine="640" w:firstLineChars="200"/>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（三）查档用档服务获得好评。</w:t>
      </w:r>
      <w:r>
        <w:rPr>
          <w:rFonts w:hint="eastAsia" w:ascii="仿宋_GB2312" w:hAnsi="仿宋" w:eastAsia="仿宋_GB2312" w:cs="Times New Roman"/>
          <w:sz w:val="32"/>
          <w:szCs w:val="32"/>
        </w:rPr>
        <w:t>持续改进服务质量，简化查档用档程序，坚持热心、耐心、悉心做好每一例查档用档服务。</w:t>
      </w:r>
      <w:r>
        <w:rPr>
          <w:rFonts w:hint="eastAsia" w:ascii="仿宋_GB2312" w:hAnsi="仿宋" w:eastAsia="仿宋_GB2312" w:cs="Times New Roman"/>
          <w:sz w:val="32"/>
          <w:szCs w:val="32"/>
          <w:lang w:val="en"/>
        </w:rPr>
        <w:t>截至</w:t>
      </w:r>
      <w:r>
        <w:rPr>
          <w:rFonts w:hint="eastAsia" w:ascii="仿宋_GB2312" w:hAnsi="仿宋" w:eastAsia="仿宋_GB2312" w:cs="Times New Roman"/>
          <w:sz w:val="32"/>
          <w:szCs w:val="32"/>
        </w:rPr>
        <w:t>12</w:t>
      </w:r>
      <w:r>
        <w:rPr>
          <w:rFonts w:hint="eastAsia" w:ascii="仿宋_GB2312" w:hAnsi="仿宋" w:eastAsia="仿宋_GB2312" w:cs="Times New Roman"/>
          <w:sz w:val="32"/>
          <w:szCs w:val="32"/>
          <w:lang w:val="en"/>
        </w:rPr>
        <w:t>月底，</w:t>
      </w:r>
      <w:r>
        <w:rPr>
          <w:rFonts w:hint="eastAsia" w:ascii="仿宋_GB2312" w:hAnsi="仿宋" w:eastAsia="仿宋_GB2312" w:cs="Times New Roman"/>
          <w:sz w:val="32"/>
          <w:szCs w:val="32"/>
        </w:rPr>
        <w:t>共计接待来馆查档2000余人次，调卷4000余卷，为群众解决了工龄工资、产权纠纷、社保证明、学术研究等方面的大量实际问题，获得了高度评价，充分发挥了档案工作在服务民生、维护稳定、促进和谐方面的突出作用。</w:t>
      </w:r>
    </w:p>
    <w:p>
      <w:pPr>
        <w:ind w:firstLine="640" w:firstLineChars="200"/>
        <w:rPr>
          <w:rFonts w:hint="eastAsia" w:ascii="方正仿宋_GBK" w:hAnsi="方正仿宋_GBK" w:eastAsia="方正仿宋_GBK" w:cs="方正仿宋_GBK"/>
          <w:color w:val="000000"/>
          <w:sz w:val="32"/>
          <w:szCs w:val="32"/>
        </w:rPr>
      </w:pPr>
      <w:r>
        <w:rPr>
          <w:rFonts w:hint="eastAsia" w:ascii="华文楷体" w:hAnsi="华文楷体" w:eastAsia="华文楷体" w:cs="华文楷体"/>
          <w:sz w:val="32"/>
          <w:szCs w:val="32"/>
        </w:rPr>
        <w:t>（四）档案宣传教育亮点纷呈。</w:t>
      </w:r>
      <w:r>
        <w:rPr>
          <w:rFonts w:hint="eastAsia" w:ascii="仿宋_GB2312" w:hAnsi="仿宋" w:eastAsia="仿宋_GB2312" w:cs="Times New Roman"/>
          <w:sz w:val="32"/>
          <w:szCs w:val="32"/>
        </w:rPr>
        <w:t>积极</w:t>
      </w:r>
      <w:r>
        <w:rPr>
          <w:rFonts w:hint="eastAsia" w:ascii="仿宋_GB2312" w:hAnsi="仿宋" w:eastAsia="仿宋_GB2312" w:cs="Times New Roman"/>
          <w:color w:val="000000"/>
          <w:sz w:val="32"/>
          <w:szCs w:val="32"/>
        </w:rPr>
        <w:t>开展“6·9”国际档案日系列宣传教育活动，根据国家档案局安排，参加了全省档案系统学习习近平总书记关于档案工作“三个走向”重要论述座谈会，结合档案开放日，多次开展了“小记者走进档案馆”活动，通过株洲日报、株洲新闻频道、今日头条等媒体多渠道宣传档案特色工作、亮点工作，进一步扩大了档案工作影响力。</w:t>
      </w:r>
    </w:p>
    <w:p>
      <w:pPr>
        <w:rPr>
          <w:rFonts w:hint="eastAsia" w:ascii="黑体" w:hAnsi="黑体" w:eastAsia="黑体" w:cs="黑体"/>
          <w:sz w:val="32"/>
          <w:szCs w:val="32"/>
          <w:lang w:val="en"/>
        </w:rPr>
      </w:pPr>
      <w:r>
        <w:rPr>
          <w:rFonts w:hint="eastAsia" w:ascii="华文楷体" w:hAnsi="华文楷体" w:eastAsia="华文楷体" w:cs="华文楷体"/>
          <w:sz w:val="32"/>
          <w:szCs w:val="32"/>
        </w:rPr>
        <w:t xml:space="preserve">    </w:t>
      </w:r>
      <w:r>
        <w:rPr>
          <w:rFonts w:hint="eastAsia" w:ascii="黑体" w:hAnsi="黑体" w:eastAsia="黑体" w:cs="黑体"/>
          <w:sz w:val="32"/>
          <w:szCs w:val="32"/>
        </w:rPr>
        <w:t>四、坚持人才兴馆</w:t>
      </w:r>
      <w:r>
        <w:rPr>
          <w:rFonts w:hint="eastAsia" w:ascii="黑体" w:hAnsi="黑体" w:eastAsia="黑体" w:cs="黑体"/>
          <w:sz w:val="32"/>
          <w:szCs w:val="32"/>
          <w:lang w:val="en"/>
        </w:rPr>
        <w:t>,加强档案人才队伍建设</w:t>
      </w:r>
    </w:p>
    <w:p>
      <w:pPr>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 xml:space="preserve">    （一）加大干部使用力度。</w:t>
      </w:r>
      <w:r>
        <w:rPr>
          <w:rFonts w:hint="eastAsia" w:ascii="仿宋_GB2312" w:hAnsi="仿宋" w:eastAsia="仿宋_GB2312" w:cs="Times New Roman"/>
          <w:sz w:val="32"/>
          <w:szCs w:val="32"/>
        </w:rPr>
        <w:t>在组织关心下，内部解决了1名副处职领导干部，外部交流进来1名副处职领导干部，晋升了1名三级调研员和四级调研员，提拔了3名正科职的优秀年轻干部、1名副科职干部，派出了一名正科职干部赴炎陵县水口镇驻点锻炼，支持乡村振兴工作，有效激发了队伍的活力，营造了干事创业的浓厚氛围。</w:t>
      </w:r>
    </w:p>
    <w:p>
      <w:pPr>
        <w:ind w:firstLine="624"/>
        <w:rPr>
          <w:rFonts w:hint="eastAsia" w:ascii="方正仿宋_GBK" w:hAnsi="方正仿宋_GBK" w:eastAsia="方正仿宋_GBK" w:cs="方正仿宋_GBK"/>
          <w:sz w:val="32"/>
          <w:szCs w:val="32"/>
        </w:rPr>
      </w:pPr>
      <w:r>
        <w:rPr>
          <w:rFonts w:hint="eastAsia" w:ascii="华文楷体" w:hAnsi="华文楷体" w:eastAsia="华文楷体" w:cs="华文楷体"/>
          <w:sz w:val="32"/>
          <w:szCs w:val="32"/>
        </w:rPr>
        <w:t>（二）加强业务能力学习。</w:t>
      </w:r>
      <w:r>
        <w:rPr>
          <w:rFonts w:hint="eastAsia" w:ascii="仿宋_GB2312" w:hAnsi="仿宋" w:eastAsia="仿宋_GB2312" w:cs="Times New Roman"/>
          <w:sz w:val="32"/>
          <w:szCs w:val="32"/>
        </w:rPr>
        <w:t>全馆干部参加省档案局举办的机关档案“三合一制度”培训、档案信息化建设培训，市档案局组织的全市档案专业人员继续教育培训；在档案学会组织下，4名业务骨干赴拉萨参加档案职业（岗位）技能暨档案文化建设研讨会；红色档案专馆专班赴江西、广东以及省档案馆、湘潭市档案馆等多地参观学习。通过学习，极大地拓展了视野，提升了水平。</w:t>
      </w:r>
    </w:p>
    <w:p>
      <w:pPr>
        <w:ind w:firstLine="624"/>
        <w:rPr>
          <w:rFonts w:ascii="方正仿宋_GBK" w:hAnsi="方正仿宋_GBK" w:eastAsia="方正仿宋_GBK" w:cs="方正仿宋_GBK"/>
          <w:color w:val="000000"/>
          <w:sz w:val="32"/>
          <w:szCs w:val="32"/>
          <w:shd w:val="clear" w:color="auto" w:fill="FFFFFF"/>
        </w:rPr>
      </w:pPr>
      <w:r>
        <w:rPr>
          <w:rFonts w:hint="eastAsia" w:ascii="华文楷体" w:hAnsi="华文楷体" w:eastAsia="华文楷体" w:cs="华文楷体"/>
          <w:sz w:val="32"/>
          <w:szCs w:val="32"/>
        </w:rPr>
        <w:t>（三）加强队伍力量建设。</w:t>
      </w:r>
      <w:r>
        <w:rPr>
          <w:rFonts w:hint="eastAsia" w:ascii="仿宋_GB2312" w:hAnsi="仿宋" w:eastAsia="仿宋_GB2312" w:cs="Times New Roman"/>
          <w:sz w:val="32"/>
          <w:szCs w:val="32"/>
        </w:rPr>
        <w:t>通过公务员招考招录1名干部，从基层调任了1名干部；档案学会新增会员单位18家，共计达到120家，档案人才队伍不断壮大，</w:t>
      </w:r>
      <w:r>
        <w:rPr>
          <w:rFonts w:hint="eastAsia" w:ascii="仿宋_GB2312" w:hAnsi="仿宋" w:eastAsia="仿宋_GB2312" w:cs="Times New Roman"/>
          <w:color w:val="000000"/>
          <w:sz w:val="32"/>
          <w:szCs w:val="32"/>
          <w:shd w:val="clear" w:color="auto" w:fill="auto"/>
        </w:rPr>
        <w:t>为档案事业发展储备了力量。同时，</w:t>
      </w:r>
      <w:r>
        <w:rPr>
          <w:rFonts w:hint="eastAsia" w:ascii="仿宋_GB2312" w:hAnsi="仿宋" w:eastAsia="仿宋_GB2312" w:cs="Times New Roman"/>
          <w:sz w:val="32"/>
          <w:szCs w:val="32"/>
        </w:rPr>
        <w:t>组织干部</w:t>
      </w:r>
      <w:r>
        <w:rPr>
          <w:rFonts w:hint="eastAsia" w:ascii="仿宋_GB2312" w:hAnsi="仿宋" w:eastAsia="仿宋_GB2312" w:cs="Times New Roman"/>
          <w:color w:val="000000"/>
          <w:sz w:val="32"/>
          <w:szCs w:val="32"/>
          <w:shd w:val="clear" w:color="auto" w:fill="auto"/>
        </w:rPr>
        <w:t>参加了市直机关羽毛球团体赛、湘江健步行等各类工会活动，展现了兰台人积极乐观、健康向上的精神风貌。</w:t>
      </w:r>
    </w:p>
    <w:p>
      <w:pPr>
        <w:snapToGrid w:val="0"/>
        <w:spacing w:line="520" w:lineRule="exact"/>
        <w:ind w:firstLine="640" w:firstLineChars="200"/>
        <w:rPr>
          <w:rFonts w:hint="eastAsia" w:ascii="黑体" w:hAnsi="黑体" w:eastAsia="黑体"/>
          <w:sz w:val="32"/>
          <w:szCs w:val="32"/>
        </w:rPr>
      </w:pPr>
      <w:bookmarkStart w:id="2" w:name="YS060102"/>
      <w:r>
        <w:rPr>
          <w:rFonts w:hint="eastAsia" w:ascii="黑体" w:hAnsi="黑体" w:eastAsia="黑体"/>
          <w:sz w:val="32"/>
          <w:szCs w:val="32"/>
        </w:rPr>
        <w:t>二、收入支出预算执行情况分析</w:t>
      </w:r>
    </w:p>
    <w:bookmarkEnd w:id="2"/>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本年度年初预算安排收入928.41万元，安排支出为928.41万元，收入支出较上年安排增加44.47万元，原因是本单位2023年预算增加了项目。</w:t>
      </w:r>
    </w:p>
    <w:p>
      <w:pPr>
        <w:snapToGrid w:val="0"/>
        <w:spacing w:line="520" w:lineRule="exact"/>
        <w:ind w:firstLine="642" w:firstLineChars="200"/>
        <w:outlineLvl w:val="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年度年初预算安排收入928.41万元，决算执行收入为847.89万元，较上年度减少400.69万元，减幅为32.09%，原因是2023年实际支出项目减少；安排支出为928.41万元，决算执行支出为847.89万元，支出较上年减少400.69万元，减幅为32.09%，原因是2023年实际支出项目减少。</w:t>
      </w:r>
    </w:p>
    <w:p>
      <w:p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tbl>
      <w:tblPr>
        <w:tblStyle w:val="3"/>
        <w:tblW w:w="8520" w:type="dxa"/>
        <w:jc w:val="center"/>
        <w:tblLayout w:type="autofit"/>
        <w:tblCellMar>
          <w:top w:w="0" w:type="dxa"/>
          <w:left w:w="108" w:type="dxa"/>
          <w:bottom w:w="0" w:type="dxa"/>
          <w:right w:w="108" w:type="dxa"/>
        </w:tblCellMar>
      </w:tblPr>
      <w:tblGrid>
        <w:gridCol w:w="1433"/>
        <w:gridCol w:w="1134"/>
        <w:gridCol w:w="1233"/>
        <w:gridCol w:w="1744"/>
        <w:gridCol w:w="2976"/>
      </w:tblGrid>
      <w:tr>
        <w:tblPrEx>
          <w:tblCellMar>
            <w:top w:w="0" w:type="dxa"/>
            <w:left w:w="108" w:type="dxa"/>
            <w:bottom w:w="0" w:type="dxa"/>
            <w:right w:w="108" w:type="dxa"/>
          </w:tblCellMar>
        </w:tblPrEx>
        <w:trPr>
          <w:trHeight w:val="420"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功能分类</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预算数</w:t>
            </w:r>
          </w:p>
        </w:tc>
        <w:tc>
          <w:tcPr>
            <w:tcW w:w="123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174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差异数</w:t>
            </w:r>
          </w:p>
        </w:tc>
        <w:tc>
          <w:tcPr>
            <w:tcW w:w="29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差异说明</w:t>
            </w:r>
          </w:p>
        </w:tc>
      </w:tr>
      <w:tr>
        <w:tblPrEx>
          <w:tblCellMar>
            <w:top w:w="0" w:type="dxa"/>
            <w:left w:w="108" w:type="dxa"/>
            <w:bottom w:w="0" w:type="dxa"/>
            <w:right w:w="108" w:type="dxa"/>
          </w:tblCellMar>
        </w:tblPrEx>
        <w:trPr>
          <w:trHeight w:val="72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2012699</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123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92,259.40</w:t>
            </w:r>
          </w:p>
        </w:tc>
        <w:tc>
          <w:tcPr>
            <w:tcW w:w="174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-92,259.4 </w:t>
            </w:r>
          </w:p>
        </w:tc>
        <w:tc>
          <w:tcPr>
            <w:tcW w:w="29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档案馆工作经费（含历史档案修复项目）</w:t>
            </w:r>
          </w:p>
        </w:tc>
      </w:tr>
      <w:tr>
        <w:tblPrEx>
          <w:tblCellMar>
            <w:top w:w="0" w:type="dxa"/>
            <w:left w:w="108" w:type="dxa"/>
            <w:bottom w:w="0" w:type="dxa"/>
            <w:right w:w="108" w:type="dxa"/>
          </w:tblCellMar>
        </w:tblPrEx>
        <w:trPr>
          <w:trHeight w:val="72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2012602</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123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22,000.00</w:t>
            </w:r>
          </w:p>
        </w:tc>
        <w:tc>
          <w:tcPr>
            <w:tcW w:w="174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-22,000.0 </w:t>
            </w:r>
          </w:p>
        </w:tc>
        <w:tc>
          <w:tcPr>
            <w:tcW w:w="29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党代表活动经费</w:t>
            </w:r>
          </w:p>
        </w:tc>
      </w:tr>
    </w:tbl>
    <w:p>
      <w:pPr>
        <w:snapToGrid w:val="0"/>
        <w:spacing w:line="520" w:lineRule="exact"/>
        <w:ind w:firstLine="642" w:firstLineChars="200"/>
        <w:rPr>
          <w:rFonts w:hint="eastAsia" w:ascii="仿宋_GB2312" w:hAnsi="仿宋" w:eastAsia="仿宋_GB2312"/>
          <w:b/>
          <w:sz w:val="32"/>
          <w:szCs w:val="32"/>
        </w:rPr>
      </w:pPr>
    </w:p>
    <w:p>
      <w:pPr>
        <w:snapToGrid w:val="0"/>
        <w:spacing w:line="52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 xml:space="preserve"> </w:t>
      </w:r>
      <w:r>
        <w:rPr>
          <w:rFonts w:hint="eastAsia" w:ascii="仿宋_GB2312" w:hAnsi="仿宋" w:eastAsia="仿宋_GB2312"/>
          <w:b/>
          <w:sz w:val="32"/>
          <w:szCs w:val="32"/>
        </w:rPr>
        <w:t>2．收入支出结构分析。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本年度总收入847.89万元，其中一般公共预算财政拨款收入为847.89万元，占总收入比重100%，政府性基金预算财政拨款收入0万元，占总收入比重0%。</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本年度总支出为847.89万元，基本支出733.92万元，项目支出113.97万元。基本支出中人员经费588.81万元，公用经费为145.11万元。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本年度收入较上年度收入减少400.69万元，原因是2023年项目比2022年减少；本年度支出较上年度减少400.69万元，原因是2023年项目比2022年减少。</w:t>
      </w:r>
    </w:p>
    <w:p>
      <w:p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hint="eastAsia" w:ascii="仿宋" w:hAnsi="仿宋" w:eastAsia="仿宋"/>
          <w:sz w:val="32"/>
          <w:lang w:val="zh-CN"/>
        </w:rPr>
      </w:pPr>
      <w:r>
        <w:rPr>
          <w:rFonts w:hint="eastAsia" w:ascii="仿宋_GB2312" w:hAnsi="仿宋" w:eastAsia="仿宋_GB2312"/>
          <w:sz w:val="32"/>
          <w:szCs w:val="32"/>
        </w:rPr>
        <w:t>（1）“三公”经费支出情况：</w:t>
      </w:r>
      <w:r>
        <w:rPr>
          <w:rFonts w:hint="eastAsia" w:ascii="仿宋_GB2312" w:hAnsi="仿宋" w:eastAsia="仿宋_GB2312" w:cs="Times New Roman"/>
          <w:sz w:val="32"/>
          <w:szCs w:val="32"/>
        </w:rPr>
        <w:t>2023年，“三公”经费完成46101.24元，比上年减少19050.14元，减少29.24%，增减变化的主要原因是：按照“过紧日子”思想，政策性压减</w:t>
      </w:r>
      <w:r>
        <w:rPr>
          <w:rFonts w:hint="eastAsia" w:ascii="仿宋_GB2312" w:hAnsi="仿宋" w:eastAsia="仿宋_GB2312" w:cs="Times New Roman"/>
          <w:sz w:val="32"/>
          <w:szCs w:val="32"/>
          <w:lang w:val="zh-CN"/>
        </w:rPr>
        <w:t>。其中：</w:t>
      </w:r>
      <w:r>
        <w:rPr>
          <w:rFonts w:hint="eastAsia" w:ascii="仿宋_GB2312" w:hAnsi="仿宋" w:eastAsia="仿宋_GB2312" w:cs="Times New Roman"/>
          <w:b w:val="0"/>
          <w:sz w:val="32"/>
          <w:szCs w:val="32"/>
          <w:lang w:val="zh-CN"/>
        </w:rPr>
        <w:t>公务接待费</w:t>
      </w:r>
      <w:r>
        <w:rPr>
          <w:rFonts w:hint="eastAsia" w:ascii="仿宋_GB2312" w:hAnsi="仿宋" w:eastAsia="仿宋_GB2312" w:cs="Times New Roman"/>
          <w:sz w:val="32"/>
          <w:szCs w:val="32"/>
        </w:rPr>
        <w:t>完成8346.6元，比上年增加2083.6元，增加33.27%，增减变化的主要原因是：公务接待人次增加，</w:t>
      </w:r>
      <w:r>
        <w:rPr>
          <w:rFonts w:hint="eastAsia" w:ascii="仿宋_GB2312" w:hAnsi="仿宋" w:eastAsia="仿宋_GB2312" w:cs="Times New Roman"/>
          <w:b w:val="0"/>
          <w:sz w:val="32"/>
          <w:szCs w:val="32"/>
          <w:lang w:val="zh-CN"/>
        </w:rPr>
        <w:t>公务用车购置及运行维护费</w:t>
      </w:r>
      <w:r>
        <w:rPr>
          <w:rFonts w:hint="eastAsia" w:ascii="仿宋_GB2312" w:hAnsi="仿宋" w:eastAsia="仿宋_GB2312" w:cs="Times New Roman"/>
          <w:sz w:val="32"/>
          <w:szCs w:val="32"/>
        </w:rPr>
        <w:t>完成37754.64元，比上年减少21133.74元，减少32.89%，增减变化的主要原因是：按照“过紧日子”思想，政策性压减</w:t>
      </w:r>
      <w:r>
        <w:rPr>
          <w:rFonts w:hint="eastAsia" w:ascii="仿宋_GB2312" w:hAnsi="仿宋" w:eastAsia="仿宋_GB2312" w:cs="Times New Roman"/>
          <w:sz w:val="32"/>
          <w:szCs w:val="32"/>
          <w:lang w:val="zh-CN"/>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（2）会议费支出情况：</w:t>
      </w:r>
      <w:r>
        <w:rPr>
          <w:rFonts w:hint="eastAsia" w:ascii="仿宋_GB2312" w:hAnsi="仿宋" w:eastAsia="仿宋_GB2312" w:cs="Times New Roman"/>
          <w:sz w:val="32"/>
          <w:szCs w:val="32"/>
        </w:rPr>
        <w:t>2023年会议费完成0元，比上年减少1000元，增减变化的主要原因是：2023年未开展会议</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（3）培训费支出情况：</w:t>
      </w:r>
      <w:r>
        <w:rPr>
          <w:rFonts w:hint="eastAsia" w:ascii="仿宋_GB2312" w:hAnsi="仿宋" w:eastAsia="仿宋_GB2312" w:cs="Times New Roman"/>
          <w:sz w:val="32"/>
          <w:szCs w:val="32"/>
        </w:rPr>
        <w:t>2023年培训费完0元，比上年相同</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（4）其他对单位影响较大的支出情况。无</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（5）重点经济分类支出中存在的问题及改进措施。无</w:t>
      </w:r>
    </w:p>
    <w:p>
      <w:p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（一）财政拨款收入：2023 年收入 1871.65万元，其中，一般公共预算拨款1871.65万元，</w:t>
      </w:r>
      <w:r>
        <w:rPr>
          <w:rFonts w:hint="eastAsia" w:ascii="仿宋_GB2312" w:hAnsi="仿宋" w:eastAsia="仿宋_GB2312"/>
          <w:sz w:val="32"/>
          <w:szCs w:val="32"/>
        </w:rPr>
        <w:t>政府性基金预算财政拨款收入0万元。</w:t>
      </w:r>
      <w:r>
        <w:rPr>
          <w:rFonts w:hint="eastAsia" w:ascii="仿宋_GB2312" w:hAnsi="仿宋" w:eastAsia="仿宋_GB2312" w:cs="Times New Roman"/>
          <w:sz w:val="32"/>
          <w:szCs w:val="32"/>
        </w:rPr>
        <w:t xml:space="preserve">上年结转数暂未最终确定，本年度收支预算中均不含上年结转数字。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（二）财政拨款支出：2023 年支出数847.89万元，其中，其中基本支出</w:t>
      </w:r>
      <w:r>
        <w:rPr>
          <w:rFonts w:hint="eastAsia" w:ascii="仿宋_GB2312" w:hAnsi="仿宋" w:eastAsia="仿宋_GB2312"/>
          <w:sz w:val="32"/>
          <w:szCs w:val="32"/>
        </w:rPr>
        <w:t>733.92万元</w:t>
      </w:r>
      <w:r>
        <w:rPr>
          <w:rFonts w:hint="eastAsia" w:ascii="仿宋_GB2312" w:hAnsi="仿宋" w:eastAsia="仿宋_GB2312" w:cs="Times New Roman"/>
          <w:sz w:val="32"/>
          <w:szCs w:val="32"/>
        </w:rPr>
        <w:t>，项目支出</w:t>
      </w:r>
      <w:r>
        <w:rPr>
          <w:rFonts w:hint="eastAsia" w:ascii="仿宋_GB2312" w:hAnsi="仿宋" w:eastAsia="仿宋_GB2312"/>
          <w:sz w:val="32"/>
          <w:szCs w:val="32"/>
        </w:rPr>
        <w:t>113.98</w:t>
      </w:r>
      <w:r>
        <w:rPr>
          <w:rFonts w:hint="eastAsia" w:ascii="仿宋_GB2312" w:hAnsi="仿宋" w:eastAsia="仿宋_GB2312" w:cs="Times New Roman"/>
          <w:sz w:val="32"/>
          <w:szCs w:val="32"/>
        </w:rPr>
        <w:t>万元，基本支出中工资福利支出</w:t>
      </w:r>
      <w:r>
        <w:rPr>
          <w:rFonts w:hint="eastAsia" w:ascii="仿宋_GB2312" w:hAnsi="仿宋" w:eastAsia="仿宋_GB2312"/>
          <w:sz w:val="32"/>
          <w:szCs w:val="32"/>
        </w:rPr>
        <w:t>533.41</w:t>
      </w:r>
      <w:r>
        <w:rPr>
          <w:rFonts w:hint="eastAsia" w:ascii="仿宋_GB2312" w:hAnsi="仿宋" w:eastAsia="仿宋_GB2312" w:cs="Times New Roman"/>
          <w:sz w:val="32"/>
          <w:szCs w:val="32"/>
        </w:rPr>
        <w:t>万元，商品和服务支出113.98万元，对个人和家庭的补助55.40万元。</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（三）收支增减变化情况说明：2023年度本部门决算数为 847.89万元，比上年减少400.69万元，主要原因是2023年项目比2022年减少。</w:t>
      </w:r>
    </w:p>
    <w:p>
      <w:pPr>
        <w:snapToGrid w:val="0"/>
        <w:spacing w:line="5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根据报表项目分析非财政拨款收入情况，按照事业收入、经营收入和其他收入等分析具体构成和特点。</w:t>
      </w:r>
    </w:p>
    <w:p>
      <w:pPr>
        <w:snapToGrid w:val="0"/>
        <w:spacing w:line="520" w:lineRule="exact"/>
        <w:ind w:firstLine="642" w:firstLineChars="200"/>
        <w:outlineLvl w:val="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1．根据报表项目分财政拨款结转结余和非财政拨款结转结余分析年末结转结余总体情况。按照资金来源、资金性质分析，分别分析基本支出、项目支出结转和结余情况，特别是项目经费结转和结余情况。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2．消化结转和结余的对策。</w:t>
      </w:r>
    </w:p>
    <w:bookmarkEnd w:id="0"/>
    <w:p>
      <w:pPr>
        <w:snapToGrid w:val="0"/>
        <w:spacing w:line="520" w:lineRule="exact"/>
        <w:ind w:firstLine="642" w:firstLineChars="200"/>
        <w:outlineLvl w:val="0"/>
        <w:rPr>
          <w:rFonts w:hint="eastAsia" w:ascii="楷体_GB2312" w:hAnsi="仿宋" w:eastAsia="楷体_GB2312"/>
          <w:b/>
          <w:sz w:val="32"/>
          <w:szCs w:val="32"/>
        </w:rPr>
      </w:pPr>
      <w:bookmarkStart w:id="3" w:name="YS060103"/>
      <w:r>
        <w:rPr>
          <w:rFonts w:hint="eastAsia" w:ascii="楷体_GB2312" w:hAnsi="仿宋" w:eastAsia="楷体_GB2312"/>
          <w:b/>
          <w:sz w:val="32"/>
          <w:szCs w:val="32"/>
        </w:rPr>
        <w:t>（四）与预算支出相关的其他指标分析。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对资产、负债信息进行分析，主要分析与上年度对比情况，包括增减绝对值与幅度，增减变动主要原因。</w:t>
      </w:r>
    </w:p>
    <w:p>
      <w:pPr>
        <w:snapToGrid w:val="0"/>
        <w:spacing w:line="520" w:lineRule="exact"/>
        <w:ind w:firstLine="642" w:firstLineChars="200"/>
        <w:outlineLvl w:val="0"/>
        <w:rPr>
          <w:rFonts w:ascii="楷体_GB2312" w:hAnsi="仿宋" w:eastAsia="楷体_GB2312"/>
          <w:b/>
          <w:sz w:val="32"/>
          <w:szCs w:val="32"/>
        </w:rPr>
      </w:pPr>
      <w:r>
        <w:rPr>
          <w:rFonts w:hint="eastAsia" w:ascii="楷体_GB2312" w:hAnsi="仿宋" w:eastAsia="楷体_GB2312"/>
          <w:b/>
          <w:sz w:val="32"/>
          <w:szCs w:val="32"/>
        </w:rPr>
        <w:t>（五）绩效目标完成情况。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2.概述本单位整体支出绩效目标实现情况（如有）。</w:t>
      </w:r>
    </w:p>
    <w:p>
      <w:pPr>
        <w:snapToGrid w:val="0"/>
        <w:spacing w:line="520"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注：个别单位如在报送决算时尚未完成绩效评价工作的，可不在报告中说明。</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bookmarkEnd w:id="3"/>
    <w:p>
      <w:pPr>
        <w:snapToGrid w:val="0"/>
        <w:spacing w:line="520" w:lineRule="exact"/>
        <w:ind w:firstLine="640" w:firstLineChars="200"/>
        <w:rPr>
          <w:rFonts w:hint="eastAsia" w:ascii="黑体" w:hAnsi="黑体" w:eastAsia="黑体"/>
          <w:sz w:val="32"/>
          <w:szCs w:val="32"/>
        </w:rPr>
      </w:pPr>
      <w:bookmarkStart w:id="4" w:name="YS060104"/>
      <w:r>
        <w:rPr>
          <w:rFonts w:hint="eastAsia" w:ascii="黑体" w:hAnsi="黑体" w:eastAsia="黑体"/>
          <w:sz w:val="32"/>
          <w:szCs w:val="32"/>
        </w:rPr>
        <w:t>三、本年度部门决算等财务工作开展情况</w:t>
      </w:r>
    </w:p>
    <w:bookmarkEnd w:id="4"/>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sz w:val="32"/>
          <w:szCs w:val="32"/>
        </w:rPr>
        <w:t>对部门决算管理工作的意见和建议。</w:t>
      </w:r>
    </w:p>
    <w:p>
      <w:pPr>
        <w:ind w:firstLine="709"/>
        <w:rPr>
          <w:rFonts w:ascii="仿宋_GB2312" w:hAnsi="仿宋" w:eastAsia="仿宋_GB2312" w:cs="仿宋"/>
          <w:color w:val="00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.自行增加的审核公式和模板，请说明设置依据。</w:t>
      </w:r>
    </w:p>
    <w:p>
      <w:pPr>
        <w:ind w:firstLine="709"/>
        <w:rPr>
          <w:rFonts w:ascii="仿宋_GB2312" w:hAnsi="仿宋" w:eastAsia="仿宋_GB2312"/>
          <w:color w:val="000000"/>
          <w:sz w:val="32"/>
          <w:szCs w:val="32"/>
        </w:rPr>
      </w:pPr>
      <w:r>
        <w:rPr>
          <w:rFonts w:hint="eastAsia" w:ascii="仿宋_GB2312" w:hAnsi="仿宋" w:eastAsia="仿宋_GB2312" w:cs="仿宋"/>
          <w:color w:val="000000"/>
          <w:sz w:val="32"/>
          <w:szCs w:val="32"/>
        </w:rPr>
        <w:t>2.对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意见和建议，包括</w:t>
      </w:r>
      <w:r>
        <w:rPr>
          <w:rFonts w:hint="eastAsia" w:ascii="仿宋_GB2312" w:hAnsi="仿宋" w:eastAsia="仿宋_GB2312" w:cs="仿宋"/>
          <w:color w:val="000000"/>
          <w:sz w:val="32"/>
          <w:szCs w:val="32"/>
        </w:rPr>
        <w:t>表样</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指标设置、软件</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审核公式、模板和</w:t>
      </w:r>
      <w:r>
        <w:rPr>
          <w:rFonts w:ascii="仿宋_GB2312" w:hAnsi="仿宋" w:eastAsia="仿宋_GB2312" w:cs="仿宋"/>
          <w:color w:val="000000"/>
          <w:sz w:val="32"/>
          <w:szCs w:val="32"/>
        </w:rPr>
        <w:t>编</w:t>
      </w:r>
      <w:r>
        <w:rPr>
          <w:rFonts w:hint="eastAsia" w:ascii="仿宋_GB2312" w:hAnsi="仿宋" w:eastAsia="仿宋_GB2312" w:cs="仿宋"/>
          <w:color w:val="000000"/>
          <w:sz w:val="32"/>
          <w:szCs w:val="32"/>
        </w:rPr>
        <w:t>审</w:t>
      </w:r>
      <w:r>
        <w:rPr>
          <w:rFonts w:ascii="仿宋_GB2312" w:hAnsi="仿宋" w:eastAsia="仿宋_GB2312" w:cs="仿宋"/>
          <w:color w:val="000000"/>
          <w:sz w:val="32"/>
          <w:szCs w:val="32"/>
        </w:rPr>
        <w:t>问答</w:t>
      </w:r>
      <w:r>
        <w:rPr>
          <w:rFonts w:hint="eastAsia" w:ascii="仿宋_GB2312" w:hAnsi="仿宋" w:eastAsia="仿宋_GB2312" w:cs="仿宋"/>
          <w:color w:val="000000"/>
          <w:sz w:val="32"/>
          <w:szCs w:val="32"/>
        </w:rPr>
        <w:t>等，请列出并说明修改意见。</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仿宋"/>
          <w:color w:val="000000"/>
          <w:sz w:val="32"/>
          <w:szCs w:val="32"/>
        </w:rPr>
        <w:t>3.对部门决算其他管理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的建议。例如对加强部门决算数据分析利用工作、部门决算信息化建设等建议。</w:t>
      </w:r>
    </w:p>
    <w:p>
      <w:pPr>
        <w:snapToGrid w:val="0"/>
        <w:spacing w:line="520" w:lineRule="exact"/>
        <w:ind w:firstLine="640" w:firstLineChars="200"/>
        <w:rPr>
          <w:rFonts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注：收入支出预算执行情况分析可参考部门决算分析评价表及行政事业单位财务分析指标（附后）。</w:t>
      </w:r>
    </w:p>
    <w:p>
      <w:pPr>
        <w:snapToGrid w:val="0"/>
        <w:rPr>
          <w:rFonts w:hint="eastAsia"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pPr>
        <w:snapToGrid w:val="0"/>
        <w:ind w:firstLine="640" w:firstLineChars="200"/>
        <w:jc w:val="center"/>
        <w:rPr>
          <w:rFonts w:hint="eastAsia" w:ascii="华文中宋" w:hAnsi="华文中宋" w:eastAsia="华文中宋"/>
          <w:sz w:val="32"/>
          <w:szCs w:val="32"/>
        </w:rPr>
      </w:pPr>
      <w:bookmarkStart w:id="5" w:name="YS060200"/>
    </w:p>
    <w:p>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5"/>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6" w:name="YS060201"/>
      <w:r>
        <w:rPr>
          <w:rFonts w:hint="eastAsia" w:ascii="黑体" w:hAnsi="黑体" w:eastAsia="黑体"/>
          <w:sz w:val="32"/>
          <w:szCs w:val="32"/>
        </w:rPr>
        <w:t>一、行政单位财务分析指标</w:t>
      </w:r>
    </w:p>
    <w:bookmarkEnd w:id="6"/>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7" w:name="YS060202"/>
      <w:r>
        <w:rPr>
          <w:rFonts w:hint="eastAsia" w:ascii="黑体" w:hAnsi="黑体" w:eastAsia="黑体"/>
          <w:sz w:val="32"/>
          <w:szCs w:val="32"/>
        </w:rPr>
        <w:t>二、事业单位财务分析指标</w:t>
      </w:r>
    </w:p>
    <w:bookmarkEnd w:id="7"/>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11</w:t>
    </w:r>
    <w:r>
      <w:rPr>
        <w:rFonts w:ascii="Arial" w:hAnsi="Arial" w:cs="Arial"/>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86E1"/>
    <w:multiLevelType w:val="singleLevel"/>
    <w:tmpl w:val="EFFF86E1"/>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66408C"/>
    <w:rsid w:val="FB66408C"/>
    <w:rsid w:val="FFFFA9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正文文字"/>
    <w:next w:val="1"/>
    <w:qFormat/>
    <w:uiPriority w:val="0"/>
    <w:pPr>
      <w:widowControl w:val="0"/>
      <w:spacing w:after="1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2025-01-03T00:32:00Z</dcterms:created>
  <dc:creator>greatwall</dc:creator>
  <cp:lastModifiedBy>greatwall</cp:lastModifiedBy>
  <dcterms:modified xsi:type="dcterms:W3CDTF">2025-01-02T17:10:58Z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