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78115">
      <w:pPr>
        <w:spacing w:line="560" w:lineRule="exact"/>
        <w:ind w:firstLine="880" w:firstLineChars="200"/>
        <w:jc w:val="center"/>
        <w:rPr>
          <w:rFonts w:eastAsia="方正小标宋简体"/>
          <w:color w:val="000000" w:themeColor="text1"/>
          <w:sz w:val="44"/>
          <w:szCs w:val="44"/>
        </w:rPr>
      </w:pPr>
    </w:p>
    <w:p w14:paraId="1116FCD3">
      <w:pPr>
        <w:spacing w:line="560" w:lineRule="exact"/>
        <w:ind w:firstLine="880" w:firstLineChars="200"/>
        <w:jc w:val="center"/>
        <w:rPr>
          <w:rFonts w:eastAsia="方正小标宋简体"/>
          <w:color w:val="000000" w:themeColor="text1"/>
          <w:sz w:val="44"/>
          <w:szCs w:val="44"/>
        </w:rPr>
      </w:pPr>
    </w:p>
    <w:p w14:paraId="7D73FD7C">
      <w:pPr>
        <w:spacing w:line="560" w:lineRule="exact"/>
        <w:ind w:firstLine="880" w:firstLineChars="200"/>
        <w:jc w:val="center"/>
        <w:rPr>
          <w:rFonts w:eastAsia="方正小标宋简体"/>
          <w:color w:val="000000" w:themeColor="text1"/>
          <w:sz w:val="44"/>
          <w:szCs w:val="44"/>
        </w:rPr>
      </w:pPr>
      <w:r>
        <w:rPr>
          <w:rFonts w:eastAsia="方正小标宋简体"/>
          <w:color w:val="000000" w:themeColor="text1"/>
          <w:sz w:val="44"/>
          <w:szCs w:val="44"/>
        </w:rPr>
        <w:t>2021年度株洲市芦淞区医疗保障局</w:t>
      </w:r>
    </w:p>
    <w:p w14:paraId="51AC0946">
      <w:pPr>
        <w:spacing w:line="560" w:lineRule="exact"/>
        <w:ind w:firstLine="880" w:firstLineChars="200"/>
        <w:jc w:val="center"/>
        <w:rPr>
          <w:rFonts w:eastAsia="方正小标宋简体"/>
          <w:color w:val="000000" w:themeColor="text1"/>
          <w:sz w:val="44"/>
          <w:szCs w:val="44"/>
        </w:rPr>
      </w:pPr>
      <w:r>
        <w:rPr>
          <w:rFonts w:eastAsia="方正小标宋简体"/>
          <w:color w:val="000000" w:themeColor="text1"/>
          <w:sz w:val="44"/>
          <w:szCs w:val="44"/>
        </w:rPr>
        <w:t>整体支出绩效自评报告</w:t>
      </w:r>
    </w:p>
    <w:p w14:paraId="2AFF7343">
      <w:pPr>
        <w:spacing w:line="56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 w14:paraId="3E8F4559">
      <w:pPr>
        <w:spacing w:line="56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 w14:paraId="7C539A78">
      <w:pPr>
        <w:spacing w:line="56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 w14:paraId="1D702510">
      <w:pPr>
        <w:spacing w:line="56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 w14:paraId="0C791EF3">
      <w:pPr>
        <w:spacing w:line="56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 w14:paraId="6C2848D6">
      <w:pPr>
        <w:spacing w:line="56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 w14:paraId="3E03F69F">
      <w:pPr>
        <w:spacing w:line="56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 w14:paraId="2ACB90BE">
      <w:pPr>
        <w:spacing w:line="56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 w14:paraId="5348B20E">
      <w:pPr>
        <w:spacing w:line="56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 w14:paraId="7E0DDF81">
      <w:pPr>
        <w:spacing w:line="56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 w14:paraId="148D6973">
      <w:pPr>
        <w:spacing w:line="56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 w14:paraId="28DDAFA4">
      <w:pPr>
        <w:spacing w:line="560" w:lineRule="exact"/>
        <w:ind w:firstLine="880" w:firstLineChars="200"/>
        <w:jc w:val="center"/>
        <w:rPr>
          <w:rFonts w:eastAsia="黑体"/>
          <w:sz w:val="44"/>
          <w:szCs w:val="44"/>
        </w:rPr>
      </w:pPr>
    </w:p>
    <w:p w14:paraId="5B1FDB04">
      <w:pPr>
        <w:spacing w:line="560" w:lineRule="exact"/>
        <w:ind w:firstLine="880" w:firstLineChars="200"/>
        <w:jc w:val="center"/>
        <w:rPr>
          <w:rFonts w:eastAsia="黑体"/>
          <w:sz w:val="44"/>
          <w:szCs w:val="44"/>
        </w:rPr>
      </w:pPr>
    </w:p>
    <w:p w14:paraId="17790927">
      <w:pPr>
        <w:spacing w:line="560" w:lineRule="exact"/>
        <w:ind w:firstLine="880" w:firstLineChars="200"/>
        <w:jc w:val="center"/>
        <w:rPr>
          <w:rFonts w:eastAsia="黑体"/>
          <w:sz w:val="44"/>
          <w:szCs w:val="44"/>
        </w:rPr>
      </w:pPr>
    </w:p>
    <w:p w14:paraId="7DD19A89">
      <w:pPr>
        <w:spacing w:line="560" w:lineRule="exact"/>
        <w:ind w:firstLine="720" w:firstLineChars="200"/>
        <w:rPr>
          <w:rFonts w:eastAsia="黑体"/>
          <w:sz w:val="36"/>
          <w:szCs w:val="36"/>
        </w:rPr>
      </w:pPr>
    </w:p>
    <w:p w14:paraId="78E25E3F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79FADC6C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079B76D9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2B87311C">
      <w:pPr>
        <w:spacing w:line="560" w:lineRule="exact"/>
        <w:rPr>
          <w:rFonts w:eastAsia="黑体"/>
          <w:sz w:val="32"/>
          <w:szCs w:val="32"/>
        </w:rPr>
      </w:pPr>
    </w:p>
    <w:p w14:paraId="0E3FD191">
      <w:pPr>
        <w:spacing w:line="560" w:lineRule="exact"/>
        <w:ind w:firstLine="320" w:firstLineChars="100"/>
        <w:rPr>
          <w:rFonts w:eastAsia="黑体"/>
          <w:sz w:val="32"/>
          <w:szCs w:val="32"/>
        </w:rPr>
      </w:pPr>
    </w:p>
    <w:p w14:paraId="0EB38766">
      <w:pPr>
        <w:spacing w:line="560" w:lineRule="exact"/>
        <w:ind w:firstLine="320" w:firstLineChars="1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 w14:paraId="27064D76">
      <w:pPr>
        <w:spacing w:line="56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（一）部门基本情况</w:t>
      </w:r>
    </w:p>
    <w:p w14:paraId="050BB11E"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1．机构情况， 区医疗保障局内设区医疗保障事务中心，为股级全额拨款公益一类事业单位。</w:t>
      </w:r>
    </w:p>
    <w:p w14:paraId="7DEDAD76"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2．人员情况，区医疗保障局行政编制3名，设局长1名，副局长1名；内设区医疗保障事务中心全额拨款事业编制5名。</w:t>
      </w:r>
    </w:p>
    <w:p w14:paraId="254A4470">
      <w:pPr>
        <w:spacing w:line="56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（二）部门（单位）年度整体支出绩效目标，部门专项资金绩效目标、其他项目支出（除省级专项资金以外）绩效目标</w:t>
      </w:r>
    </w:p>
    <w:p w14:paraId="4B8CADD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完善统一的城乡居民基本医疗保险制度和大病保险制度，巩固完善城乡居民医疗救助制度，建立健全覆盖全民、城乡统筹的多层次医疗保障体系，不断提高医疗保障水平，确保医保资金合理使用、安全可控，推进医疗、医保、医药“三医联动”改革，更好保障人民群众就医需求、减轻医药费用负担。</w:t>
      </w:r>
    </w:p>
    <w:p w14:paraId="2CBB98B6">
      <w:pPr>
        <w:pStyle w:val="6"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55CA1EE1">
      <w:pPr>
        <w:pStyle w:val="6"/>
        <w:spacing w:line="56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0872F68B">
      <w:pPr>
        <w:pStyle w:val="6"/>
        <w:spacing w:line="560" w:lineRule="exact"/>
        <w:ind w:firstLine="64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1、2021</w:t>
      </w:r>
      <w:r>
        <w:rPr>
          <w:rFonts w:ascii="Times New Roman" w:hAnsi="Times New Roman" w:eastAsia="仿宋"/>
          <w:color w:val="000000"/>
          <w:sz w:val="32"/>
          <w:szCs w:val="32"/>
        </w:rPr>
        <w:t>年预算</w:t>
      </w:r>
      <w:r>
        <w:rPr>
          <w:rFonts w:ascii="Times New Roman" w:hAnsi="Times New Roman" w:eastAsia="仿宋_GB2312"/>
          <w:sz w:val="32"/>
          <w:szCs w:val="32"/>
        </w:rPr>
        <w:t>一般公共预算拨款</w:t>
      </w:r>
      <w:r>
        <w:rPr>
          <w:rFonts w:ascii="Times New Roman" w:hAnsi="Times New Roman" w:eastAsia="仿宋"/>
          <w:color w:val="000000"/>
          <w:sz w:val="32"/>
          <w:szCs w:val="32"/>
        </w:rPr>
        <w:t>资金</w:t>
      </w:r>
      <w:r>
        <w:rPr>
          <w:rFonts w:hint="eastAsia" w:ascii="Times New Roman" w:hAnsi="Times New Roman" w:eastAsia="仿宋_GB2312"/>
          <w:sz w:val="32"/>
          <w:szCs w:val="32"/>
        </w:rPr>
        <w:t>491.98</w:t>
      </w:r>
      <w:r>
        <w:rPr>
          <w:rFonts w:ascii="Times New Roman" w:hAnsi="Times New Roman" w:eastAsia="仿宋_GB2312"/>
          <w:sz w:val="32"/>
          <w:szCs w:val="32"/>
        </w:rPr>
        <w:t>万元。</w:t>
      </w:r>
    </w:p>
    <w:p w14:paraId="2E9567E0">
      <w:pPr>
        <w:pStyle w:val="6"/>
        <w:spacing w:line="560" w:lineRule="exact"/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2、2021年度单位一般公共预算财政拨款收入</w:t>
      </w:r>
      <w:r>
        <w:rPr>
          <w:rFonts w:hint="eastAsia" w:ascii="Times New Roman" w:hAnsi="Times New Roman" w:eastAsia="仿宋"/>
          <w:sz w:val="32"/>
          <w:szCs w:val="32"/>
        </w:rPr>
        <w:t>491.98</w:t>
      </w:r>
      <w:r>
        <w:rPr>
          <w:rFonts w:ascii="Times New Roman" w:hAnsi="Times New Roman" w:eastAsia="仿宋"/>
          <w:sz w:val="32"/>
          <w:szCs w:val="32"/>
        </w:rPr>
        <w:t>万元。</w:t>
      </w:r>
    </w:p>
    <w:p w14:paraId="6E63F82C">
      <w:pPr>
        <w:spacing w:line="560" w:lineRule="exact"/>
        <w:ind w:firstLine="640" w:firstLineChars="200"/>
        <w:rPr>
          <w:rFonts w:eastAsia="仿宋"/>
          <w:color w:val="FF0000"/>
          <w:sz w:val="32"/>
          <w:szCs w:val="32"/>
        </w:rPr>
      </w:pPr>
      <w:r>
        <w:rPr>
          <w:rFonts w:eastAsia="仿宋"/>
          <w:sz w:val="32"/>
          <w:szCs w:val="32"/>
        </w:rPr>
        <w:t>3、2021年度单位一般公共预算财政拨款支出</w:t>
      </w:r>
      <w:r>
        <w:rPr>
          <w:rFonts w:hint="eastAsia" w:eastAsia="仿宋"/>
          <w:sz w:val="32"/>
          <w:szCs w:val="32"/>
        </w:rPr>
        <w:t>491.98</w:t>
      </w:r>
      <w:r>
        <w:rPr>
          <w:rFonts w:eastAsia="仿宋"/>
          <w:sz w:val="32"/>
          <w:szCs w:val="32"/>
        </w:rPr>
        <w:t>万元，其中：</w:t>
      </w:r>
      <w:r>
        <w:rPr>
          <w:rFonts w:hint="eastAsia" w:eastAsia="仿宋"/>
          <w:sz w:val="32"/>
          <w:szCs w:val="32"/>
        </w:rPr>
        <w:t>项目支出354.95万元，基本支出137.03万元，其中：</w:t>
      </w:r>
      <w:r>
        <w:rPr>
          <w:rFonts w:eastAsia="仿宋"/>
          <w:sz w:val="32"/>
          <w:szCs w:val="32"/>
        </w:rPr>
        <w:t>人员经费105.61万元，公用经费31.42万元。</w:t>
      </w:r>
    </w:p>
    <w:p w14:paraId="5A7D18DD">
      <w:pPr>
        <w:pStyle w:val="6"/>
        <w:numPr>
          <w:ilvl w:val="0"/>
          <w:numId w:val="1"/>
        </w:numPr>
        <w:spacing w:line="56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 w14:paraId="4D701A64">
      <w:pPr>
        <w:pStyle w:val="6"/>
        <w:spacing w:line="560" w:lineRule="exact"/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2021年度</w:t>
      </w:r>
      <w:r>
        <w:rPr>
          <w:rFonts w:ascii="Times New Roman" w:hAnsi="Times New Roman" w:eastAsia="仿宋"/>
          <w:sz w:val="32"/>
          <w:szCs w:val="32"/>
        </w:rPr>
        <w:t>项目支出</w:t>
      </w:r>
      <w:r>
        <w:rPr>
          <w:rFonts w:hint="eastAsia" w:ascii="Times New Roman" w:hAnsi="Times New Roman" w:eastAsia="仿宋"/>
          <w:sz w:val="32"/>
          <w:szCs w:val="32"/>
        </w:rPr>
        <w:t>合计354.95</w:t>
      </w:r>
      <w:r>
        <w:rPr>
          <w:rFonts w:ascii="Times New Roman" w:hAnsi="Times New Roman" w:eastAsia="仿宋"/>
          <w:sz w:val="32"/>
          <w:szCs w:val="32"/>
        </w:rPr>
        <w:t>万元</w:t>
      </w:r>
      <w:r>
        <w:rPr>
          <w:rFonts w:hint="eastAsia" w:ascii="Times New Roman" w:hAnsi="Times New Roman" w:eastAsia="仿宋"/>
          <w:sz w:val="32"/>
          <w:szCs w:val="32"/>
        </w:rPr>
        <w:t>，其中：财政对困难企业职工基本医疗费的补助支出76.42万元；城乡居民医疗救助支出248.87万元；离休干部医疗费支出29.66万元。</w:t>
      </w:r>
    </w:p>
    <w:p w14:paraId="7DF8938B">
      <w:pPr>
        <w:pStyle w:val="6"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 w14:paraId="6A5EC9EF">
      <w:pPr>
        <w:pStyle w:val="6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2021年度政府性基金预算财政拨款支出3.8万元。</w:t>
      </w:r>
    </w:p>
    <w:p w14:paraId="5FFD6021">
      <w:pPr>
        <w:pStyle w:val="6"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</w:p>
    <w:p w14:paraId="540DB537">
      <w:pPr>
        <w:pStyle w:val="6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无。</w:t>
      </w:r>
    </w:p>
    <w:p w14:paraId="7810BAAD">
      <w:pPr>
        <w:pStyle w:val="6"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</w:p>
    <w:p w14:paraId="7232CFE7">
      <w:pPr>
        <w:pStyle w:val="6"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2021年度社会保险基金预算支出城乡居民医保区级财政预算拨款收入1461.39万元。</w:t>
      </w:r>
    </w:p>
    <w:p w14:paraId="46463E7F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六、资金使用及绩效情况</w:t>
      </w:r>
    </w:p>
    <w:p w14:paraId="66087F27">
      <w:pPr>
        <w:spacing w:line="56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  <w:lang w:eastAsia="zh-CN"/>
        </w:rPr>
        <w:t>（</w:t>
      </w:r>
      <w:r>
        <w:rPr>
          <w:rFonts w:eastAsia="楷体_GB2312"/>
          <w:b/>
          <w:sz w:val="32"/>
          <w:szCs w:val="32"/>
        </w:rPr>
        <w:t>一）部门整体支出绩效情况</w:t>
      </w:r>
    </w:p>
    <w:p w14:paraId="6763E67D">
      <w:pPr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  <w:lang w:val="zh-TW"/>
        </w:rPr>
      </w:pPr>
      <w:r>
        <w:rPr>
          <w:rFonts w:eastAsia="仿宋_GB2312"/>
          <w:b/>
          <w:bCs/>
          <w:sz w:val="32"/>
          <w:szCs w:val="32"/>
        </w:rPr>
        <w:t>1.</w:t>
      </w:r>
      <w:r>
        <w:rPr>
          <w:rFonts w:eastAsia="仿宋_GB2312"/>
          <w:b/>
          <w:bCs/>
          <w:sz w:val="32"/>
          <w:szCs w:val="32"/>
          <w:lang w:val="zh-TW"/>
        </w:rPr>
        <w:t>基本医疗保险参保扩面。</w:t>
      </w:r>
      <w:r>
        <w:rPr>
          <w:rFonts w:eastAsia="仿宋_GB2312"/>
          <w:color w:val="000000" w:themeColor="text1"/>
          <w:sz w:val="32"/>
          <w:szCs w:val="32"/>
          <w:lang w:val="zh-TW"/>
        </w:rPr>
        <w:t>积极落实全民参保要求，不断扩大医保制度覆盖面，持续</w:t>
      </w:r>
      <w:r>
        <w:rPr>
          <w:rFonts w:hint="eastAsia" w:eastAsia="仿宋_GB2312"/>
          <w:color w:val="000000" w:themeColor="text1"/>
          <w:sz w:val="32"/>
          <w:szCs w:val="32"/>
          <w:lang w:val="zh-TW" w:eastAsia="zh-CN"/>
        </w:rPr>
        <w:t>加大</w:t>
      </w:r>
      <w:r>
        <w:rPr>
          <w:rFonts w:eastAsia="仿宋_GB2312"/>
          <w:color w:val="000000" w:themeColor="text1"/>
          <w:sz w:val="32"/>
          <w:szCs w:val="32"/>
          <w:lang w:val="zh-TW"/>
        </w:rPr>
        <w:t>医保基金征缴力度，努力做到应保尽保、应收尽收。2021年我区城乡居民基本医疗保险参保17.6万人，超过任务7000多人，参保率达95%以上。五保、低保、1-2级残疾等困难群众100%参保。10月下旬，全区启动2022年度参保缴费工作，并召开了专题动员会和业务部署会。</w:t>
      </w:r>
    </w:p>
    <w:p w14:paraId="04BC0F11">
      <w:pPr>
        <w:spacing w:line="560" w:lineRule="exact"/>
        <w:ind w:firstLine="643" w:firstLineChars="200"/>
        <w:rPr>
          <w:rFonts w:eastAsia="仿宋_GB2312"/>
          <w:sz w:val="32"/>
          <w:szCs w:val="32"/>
          <w:lang w:val="zh-TW"/>
        </w:rPr>
      </w:pPr>
      <w:r>
        <w:rPr>
          <w:rFonts w:eastAsia="仿宋_GB2312"/>
          <w:b/>
          <w:bCs/>
          <w:sz w:val="32"/>
          <w:szCs w:val="32"/>
        </w:rPr>
        <w:t>2.</w:t>
      </w:r>
      <w:r>
        <w:rPr>
          <w:rFonts w:eastAsia="仿宋_GB2312"/>
          <w:b/>
          <w:bCs/>
          <w:sz w:val="32"/>
          <w:szCs w:val="32"/>
          <w:lang w:val="zh-TW"/>
        </w:rPr>
        <w:t>做实“民生100”工程。</w:t>
      </w:r>
      <w:r>
        <w:rPr>
          <w:rFonts w:eastAsia="仿宋_GB2312"/>
          <w:sz w:val="32"/>
          <w:szCs w:val="32"/>
          <w:lang w:val="zh-TW"/>
        </w:rPr>
        <w:t>城乡居民高血压、糖尿病“两病”门诊用药保障和扩大特殊病种门诊待遇等两项工作纳入今年的“民生100”工程。2021年“两病”保障6220人次，完成目标任务的259%；特门待遇支付247.62万元，完成目</w:t>
      </w:r>
      <w:bookmarkStart w:id="0" w:name="_GoBack"/>
      <w:bookmarkEnd w:id="0"/>
      <w:r>
        <w:rPr>
          <w:rFonts w:eastAsia="仿宋_GB2312"/>
          <w:sz w:val="32"/>
          <w:szCs w:val="32"/>
          <w:lang w:val="zh-TW"/>
        </w:rPr>
        <w:t>标任务的123.81%，人数1245人，完成目标任务的104%。</w:t>
      </w:r>
    </w:p>
    <w:p w14:paraId="3647C208"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:lang w:val="zh-TW"/>
        </w:rPr>
      </w:pPr>
      <w:r>
        <w:rPr>
          <w:rFonts w:eastAsia="仿宋_GB2312"/>
          <w:b/>
          <w:bCs/>
          <w:sz w:val="32"/>
          <w:szCs w:val="32"/>
        </w:rPr>
        <w:t>3.</w:t>
      </w:r>
      <w:r>
        <w:rPr>
          <w:rFonts w:eastAsia="仿宋_GB2312"/>
          <w:b/>
          <w:bCs/>
          <w:sz w:val="32"/>
          <w:szCs w:val="32"/>
          <w:lang w:val="zh-TW"/>
        </w:rPr>
        <w:t>充分采购和使用集中带量药品耗材。</w:t>
      </w:r>
      <w:r>
        <w:rPr>
          <w:rFonts w:eastAsia="仿宋_GB2312"/>
          <w:color w:val="000000" w:themeColor="text1"/>
          <w:sz w:val="32"/>
          <w:szCs w:val="32"/>
        </w:rPr>
        <w:t>2021年</w:t>
      </w:r>
      <w:r>
        <w:rPr>
          <w:rFonts w:eastAsia="仿宋_GB2312"/>
          <w:color w:val="000000" w:themeColor="text1"/>
          <w:sz w:val="32"/>
          <w:szCs w:val="32"/>
          <w:lang w:val="zh-TW"/>
        </w:rPr>
        <w:t>辖区11所基层医疗卫生单位均在网上采购和临床使用国家、省、市统一招标的300多种集采药品，全面完成约定采购计划，及时足额支付药款。启动实施带量采购药款节余留用政策。药品价格平均降幅达60%，公立医疗机构全面取消医用耗材加成，零利润销售，人民群众医药负担明显减轻。</w:t>
      </w:r>
    </w:p>
    <w:p w14:paraId="0D0774F1"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:lang w:val="zh-TW"/>
        </w:rPr>
      </w:pPr>
      <w:r>
        <w:rPr>
          <w:rFonts w:eastAsia="仿宋_GB2312"/>
          <w:b/>
          <w:bCs/>
          <w:sz w:val="32"/>
          <w:szCs w:val="32"/>
        </w:rPr>
        <w:t>4.</w:t>
      </w:r>
      <w:r>
        <w:rPr>
          <w:rFonts w:eastAsia="仿宋_GB2312"/>
          <w:b/>
          <w:bCs/>
          <w:sz w:val="32"/>
          <w:szCs w:val="32"/>
          <w:lang w:val="zh-TW"/>
        </w:rPr>
        <w:t>加强基金监督管理。</w:t>
      </w:r>
      <w:r>
        <w:rPr>
          <w:rFonts w:eastAsia="仿宋_GB2312"/>
          <w:color w:val="000000" w:themeColor="text1"/>
          <w:sz w:val="32"/>
          <w:szCs w:val="32"/>
          <w:lang w:val="zh-TW"/>
        </w:rPr>
        <w:t>贯彻落实《</w:t>
      </w:r>
      <w:r>
        <w:rPr>
          <w:rFonts w:hint="eastAsia" w:eastAsia="仿宋_GB2312"/>
          <w:color w:val="000000" w:themeColor="text1"/>
          <w:sz w:val="32"/>
          <w:szCs w:val="32"/>
          <w:lang w:val="zh-TW" w:eastAsia="zh-CN"/>
        </w:rPr>
        <w:t>医疗保障基金使用监督管理条例</w:t>
      </w:r>
      <w:r>
        <w:rPr>
          <w:rFonts w:eastAsia="仿宋_GB2312"/>
          <w:color w:val="000000" w:themeColor="text1"/>
          <w:sz w:val="32"/>
          <w:szCs w:val="32"/>
          <w:lang w:val="zh-TW"/>
        </w:rPr>
        <w:t>》，依法监管，依法履责，对辖区定点医疗机构、药店进行全面监督，守护好老百姓的救命钱。坚持线上审核和线下稽核相结合，进一步完善医保定点协议管理，严格落实基金总控、超额共同分担制度</w:t>
      </w:r>
      <w:r>
        <w:rPr>
          <w:rFonts w:eastAsia="仿宋_GB2312"/>
          <w:sz w:val="32"/>
          <w:szCs w:val="32"/>
          <w:lang w:val="zh-TW"/>
        </w:rPr>
        <w:t>。1-1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  <w:lang w:val="zh-TW"/>
        </w:rPr>
        <w:t>月线上审核8000余人次，病历抽检900余份，电话回访1000余人次，约谈定点医疗机构 18家，追回（拒付）基金10万余元。开展五保户住院专项整治工作，追回医保基金5万元。</w:t>
      </w:r>
      <w:r>
        <w:rPr>
          <w:rFonts w:eastAsia="仿宋_GB2312"/>
          <w:color w:val="000000" w:themeColor="text1"/>
          <w:sz w:val="32"/>
          <w:szCs w:val="32"/>
          <w:lang w:val="zh-TW"/>
        </w:rPr>
        <w:t>9月，开展打击欺诈骗保套保贪占挪用医保基金集中整治行动，建立13个单位组成的协调机制，210家定点医药机构通过全面自查自纠，主动退回医保基金15万元，针对自查列出的问题清单进行全面整改。</w:t>
      </w:r>
    </w:p>
    <w:p w14:paraId="54F22C19"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:lang w:val="zh-TW"/>
        </w:rPr>
      </w:pPr>
      <w:r>
        <w:rPr>
          <w:rFonts w:eastAsia="仿宋_GB2312"/>
          <w:b/>
          <w:bCs/>
          <w:sz w:val="32"/>
          <w:szCs w:val="32"/>
        </w:rPr>
        <w:t>5.</w:t>
      </w:r>
      <w:r>
        <w:rPr>
          <w:rFonts w:eastAsia="仿宋_GB2312"/>
          <w:b/>
          <w:bCs/>
          <w:sz w:val="32"/>
          <w:szCs w:val="32"/>
          <w:lang w:val="zh-TW"/>
        </w:rPr>
        <w:t>优化医保经办服务。</w:t>
      </w:r>
      <w:r>
        <w:rPr>
          <w:rFonts w:eastAsia="仿宋_GB2312"/>
          <w:color w:val="000000" w:themeColor="text1"/>
          <w:sz w:val="32"/>
          <w:szCs w:val="32"/>
          <w:lang w:val="zh-TW"/>
        </w:rPr>
        <w:t>深入推进医保领域“放管服”改革和“最多跑一次”改革，积极推进“互联网+政务”建设，落实优化营商环境措施。进一步优化异地就医、参保登记、异地报销等方面的便民措施。落实基本医疗保险、大病保险、医疗救助“一站式服务、一窗口办理、一单制结算”。让数据多跑路</w:t>
      </w:r>
      <w:r>
        <w:rPr>
          <w:rFonts w:hint="eastAsia" w:eastAsia="仿宋_GB2312"/>
          <w:color w:val="000000" w:themeColor="text1"/>
          <w:sz w:val="32"/>
          <w:szCs w:val="32"/>
          <w:lang w:val="zh-TW" w:eastAsia="zh-CN"/>
        </w:rPr>
        <w:t>，让</w:t>
      </w:r>
      <w:r>
        <w:rPr>
          <w:rFonts w:eastAsia="仿宋_GB2312"/>
          <w:color w:val="000000" w:themeColor="text1"/>
          <w:sz w:val="32"/>
          <w:szCs w:val="32"/>
          <w:lang w:val="zh-TW"/>
        </w:rPr>
        <w:t>群众少跑路，提高办事效率和服务质量，提升人民群众办事的满意度。开展一把手走流程工作，进一步优化工作流程。1-12月医保窗口办理职工医保异动1.5万余人次，办理居民，新生儿参保1600余人次，申请返还生育津贴至区财政12.87万元。</w:t>
      </w:r>
    </w:p>
    <w:p w14:paraId="474306A0">
      <w:pPr>
        <w:spacing w:line="560" w:lineRule="exact"/>
        <w:ind w:firstLine="643" w:firstLineChars="200"/>
        <w:rPr>
          <w:rFonts w:eastAsia="仿宋_GB2312"/>
          <w:sz w:val="32"/>
          <w:szCs w:val="32"/>
          <w:lang w:val="zh-TW"/>
        </w:rPr>
      </w:pPr>
      <w:r>
        <w:rPr>
          <w:rFonts w:eastAsia="仿宋_GB2312"/>
          <w:b/>
          <w:bCs/>
          <w:sz w:val="32"/>
          <w:szCs w:val="32"/>
        </w:rPr>
        <w:t>6.</w:t>
      </w:r>
      <w:r>
        <w:rPr>
          <w:rFonts w:eastAsia="仿宋_GB2312"/>
          <w:b/>
          <w:bCs/>
          <w:sz w:val="32"/>
          <w:szCs w:val="32"/>
          <w:lang w:val="zh-TW"/>
        </w:rPr>
        <w:t>发挥医疗救助兜底功能。</w:t>
      </w:r>
      <w:r>
        <w:rPr>
          <w:rFonts w:eastAsia="仿宋_GB2312"/>
          <w:color w:val="000000" w:themeColor="text1"/>
          <w:sz w:val="32"/>
          <w:szCs w:val="32"/>
          <w:lang w:val="zh-TW"/>
        </w:rPr>
        <w:t>认真落实“医疗救助是保障困难群众基本医疗需求、最大限度减轻困难群众医用支出负担”的总要求，建立和完善审批制度，资金管理规范、使用安全，审批结果及时公示公开，接受社会监督。建立民政、残联、医保数据共享机制，三类人群数据及时更新和共享。</w:t>
      </w:r>
      <w:r>
        <w:rPr>
          <w:rFonts w:eastAsia="仿宋_GB2312"/>
          <w:sz w:val="32"/>
          <w:szCs w:val="32"/>
          <w:lang w:val="zh-TW"/>
        </w:rPr>
        <w:t>1-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  <w:lang w:val="zh-TW"/>
        </w:rPr>
        <w:t>月，资助7000多名五保户、低保户、1-2级残</w:t>
      </w:r>
      <w:r>
        <w:rPr>
          <w:rFonts w:hint="eastAsia" w:eastAsia="仿宋_GB2312"/>
          <w:sz w:val="32"/>
          <w:szCs w:val="32"/>
          <w:lang w:val="zh-TW" w:eastAsia="zh-CN"/>
        </w:rPr>
        <w:t>疾人</w:t>
      </w:r>
      <w:r>
        <w:rPr>
          <w:rFonts w:eastAsia="仿宋_GB2312"/>
          <w:sz w:val="32"/>
          <w:szCs w:val="32"/>
          <w:lang w:val="zh-TW"/>
        </w:rPr>
        <w:t>参保。1-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  <w:lang w:val="zh-TW"/>
        </w:rPr>
        <w:t>月住院医疗救助</w:t>
      </w:r>
      <w:r>
        <w:rPr>
          <w:rFonts w:eastAsia="仿宋_GB2312"/>
          <w:sz w:val="32"/>
          <w:szCs w:val="32"/>
        </w:rPr>
        <w:t>900</w:t>
      </w:r>
      <w:r>
        <w:rPr>
          <w:rFonts w:eastAsia="仿宋_GB2312"/>
          <w:sz w:val="32"/>
          <w:szCs w:val="32"/>
          <w:lang w:val="zh-TW"/>
        </w:rPr>
        <w:t>人次。</w:t>
      </w:r>
    </w:p>
    <w:p w14:paraId="5210E2F3"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:lang w:val="zh-TW"/>
        </w:rPr>
      </w:pPr>
      <w:r>
        <w:rPr>
          <w:rFonts w:eastAsia="仿宋_GB2312"/>
          <w:b/>
          <w:bCs/>
          <w:sz w:val="32"/>
          <w:szCs w:val="32"/>
        </w:rPr>
        <w:t>7.</w:t>
      </w:r>
      <w:r>
        <w:rPr>
          <w:rFonts w:eastAsia="仿宋_GB2312"/>
          <w:b/>
          <w:bCs/>
          <w:sz w:val="32"/>
          <w:szCs w:val="32"/>
          <w:lang w:val="zh-TW"/>
        </w:rPr>
        <w:t>做好信息化建设。</w:t>
      </w:r>
      <w:r>
        <w:rPr>
          <w:rFonts w:eastAsia="仿宋_GB2312"/>
          <w:color w:val="000000" w:themeColor="text1"/>
          <w:sz w:val="32"/>
          <w:szCs w:val="32"/>
          <w:lang w:val="zh-TW"/>
        </w:rPr>
        <w:t>按照国家、省、市统一部署，做好全国统一信息系统建设相关工作</w:t>
      </w:r>
      <w:r>
        <w:rPr>
          <w:rFonts w:hint="eastAsia" w:eastAsia="仿宋_GB2312"/>
          <w:color w:val="000000" w:themeColor="text1"/>
          <w:sz w:val="32"/>
          <w:szCs w:val="32"/>
          <w:lang w:val="zh-TW" w:eastAsia="zh-CN"/>
        </w:rPr>
        <w:t>，</w:t>
      </w:r>
      <w:r>
        <w:rPr>
          <w:rFonts w:eastAsia="仿宋_GB2312"/>
          <w:color w:val="000000" w:themeColor="text1"/>
          <w:sz w:val="32"/>
          <w:szCs w:val="32"/>
          <w:lang w:val="zh-TW"/>
        </w:rPr>
        <w:t>大力推广医保电子凭证及扩大凭证应用场景，医保电子凭证激活率全市排名靠前。9月中旬，全国</w:t>
      </w:r>
      <w:r>
        <w:rPr>
          <w:rFonts w:eastAsia="仿宋_GB2312"/>
          <w:sz w:val="32"/>
          <w:szCs w:val="32"/>
        </w:rPr>
        <w:t>统一</w:t>
      </w:r>
      <w:r>
        <w:rPr>
          <w:rFonts w:eastAsia="仿宋_GB2312"/>
          <w:color w:val="000000" w:themeColor="text1"/>
          <w:sz w:val="32"/>
          <w:szCs w:val="32"/>
          <w:lang w:val="zh-TW"/>
        </w:rPr>
        <w:t>医保信息平台已经芦淞上线，全区200多家定点医药机构全部接入</w:t>
      </w:r>
      <w:r>
        <w:rPr>
          <w:rFonts w:eastAsia="仿宋_GB2312"/>
          <w:sz w:val="32"/>
          <w:szCs w:val="32"/>
        </w:rPr>
        <w:t>全国统一医疗保障信息</w:t>
      </w:r>
      <w:r>
        <w:rPr>
          <w:rFonts w:eastAsia="仿宋_GB2312"/>
          <w:color w:val="000000" w:themeColor="text1"/>
          <w:sz w:val="32"/>
          <w:szCs w:val="32"/>
          <w:lang w:val="zh-TW"/>
        </w:rPr>
        <w:t>平台，职工医保、城乡居民医保完全整合，异地就医住院实现跨省通办。</w:t>
      </w:r>
    </w:p>
    <w:p w14:paraId="11DB005C">
      <w:pPr>
        <w:spacing w:line="56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（二）专项资金支出绩效情况</w:t>
      </w:r>
    </w:p>
    <w:p w14:paraId="4F18FD7E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2021年度医疗救助专项资金支出合计358.75万元。住院救助1764人次，资助五保户、低保户、1-2级残疾参保缴费7106人。</w:t>
      </w:r>
    </w:p>
    <w:p w14:paraId="5D07580D">
      <w:pPr>
        <w:pStyle w:val="6"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5237BC0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1.办公运行经费保障不足。帮扶（驻村、教育）、党建、工会福利费、体检费等政策性支出占据相当多的基本运行经费。</w:t>
      </w:r>
    </w:p>
    <w:p w14:paraId="1987C874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2.预算执行进度有待加强。</w:t>
      </w:r>
    </w:p>
    <w:p w14:paraId="137EBC3A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5F331FC2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合理安排预算支出计划，避免超额支出的情况，加强预算控制，科学编制预算，提高预算精准度。</w:t>
      </w:r>
    </w:p>
    <w:p w14:paraId="1911F53C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 w14:paraId="2C9CE88A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自评结果将运用于来年的预算编制上，并为今后的预算管理提供重要的参考。本单位无独立网站，绩效自评结果将在芦淞区政府门户网上统一公示公开，接受监督。</w:t>
      </w:r>
    </w:p>
    <w:p w14:paraId="007A16E2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十、其他需要说明的情况</w:t>
      </w:r>
    </w:p>
    <w:p w14:paraId="0053BC92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无。</w:t>
      </w:r>
    </w:p>
    <w:p w14:paraId="1F352332"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 w14:paraId="18589B0F">
      <w:pPr>
        <w:spacing w:line="560" w:lineRule="exact"/>
        <w:ind w:firstLine="640" w:firstLineChars="200"/>
      </w:pPr>
      <w:r>
        <w:rPr>
          <w:rFonts w:eastAsia="黑体"/>
          <w:sz w:val="32"/>
          <w:szCs w:val="32"/>
        </w:rPr>
        <w:br w:type="page"/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942E30-7AC6-42C8-9D77-D485C0487D8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DDC058A-D87F-401A-BD77-1F25A615576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ED6B9DF-575D-43BD-A85E-2CCE5F9E062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98F08AE-CEFD-47BE-835F-CE69D9F7B5B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47C66F47-4A43-4335-85DF-1BE324A122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CE41561-81BD-4F8B-A47E-E98B278E434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wZGVjMjRiMjI1ODA0ZDFlNjdlNTY2ZjczZjQ4ZDMifQ=="/>
  </w:docVars>
  <w:rsids>
    <w:rsidRoot w:val="00AE1FE7"/>
    <w:rsid w:val="00004E70"/>
    <w:rsid w:val="00024EF6"/>
    <w:rsid w:val="0015097E"/>
    <w:rsid w:val="00207FA3"/>
    <w:rsid w:val="0027150A"/>
    <w:rsid w:val="002A46E6"/>
    <w:rsid w:val="004C7D4C"/>
    <w:rsid w:val="004D68B1"/>
    <w:rsid w:val="00537397"/>
    <w:rsid w:val="00567A1D"/>
    <w:rsid w:val="005A433C"/>
    <w:rsid w:val="005E37A4"/>
    <w:rsid w:val="006F54E0"/>
    <w:rsid w:val="00744CF7"/>
    <w:rsid w:val="008A1742"/>
    <w:rsid w:val="008A741C"/>
    <w:rsid w:val="008C62A7"/>
    <w:rsid w:val="009973C1"/>
    <w:rsid w:val="00A04838"/>
    <w:rsid w:val="00A51771"/>
    <w:rsid w:val="00A56C8A"/>
    <w:rsid w:val="00AC6175"/>
    <w:rsid w:val="00AE1FE7"/>
    <w:rsid w:val="00CE6B79"/>
    <w:rsid w:val="00D32642"/>
    <w:rsid w:val="00D5092F"/>
    <w:rsid w:val="00D8245E"/>
    <w:rsid w:val="00E05F30"/>
    <w:rsid w:val="00E263D3"/>
    <w:rsid w:val="00E267AE"/>
    <w:rsid w:val="00E37A44"/>
    <w:rsid w:val="00E55161"/>
    <w:rsid w:val="00F826DF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B873C3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46C1DD9"/>
    <w:rsid w:val="14BF24DE"/>
    <w:rsid w:val="14CC54C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F51455"/>
    <w:rsid w:val="1B9D302A"/>
    <w:rsid w:val="1BF446CE"/>
    <w:rsid w:val="1C704031"/>
    <w:rsid w:val="1D271A66"/>
    <w:rsid w:val="1DCB47DF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5124AFB"/>
    <w:rsid w:val="35164EC9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91722FF"/>
    <w:rsid w:val="491D74A7"/>
    <w:rsid w:val="492544D8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4D0228"/>
    <w:rsid w:val="53AB142E"/>
    <w:rsid w:val="54207C51"/>
    <w:rsid w:val="54DA727F"/>
    <w:rsid w:val="54E65F5A"/>
    <w:rsid w:val="555C0CA7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08603C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2172</Words>
  <Characters>2382</Characters>
  <Lines>17</Lines>
  <Paragraphs>4</Paragraphs>
  <TotalTime>349</TotalTime>
  <ScaleCrop>false</ScaleCrop>
  <LinksUpToDate>false</LinksUpToDate>
  <CharactersWithSpaces>2384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Ming</cp:lastModifiedBy>
  <dcterms:modified xsi:type="dcterms:W3CDTF">2024-12-31T03:22:31Z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46B1E17AE7754E13BA78DBD53DD7830E</vt:lpwstr>
  </property>
  <property fmtid="{D5CDD505-2E9C-101B-9397-08002B2CF9AE}" pid="4" name="KSOTemplateDocerSaveRecord">
    <vt:lpwstr>eyJoZGlkIjoiYjYzZTRiNjk2NTkwMmIyMjU1NWMzNzE5MzBjNjc5ZGIiLCJ1c2VySWQiOiIyMTczMjM0OTEifQ==</vt:lpwstr>
  </property>
</Properties>
</file>