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0630">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18D6CFAA">
      <w:pPr>
        <w:tabs>
          <w:tab w:val="left" w:pos="7560"/>
        </w:tabs>
        <w:adjustRightInd w:val="0"/>
        <w:snapToGrid w:val="0"/>
        <w:spacing w:line="560" w:lineRule="exact"/>
        <w:jc w:val="left"/>
        <w:rPr>
          <w:rFonts w:ascii="Times New Roman" w:hAnsi="Times New Roman" w:eastAsia="黑体" w:cs="Times New Roman"/>
          <w:sz w:val="32"/>
          <w:szCs w:val="32"/>
        </w:rPr>
      </w:pPr>
    </w:p>
    <w:p w14:paraId="751D20C9">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7EC93B05">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2D4DC41B">
      <w:pPr>
        <w:spacing w:line="600" w:lineRule="exact"/>
        <w:ind w:firstLine="3520" w:firstLineChars="1100"/>
        <w:jc w:val="left"/>
        <w:rPr>
          <w:rFonts w:ascii="Times New Roman" w:hAnsi="Times New Roman" w:eastAsia="仿宋_GB2312" w:cs="Times New Roman"/>
          <w:sz w:val="32"/>
          <w:szCs w:val="32"/>
        </w:rPr>
      </w:pPr>
    </w:p>
    <w:p w14:paraId="49193C3D">
      <w:pPr>
        <w:jc w:val="center"/>
        <w:rPr>
          <w:rFonts w:ascii="Times New Roman" w:hAnsi="Times New Roman" w:eastAsia="楷体_GB2312" w:cs="Times New Roman"/>
          <w:b/>
          <w:sz w:val="32"/>
          <w:szCs w:val="32"/>
        </w:rPr>
      </w:pPr>
    </w:p>
    <w:p w14:paraId="3D7C6627">
      <w:pPr>
        <w:jc w:val="center"/>
        <w:rPr>
          <w:rFonts w:ascii="Times New Roman" w:hAnsi="Times New Roman" w:eastAsia="楷体_GB2312" w:cs="Times New Roman"/>
          <w:b/>
          <w:sz w:val="32"/>
          <w:szCs w:val="32"/>
        </w:rPr>
      </w:pPr>
    </w:p>
    <w:p w14:paraId="79802944">
      <w:pPr>
        <w:jc w:val="center"/>
        <w:rPr>
          <w:rFonts w:ascii="Times New Roman" w:hAnsi="Times New Roman" w:eastAsia="楷体_GB2312" w:cs="Times New Roman"/>
          <w:b/>
          <w:sz w:val="32"/>
          <w:szCs w:val="32"/>
        </w:rPr>
      </w:pPr>
    </w:p>
    <w:p w14:paraId="2932E7AF">
      <w:pPr>
        <w:jc w:val="center"/>
        <w:rPr>
          <w:rFonts w:ascii="Times New Roman" w:hAnsi="Times New Roman" w:eastAsia="楷体_GB2312" w:cs="Times New Roman"/>
          <w:b/>
          <w:sz w:val="32"/>
          <w:szCs w:val="32"/>
        </w:rPr>
      </w:pPr>
    </w:p>
    <w:p w14:paraId="51FBEAD3">
      <w:pPr>
        <w:jc w:val="center"/>
        <w:rPr>
          <w:rFonts w:ascii="Times New Roman" w:hAnsi="Times New Roman" w:eastAsia="楷体_GB2312" w:cs="Times New Roman"/>
          <w:b/>
          <w:sz w:val="32"/>
          <w:szCs w:val="32"/>
        </w:rPr>
      </w:pPr>
    </w:p>
    <w:p w14:paraId="7520BD9D">
      <w:pPr>
        <w:jc w:val="center"/>
        <w:rPr>
          <w:rFonts w:ascii="Times New Roman" w:hAnsi="Times New Roman" w:eastAsia="楷体_GB2312" w:cs="Times New Roman"/>
          <w:b/>
          <w:sz w:val="32"/>
          <w:szCs w:val="32"/>
        </w:rPr>
      </w:pPr>
    </w:p>
    <w:p w14:paraId="32C47434">
      <w:pPr>
        <w:jc w:val="center"/>
        <w:rPr>
          <w:rFonts w:ascii="Times New Roman" w:hAnsi="Times New Roman" w:eastAsia="黑体" w:cs="Times New Roman"/>
          <w:sz w:val="32"/>
          <w:szCs w:val="32"/>
        </w:rPr>
      </w:pPr>
    </w:p>
    <w:p w14:paraId="70846278">
      <w:pPr>
        <w:jc w:val="center"/>
        <w:rPr>
          <w:rFonts w:ascii="Times New Roman" w:hAnsi="Times New Roman" w:eastAsia="黑体" w:cs="Times New Roman"/>
          <w:sz w:val="32"/>
          <w:szCs w:val="32"/>
        </w:rPr>
      </w:pPr>
    </w:p>
    <w:p w14:paraId="58AD3F74">
      <w:pPr>
        <w:jc w:val="center"/>
        <w:rPr>
          <w:rFonts w:ascii="Times New Roman" w:hAnsi="Times New Roman" w:eastAsia="黑体" w:cs="Times New Roman"/>
          <w:sz w:val="32"/>
          <w:szCs w:val="32"/>
        </w:rPr>
      </w:pPr>
    </w:p>
    <w:p w14:paraId="2737ED1F">
      <w:pPr>
        <w:jc w:val="center"/>
        <w:rPr>
          <w:rFonts w:ascii="Times New Roman" w:hAnsi="Times New Roman" w:eastAsia="黑体" w:cs="Times New Roman"/>
          <w:sz w:val="32"/>
          <w:szCs w:val="32"/>
        </w:rPr>
      </w:pPr>
    </w:p>
    <w:p w14:paraId="4F4B47CA">
      <w:pPr>
        <w:jc w:val="center"/>
        <w:rPr>
          <w:rFonts w:ascii="Times New Roman" w:hAnsi="Times New Roman" w:eastAsia="黑体" w:cs="Times New Roman"/>
          <w:sz w:val="32"/>
          <w:szCs w:val="32"/>
        </w:rPr>
      </w:pPr>
    </w:p>
    <w:p w14:paraId="114B0AF3">
      <w:pPr>
        <w:jc w:val="center"/>
        <w:rPr>
          <w:rFonts w:ascii="Times New Roman" w:hAnsi="Times New Roman" w:eastAsia="黑体" w:cs="Times New Roman"/>
          <w:sz w:val="32"/>
          <w:szCs w:val="32"/>
        </w:rPr>
      </w:pPr>
    </w:p>
    <w:p w14:paraId="5E533A84">
      <w:pPr>
        <w:jc w:val="center"/>
        <w:rPr>
          <w:rFonts w:ascii="Times New Roman" w:hAnsi="Times New Roman" w:eastAsia="黑体" w:cs="Times New Roman"/>
          <w:sz w:val="32"/>
          <w:szCs w:val="32"/>
        </w:rPr>
      </w:pPr>
    </w:p>
    <w:p w14:paraId="44DB1EF2">
      <w:pPr>
        <w:jc w:val="center"/>
        <w:rPr>
          <w:rFonts w:ascii="Times New Roman" w:hAnsi="Times New Roman" w:eastAsia="黑体" w:cs="Times New Roman"/>
          <w:sz w:val="32"/>
          <w:szCs w:val="32"/>
        </w:rPr>
      </w:pPr>
    </w:p>
    <w:p w14:paraId="399A119E">
      <w:pPr>
        <w:jc w:val="center"/>
        <w:rPr>
          <w:rFonts w:ascii="Times New Roman" w:hAnsi="Times New Roman" w:eastAsia="黑体" w:cs="Times New Roman"/>
          <w:sz w:val="32"/>
          <w:szCs w:val="32"/>
        </w:rPr>
      </w:pPr>
    </w:p>
    <w:p w14:paraId="384487B0">
      <w:pPr>
        <w:jc w:val="center"/>
        <w:rPr>
          <w:rFonts w:ascii="Times New Roman" w:hAnsi="Times New Roman" w:eastAsia="黑体" w:cs="Times New Roman"/>
          <w:sz w:val="32"/>
          <w:szCs w:val="32"/>
        </w:rPr>
      </w:pPr>
    </w:p>
    <w:p w14:paraId="06F7362C">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株洲市芦凇区庆云街道办事处（盖章）</w:t>
      </w:r>
    </w:p>
    <w:p w14:paraId="15FAE0A5">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106DEA41">
      <w:pPr>
        <w:rPr>
          <w:rFonts w:hint="eastAsia" w:ascii="Times New Roman" w:hAnsi="Times New Roman" w:eastAsia="仿宋_GB2312" w:cs="Times New Roman"/>
          <w:sz w:val="32"/>
          <w:szCs w:val="32"/>
        </w:rPr>
      </w:pPr>
    </w:p>
    <w:p w14:paraId="177F186E">
      <w:pPr>
        <w:ind w:firstLine="2880" w:firstLineChars="900"/>
        <w:rPr>
          <w:rFonts w:hint="eastAsia" w:ascii="Times New Roman" w:hAnsi="Times New Roman" w:eastAsia="仿宋_GB2312" w:cs="Times New Roman"/>
          <w:sz w:val="32"/>
          <w:szCs w:val="32"/>
        </w:rPr>
      </w:pPr>
    </w:p>
    <w:p w14:paraId="5F74B3A4">
      <w:pPr>
        <w:ind w:firstLine="2880" w:firstLineChars="900"/>
        <w:rPr>
          <w:rFonts w:hint="eastAsia" w:ascii="Times New Roman" w:hAnsi="Times New Roman" w:eastAsia="仿宋_GB2312" w:cs="Times New Roman"/>
          <w:sz w:val="32"/>
          <w:szCs w:val="32"/>
        </w:rPr>
      </w:pPr>
    </w:p>
    <w:p w14:paraId="09E53EFC">
      <w:pPr>
        <w:jc w:val="center"/>
        <w:rPr>
          <w:rFonts w:hint="default" w:ascii="Times New Roman" w:hAnsi="Times New Roman" w:eastAsia="仿宋_GB2312" w:cs="Times New Roman"/>
          <w:sz w:val="32"/>
          <w:szCs w:val="32"/>
        </w:rPr>
      </w:pPr>
    </w:p>
    <w:p w14:paraId="02D1DAE6">
      <w:pPr>
        <w:jc w:val="center"/>
        <w:rPr>
          <w:rFonts w:hint="eastAsia" w:ascii="Times New Roman" w:hAnsi="Times New Roman" w:eastAsia="方正小标宋简体" w:cs="Times New Roman"/>
          <w:kern w:val="2"/>
          <w:sz w:val="40"/>
          <w:szCs w:val="32"/>
        </w:rPr>
      </w:pPr>
      <w:r>
        <w:rPr>
          <w:rFonts w:hint="default" w:ascii="Times New Roman" w:hAnsi="Times New Roman" w:eastAsia="仿宋_GB2312" w:cs="Times New Roman"/>
          <w:sz w:val="32"/>
          <w:szCs w:val="32"/>
        </w:rPr>
        <w:br w:type="page"/>
      </w:r>
      <w:r>
        <w:rPr>
          <w:rFonts w:hint="eastAsia" w:ascii="Times New Roman" w:hAnsi="Times New Roman" w:eastAsia="方正小标宋简体" w:cs="Times New Roman"/>
          <w:kern w:val="2"/>
          <w:sz w:val="40"/>
          <w:szCs w:val="32"/>
        </w:rPr>
        <w:t>202</w:t>
      </w:r>
      <w:r>
        <w:rPr>
          <w:rFonts w:hint="eastAsia" w:ascii="Times New Roman" w:hAnsi="Times New Roman" w:eastAsia="方正小标宋简体" w:cs="Times New Roman"/>
          <w:kern w:val="2"/>
          <w:sz w:val="40"/>
          <w:szCs w:val="32"/>
          <w:lang w:val="en-US" w:eastAsia="zh-CN"/>
        </w:rPr>
        <w:t>3</w:t>
      </w:r>
      <w:r>
        <w:rPr>
          <w:rFonts w:hint="eastAsia" w:ascii="Times New Roman" w:hAnsi="Times New Roman" w:eastAsia="方正小标宋简体" w:cs="Times New Roman"/>
          <w:kern w:val="2"/>
          <w:sz w:val="40"/>
          <w:szCs w:val="32"/>
        </w:rPr>
        <w:t>年度株洲市芦凇区庆云街道办事处</w:t>
      </w:r>
    </w:p>
    <w:p w14:paraId="1936615D">
      <w:pPr>
        <w:jc w:val="center"/>
        <w:rPr>
          <w:rFonts w:hint="eastAsia" w:ascii="Times New Roman" w:hAnsi="Times New Roman" w:eastAsia="方正小标宋简体" w:cs="Times New Roman"/>
          <w:kern w:val="2"/>
          <w:sz w:val="40"/>
          <w:szCs w:val="32"/>
        </w:rPr>
      </w:pPr>
      <w:r>
        <w:rPr>
          <w:rFonts w:hint="eastAsia" w:ascii="Times New Roman" w:hAnsi="Times New Roman" w:eastAsia="方正小标宋简体" w:cs="Times New Roman"/>
          <w:kern w:val="2"/>
          <w:sz w:val="40"/>
          <w:szCs w:val="32"/>
        </w:rPr>
        <w:t>整体支出绩效自评报告</w:t>
      </w:r>
    </w:p>
    <w:p w14:paraId="1722000B">
      <w:pPr>
        <w:jc w:val="left"/>
        <w:rPr>
          <w:rFonts w:ascii="Times New Roman" w:hAnsi="Times New Roman" w:eastAsia="仿宋_GB2312" w:cs="Times New Roman"/>
          <w:sz w:val="32"/>
          <w:szCs w:val="32"/>
        </w:rPr>
      </w:pPr>
    </w:p>
    <w:p w14:paraId="24D6F703">
      <w:pPr>
        <w:jc w:val="left"/>
        <w:rPr>
          <w:rFonts w:ascii="Times New Roman" w:hAnsi="Times New Roman" w:eastAsia="仿宋_GB2312" w:cs="Times New Roman"/>
          <w:sz w:val="32"/>
          <w:szCs w:val="32"/>
        </w:rPr>
      </w:pPr>
    </w:p>
    <w:p w14:paraId="5BB23A79">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687E42C0">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（一）主要职能</w:t>
      </w:r>
    </w:p>
    <w:p w14:paraId="2C3C7EC4">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1.加强党的建设。落实基层党建工作责任制，加强基层服务型党组织建设，深入推进“区域化”党建，全面推行街道“大工委”制，增强基层党组织的政治属性和服务功能。</w:t>
      </w:r>
    </w:p>
    <w:p w14:paraId="1376A467">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服务经济发展。统筹落实社区发展的重大决策和社区建设规划，参与辖区公共服务设施建设规划，推动辖区健康、有序、可持续发展。优化发展环境，为辖区企业提供良好的服务，统筹做好采集企业信息、促进项目发展、服务驻区企业、优化投资环境等工作。</w:t>
      </w:r>
    </w:p>
    <w:p w14:paraId="513E10FB">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3.组织公共服务。组织实施与居民生活密切相关的公共服务，落实劳动就业、社会保障、法律援助、基本医疗卫生、文化体育、环境保护等公共服务方面的相关政策。</w:t>
      </w:r>
    </w:p>
    <w:p w14:paraId="3618C32F">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4.实施公共管理。科学设置管理网格，对辖区内城市管理、人口管理、社会管理、民生保障等区域性、综合性工作，承担组织领导、综合协调和监督检查职责。</w:t>
      </w:r>
    </w:p>
    <w:p w14:paraId="485ED7CA">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5.监督行政执法。对辖区内各类行政执法工作进行统筹协调，组织开展群众监督和社会监督。</w:t>
      </w:r>
    </w:p>
    <w:p w14:paraId="155443B7">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6.动员社会参与。动员和支持各类驻辖区单位、社区居民、社会组织及志愿者等社区力量参与社区治理，引导驻辖区单位履行社会责任，整合区域内各种社会力量为社区发展服务。</w:t>
      </w:r>
    </w:p>
    <w:p w14:paraId="3CD4C881">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7.指导基层自治。指导村(居)民委员会建设，健全自治功能，组织社区居民、村民和辖区单位参与城乡社区建设和治理。(说建.</w:t>
      </w:r>
    </w:p>
    <w:p w14:paraId="3D540BDC">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8.维护公共安全。承担辖区社会治安综合管理有关工作，处理群众来信来访，反映社情民意，化解矛盾纠纷等。</w:t>
      </w:r>
    </w:p>
    <w:p w14:paraId="1CCCDD53">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9.做好国防动员。开展国防教育，抓好征兵工作，组织民兵训练。</w:t>
      </w:r>
    </w:p>
    <w:p w14:paraId="4F7E6567">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10.完成区委、区政府交办的其他工作任务。</w:t>
      </w:r>
    </w:p>
    <w:p w14:paraId="648A15A6">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11.职能转变。一是将街道工作重心转化为优化公共服务，为经济社会发展提供良好的营商环境。二是全面加强基层党的建设，提升党建引领城市基层治理的能力；加强城市管理工作的组织实施和统筹协调；加强辖区内与居民密切相关的行政审批和公共服务事项的组织实施；加强维护辖区公共安全。</w:t>
      </w:r>
    </w:p>
    <w:p w14:paraId="65845A36">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w:t>
      </w:r>
      <w:r>
        <w:rPr>
          <w:rFonts w:hint="default" w:ascii="Times New Roman" w:hAnsi="Times New Roman" w:eastAsia="仿宋_GB2312" w:cs="Times New Roman"/>
          <w:color w:val="000000"/>
          <w:kern w:val="0"/>
          <w:sz w:val="32"/>
          <w:szCs w:val="32"/>
          <w:lang w:val="en-US" w:eastAsia="zh-CN" w:bidi="ar"/>
        </w:rPr>
        <w:t>机构情况</w:t>
      </w:r>
    </w:p>
    <w:p w14:paraId="146213F9">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办事处设内设机构6个、财政所1个、事业站所4个、综合行政执法机构及人大、纪检监察、人民武装等机构和工会、共青团、妇联等组织</w:t>
      </w:r>
      <w:r>
        <w:rPr>
          <w:rFonts w:hint="eastAsia" w:ascii="Times New Roman" w:hAnsi="Times New Roman" w:eastAsia="仿宋_GB2312" w:cs="Times New Roman"/>
          <w:kern w:val="0"/>
          <w:sz w:val="32"/>
          <w:szCs w:val="32"/>
          <w:lang w:eastAsia="zh-CN"/>
        </w:rPr>
        <w:t>。</w:t>
      </w:r>
    </w:p>
    <w:p w14:paraId="0058384E">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（三）</w:t>
      </w:r>
      <w:r>
        <w:rPr>
          <w:rFonts w:hint="default" w:ascii="Times New Roman" w:hAnsi="Times New Roman" w:eastAsia="仿宋_GB2312" w:cs="Times New Roman"/>
          <w:color w:val="000000"/>
          <w:kern w:val="0"/>
          <w:sz w:val="32"/>
          <w:szCs w:val="32"/>
          <w:lang w:val="en-US" w:eastAsia="zh-CN" w:bidi="ar"/>
        </w:rPr>
        <w:t>人员情况。</w:t>
      </w:r>
    </w:p>
    <w:p w14:paraId="1105CFDC">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2023年本单位年末实有人数34人（其中：行政编制17人，行政工人编制1人，事业编制16人</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w:t>
      </w:r>
    </w:p>
    <w:p w14:paraId="75E11751">
      <w:pPr>
        <w:pStyle w:val="11"/>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5BCFCF3F">
      <w:pPr>
        <w:pStyle w:val="11"/>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（一）基本支出情况</w:t>
      </w:r>
    </w:p>
    <w:p w14:paraId="7DF8EAFF">
      <w:pPr>
        <w:keepNext w:val="0"/>
        <w:keepLines w:val="0"/>
        <w:pageBreakBefore w:val="0"/>
        <w:numPr>
          <w:ilvl w:val="0"/>
          <w:numId w:val="0"/>
        </w:numPr>
        <w:tabs>
          <w:tab w:val="left" w:pos="7560"/>
        </w:tabs>
        <w:kinsoku/>
        <w:wordWrap/>
        <w:topLinePunct w:val="0"/>
        <w:autoSpaceDE/>
        <w:autoSpaceDN/>
        <w:bidi w:val="0"/>
        <w:adjustRightInd w:val="0"/>
        <w:snapToGrid w:val="0"/>
        <w:spacing w:line="560" w:lineRule="exact"/>
        <w:ind w:leftChars="0" w:firstLine="640" w:firstLineChars="200"/>
        <w:rPr>
          <w:rFonts w:hint="eastAsia" w:ascii="Times New Roman" w:hAnsi="Times New Roman" w:eastAsia="仿宋_GB2312" w:cs="Times New Roman"/>
          <w:bCs w:val="0"/>
          <w:color w:val="000000"/>
          <w:kern w:val="2"/>
          <w:sz w:val="32"/>
          <w:szCs w:val="32"/>
          <w:highlight w:val="none"/>
          <w:lang w:val="en-US" w:eastAsia="zh-CN" w:bidi="ar-SA"/>
        </w:rPr>
      </w:pPr>
      <w:r>
        <w:rPr>
          <w:rFonts w:hint="eastAsia" w:ascii="Times New Roman" w:hAnsi="Times New Roman" w:eastAsia="仿宋_GB2312" w:cs="Times New Roman"/>
          <w:bCs w:val="0"/>
          <w:color w:val="000000"/>
          <w:kern w:val="2"/>
          <w:sz w:val="32"/>
          <w:szCs w:val="32"/>
          <w:lang w:val="en-US" w:eastAsia="zh-CN" w:bidi="ar-SA"/>
        </w:rPr>
        <w:t>1.2023年年初预算</w:t>
      </w:r>
      <w:r>
        <w:rPr>
          <w:rFonts w:hint="eastAsia" w:ascii="Times New Roman" w:hAnsi="Times New Roman" w:eastAsia="仿宋_GB2312" w:cs="Times New Roman"/>
          <w:bCs w:val="0"/>
          <w:color w:val="000000"/>
          <w:kern w:val="2"/>
          <w:sz w:val="32"/>
          <w:szCs w:val="32"/>
          <w:highlight w:val="none"/>
          <w:lang w:val="en-US" w:eastAsia="zh-CN" w:bidi="ar-SA"/>
        </w:rPr>
        <w:t>资金514.55万元。</w:t>
      </w:r>
    </w:p>
    <w:p w14:paraId="227FAD47">
      <w:pPr>
        <w:keepNext w:val="0"/>
        <w:keepLines w:val="0"/>
        <w:pageBreakBefore w:val="0"/>
        <w:numPr>
          <w:ilvl w:val="0"/>
          <w:numId w:val="0"/>
        </w:numPr>
        <w:tabs>
          <w:tab w:val="left" w:pos="7560"/>
        </w:tabs>
        <w:kinsoku/>
        <w:wordWrap/>
        <w:topLinePunct w:val="0"/>
        <w:autoSpaceDE/>
        <w:autoSpaceDN/>
        <w:bidi w:val="0"/>
        <w:adjustRightInd w:val="0"/>
        <w:snapToGrid w:val="0"/>
        <w:spacing w:line="560" w:lineRule="exact"/>
        <w:ind w:leftChars="0" w:firstLine="640" w:firstLineChars="200"/>
        <w:rPr>
          <w:rFonts w:hint="eastAsia" w:ascii="Times New Roman" w:hAnsi="Times New Roman" w:eastAsia="仿宋_GB2312" w:cs="Times New Roman"/>
          <w:bCs w:val="0"/>
          <w:color w:val="000000"/>
          <w:kern w:val="2"/>
          <w:sz w:val="32"/>
          <w:szCs w:val="32"/>
          <w:highlight w:val="none"/>
          <w:lang w:val="en-US" w:eastAsia="zh-CN" w:bidi="ar-SA"/>
        </w:rPr>
      </w:pPr>
      <w:r>
        <w:rPr>
          <w:rFonts w:hint="eastAsia" w:ascii="Times New Roman" w:hAnsi="Times New Roman" w:eastAsia="仿宋_GB2312" w:cs="Times New Roman"/>
          <w:bCs w:val="0"/>
          <w:color w:val="000000"/>
          <w:kern w:val="2"/>
          <w:sz w:val="32"/>
          <w:szCs w:val="32"/>
          <w:highlight w:val="none"/>
          <w:lang w:val="en-US" w:eastAsia="zh-CN" w:bidi="ar-SA"/>
        </w:rPr>
        <w:t>2.2023年度单位一般公共预算财政拨款收入1567.86万元。</w:t>
      </w:r>
    </w:p>
    <w:p w14:paraId="23CD7EE0">
      <w:pPr>
        <w:keepNext w:val="0"/>
        <w:keepLines w:val="0"/>
        <w:pageBreakBefore w:val="0"/>
        <w:numPr>
          <w:ilvl w:val="0"/>
          <w:numId w:val="0"/>
        </w:numPr>
        <w:tabs>
          <w:tab w:val="left" w:pos="7560"/>
        </w:tabs>
        <w:kinsoku/>
        <w:wordWrap/>
        <w:topLinePunct w:val="0"/>
        <w:autoSpaceDE/>
        <w:autoSpaceDN/>
        <w:bidi w:val="0"/>
        <w:adjustRightInd w:val="0"/>
        <w:snapToGrid w:val="0"/>
        <w:spacing w:line="560" w:lineRule="exact"/>
        <w:ind w:leftChars="0" w:firstLine="640" w:firstLineChars="200"/>
        <w:rPr>
          <w:rFonts w:hint="eastAsia" w:ascii="Times New Roman" w:hAnsi="Times New Roman" w:eastAsia="仿宋_GB2312" w:cs="Times New Roman"/>
          <w:bCs w:val="0"/>
          <w:color w:val="000000"/>
          <w:kern w:val="2"/>
          <w:sz w:val="32"/>
          <w:szCs w:val="32"/>
          <w:highlight w:val="none"/>
          <w:lang w:val="en-US" w:eastAsia="zh-CN" w:bidi="ar-SA"/>
        </w:rPr>
      </w:pPr>
      <w:r>
        <w:rPr>
          <w:rFonts w:hint="eastAsia" w:ascii="Times New Roman" w:hAnsi="Times New Roman" w:eastAsia="仿宋_GB2312" w:cs="Times New Roman"/>
          <w:bCs w:val="0"/>
          <w:color w:val="000000"/>
          <w:kern w:val="2"/>
          <w:sz w:val="32"/>
          <w:szCs w:val="32"/>
          <w:highlight w:val="none"/>
          <w:lang w:val="en-US" w:eastAsia="zh-CN" w:bidi="ar-SA"/>
        </w:rPr>
        <w:t>3.2023年度单位一般公共预算财政拨款支出1567.86万元，其中：无项目支出，基本支出1567.86万元，其中：人员经费658.88万元，公用经费908.98万元。</w:t>
      </w:r>
    </w:p>
    <w:p w14:paraId="48653C12">
      <w:pPr>
        <w:pStyle w:val="11"/>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Times New Roman"/>
          <w:b w:val="0"/>
          <w:bCs w:val="0"/>
          <w:color w:val="000000"/>
          <w:sz w:val="32"/>
          <w:szCs w:val="32"/>
          <w:lang w:val="en-US"/>
        </w:rPr>
      </w:pPr>
      <w:r>
        <w:rPr>
          <w:rFonts w:hint="default" w:ascii="Times New Roman" w:hAnsi="Times New Roman" w:eastAsia="仿宋_GB2312" w:cs="Times New Roman"/>
          <w:b w:val="0"/>
          <w:bCs w:val="0"/>
          <w:sz w:val="32"/>
          <w:szCs w:val="32"/>
        </w:rPr>
        <w:t>（二）项目支出情况</w:t>
      </w:r>
    </w:p>
    <w:p w14:paraId="3473E37D">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eastAsia" w:ascii="Times New Roman" w:hAnsi="Times New Roman" w:eastAsia="仿宋_GB2312" w:cs="Times New Roman"/>
          <w:b w:val="0"/>
          <w:bCs w:val="0"/>
          <w:color w:val="000000"/>
          <w:kern w:val="0"/>
          <w:sz w:val="32"/>
          <w:szCs w:val="32"/>
          <w:lang w:val="en-US" w:eastAsia="zh-CN" w:bidi="ar"/>
        </w:rPr>
        <w:t>无。</w:t>
      </w:r>
    </w:p>
    <w:p w14:paraId="6847D68A">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14:paraId="17998D57">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sz w:val="32"/>
          <w:szCs w:val="32"/>
          <w:lang w:val="en-US"/>
        </w:rPr>
      </w:pPr>
      <w:r>
        <w:rPr>
          <w:rFonts w:hint="eastAsia" w:ascii="Times New Roman" w:hAnsi="Times New Roman" w:eastAsia="仿宋_GB2312" w:cs="Times New Roman"/>
          <w:color w:val="000000"/>
          <w:kern w:val="0"/>
          <w:sz w:val="32"/>
          <w:szCs w:val="32"/>
          <w:lang w:val="en-US" w:eastAsia="zh-CN" w:bidi="ar"/>
        </w:rPr>
        <w:t>我单位政府性基金预算支出8万元，</w:t>
      </w:r>
      <w:r>
        <w:rPr>
          <w:rFonts w:hint="eastAsia" w:ascii="Times New Roman" w:hAnsi="Times New Roman" w:eastAsia="仿宋_GB2312" w:cs="Times New Roman"/>
          <w:kern w:val="2"/>
          <w:sz w:val="32"/>
          <w:szCs w:val="32"/>
          <w:highlight w:val="none"/>
        </w:rPr>
        <w:t>主要</w:t>
      </w:r>
      <w:r>
        <w:rPr>
          <w:rFonts w:hint="eastAsia" w:ascii="Times New Roman" w:hAnsi="Times New Roman" w:eastAsia="仿宋_GB2312" w:cs="Times New Roman"/>
          <w:kern w:val="2"/>
          <w:sz w:val="32"/>
          <w:szCs w:val="32"/>
          <w:highlight w:val="none"/>
          <w:lang w:val="en-US" w:eastAsia="zh-CN"/>
        </w:rPr>
        <w:t>用于劳务费</w:t>
      </w:r>
      <w:r>
        <w:rPr>
          <w:rFonts w:hint="eastAsia" w:ascii="Times New Roman" w:hAnsi="Times New Roman" w:eastAsia="仿宋_GB2312" w:cs="Times New Roman"/>
          <w:kern w:val="2"/>
          <w:sz w:val="32"/>
          <w:szCs w:val="32"/>
          <w:highlight w:val="none"/>
          <w:lang w:eastAsia="zh-CN"/>
        </w:rPr>
        <w:t>支出等</w:t>
      </w:r>
      <w:r>
        <w:rPr>
          <w:rFonts w:hint="eastAsia" w:ascii="Times New Roman" w:hAnsi="Times New Roman" w:eastAsia="仿宋_GB2312" w:cs="Times New Roman"/>
          <w:color w:val="000000"/>
          <w:kern w:val="0"/>
          <w:sz w:val="32"/>
          <w:szCs w:val="32"/>
          <w:lang w:val="en-US" w:eastAsia="zh-CN" w:bidi="ar"/>
        </w:rPr>
        <w:t>。</w:t>
      </w:r>
    </w:p>
    <w:p w14:paraId="5B09750D">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14:paraId="43ED22E1">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sz w:val="32"/>
          <w:szCs w:val="32"/>
          <w:lang w:val="en-US"/>
        </w:rPr>
      </w:pPr>
      <w:r>
        <w:rPr>
          <w:rFonts w:hint="eastAsia" w:ascii="Times New Roman" w:hAnsi="Times New Roman" w:eastAsia="仿宋_GB2312" w:cs="Times New Roman"/>
          <w:color w:val="000000"/>
          <w:kern w:val="0"/>
          <w:sz w:val="32"/>
          <w:szCs w:val="32"/>
          <w:lang w:val="en-US" w:eastAsia="zh-CN" w:bidi="ar"/>
        </w:rPr>
        <w:t>无。</w:t>
      </w:r>
    </w:p>
    <w:p w14:paraId="7E19BB38">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14:paraId="40CBCC70">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
        </w:rPr>
        <w:t>无。</w:t>
      </w:r>
    </w:p>
    <w:p w14:paraId="2F28526B">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43332E9A">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32CC0FEC">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我局在区委区政府的坚强领导下，以习近平新时代中国特色社会主义思想为指导，紧扣落实省政府真抓实干督查激励措施，践行为民服务宗旨，全面履职尽责，守正创新，真抓实干，较好的完成了各项绩效目标。</w:t>
      </w:r>
    </w:p>
    <w:p w14:paraId="583C4CB7">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财政供养人员控制在预算编制以内，预算执行方面：根据“总量控制、计划管理”的要求从严控制行政经费，压缩公务费开支，严格控制“三公”经费，支出总额控制在预算总额以内。预算管理方面：切实有效地执行了各项财务管理制度、车辆、资产内部管理制度，资产配置严格政府采购，按照预算科目规定使用财政资金，保障资金支出的规范化、制度化，项目资金坚持按专项资金管理制度有效执行，确保专款专用；履职效能方面：一是坚持党建引领，建设清廉街道，二是全面真抓实干，纵深推进重点改革，三是贴近服务民生，创新拓展经办服务，四是坚持问题导向，全面加强自身建设，群众满意度达到95%以上。</w:t>
      </w:r>
    </w:p>
    <w:p w14:paraId="212697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b/>
          <w:color w:val="000000"/>
          <w:kern w:val="2"/>
          <w:sz w:val="32"/>
          <w:szCs w:val="32"/>
          <w:lang w:val="en-US" w:eastAsia="zh-CN"/>
        </w:rPr>
        <w:t>1.</w:t>
      </w:r>
      <w:r>
        <w:rPr>
          <w:rFonts w:hint="default" w:ascii="Times New Roman" w:hAnsi="Times New Roman" w:eastAsia="仿宋_GB2312" w:cs="Times New Roman"/>
          <w:b/>
          <w:color w:val="000000"/>
          <w:kern w:val="2"/>
          <w:sz w:val="32"/>
          <w:szCs w:val="32"/>
          <w:lang w:val="en-US" w:eastAsia="zh-CN"/>
        </w:rPr>
        <w:t>学深悟透、端正思想，把牢</w:t>
      </w:r>
      <w:r>
        <w:rPr>
          <w:rFonts w:hint="eastAsia"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color w:val="000000"/>
          <w:kern w:val="2"/>
          <w:sz w:val="32"/>
          <w:szCs w:val="32"/>
          <w:lang w:val="en-US" w:eastAsia="zh-CN"/>
        </w:rPr>
        <w:t>方向盘</w:t>
      </w:r>
      <w:r>
        <w:rPr>
          <w:rFonts w:hint="eastAsia"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bCs/>
          <w:color w:val="000000"/>
          <w:kern w:val="2"/>
          <w:sz w:val="32"/>
          <w:szCs w:val="32"/>
          <w:lang w:eastAsia="zh-CN"/>
        </w:rPr>
        <w:t>一是</w:t>
      </w:r>
      <w:r>
        <w:rPr>
          <w:rFonts w:hint="default" w:ascii="Times New Roman" w:hAnsi="Times New Roman" w:eastAsia="仿宋_GB2312" w:cs="Times New Roman"/>
          <w:b/>
          <w:bCs/>
          <w:color w:val="000000"/>
          <w:kern w:val="2"/>
          <w:sz w:val="32"/>
          <w:szCs w:val="32"/>
          <w:lang w:val="en-US" w:eastAsia="zh-CN"/>
        </w:rPr>
        <w:t>深化</w:t>
      </w:r>
      <w:r>
        <w:rPr>
          <w:rFonts w:hint="default" w:ascii="Times New Roman" w:hAnsi="Times New Roman" w:eastAsia="仿宋_GB2312" w:cs="Times New Roman"/>
          <w:b/>
          <w:bCs/>
          <w:color w:val="000000"/>
          <w:kern w:val="2"/>
          <w:sz w:val="32"/>
          <w:szCs w:val="32"/>
          <w:lang w:eastAsia="zh-CN"/>
        </w:rPr>
        <w:t>理论学习。</w:t>
      </w:r>
      <w:r>
        <w:rPr>
          <w:rFonts w:hint="default" w:ascii="Times New Roman" w:hAnsi="Times New Roman" w:eastAsia="仿宋_GB2312" w:cs="Times New Roman"/>
          <w:color w:val="000000"/>
          <w:kern w:val="2"/>
          <w:sz w:val="32"/>
          <w:szCs w:val="32"/>
        </w:rPr>
        <w:t>以理论学习中心组、第一议题、主题党日学习等形式为载体，组织党员领导干部深入学习贯彻习近平新时代中国特色社会主义思想、习近平总书记</w:t>
      </w:r>
      <w:r>
        <w:rPr>
          <w:rFonts w:hint="default" w:ascii="Times New Roman" w:hAnsi="Times New Roman" w:eastAsia="仿宋_GB2312" w:cs="Times New Roman"/>
          <w:color w:val="000000"/>
          <w:kern w:val="2"/>
          <w:sz w:val="32"/>
          <w:szCs w:val="32"/>
          <w:lang w:val="en-US" w:eastAsia="zh-CN"/>
        </w:rPr>
        <w:t>重要讲话精神、党的二十大精神等。</w:t>
      </w:r>
      <w:r>
        <w:rPr>
          <w:rFonts w:hint="default" w:ascii="Times New Roman" w:hAnsi="Times New Roman" w:eastAsia="仿宋_GB2312" w:cs="Times New Roman"/>
          <w:color w:val="000000"/>
          <w:kern w:val="2"/>
          <w:sz w:val="32"/>
          <w:szCs w:val="32"/>
        </w:rPr>
        <w:t>今年以来，组织中心组学习</w:t>
      </w:r>
      <w:r>
        <w:rPr>
          <w:rFonts w:hint="default" w:ascii="Times New Roman" w:hAnsi="Times New Roman" w:eastAsia="仿宋_GB2312" w:cs="Times New Roman"/>
          <w:color w:val="000000"/>
          <w:kern w:val="2"/>
          <w:sz w:val="32"/>
          <w:szCs w:val="32"/>
          <w:lang w:val="en-US" w:eastAsia="zh-CN"/>
        </w:rPr>
        <w:t>12</w:t>
      </w:r>
      <w:r>
        <w:rPr>
          <w:rFonts w:hint="default" w:ascii="Times New Roman" w:hAnsi="Times New Roman" w:eastAsia="仿宋_GB2312" w:cs="Times New Roman"/>
          <w:color w:val="000000"/>
          <w:kern w:val="2"/>
          <w:sz w:val="32"/>
          <w:szCs w:val="32"/>
        </w:rPr>
        <w:t>次</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第一议题学习习近平总书记重要讲话</w:t>
      </w:r>
      <w:r>
        <w:rPr>
          <w:rFonts w:hint="default" w:ascii="Times New Roman" w:hAnsi="Times New Roman" w:eastAsia="仿宋_GB2312" w:cs="Times New Roman"/>
          <w:color w:val="000000"/>
          <w:kern w:val="2"/>
          <w:sz w:val="32"/>
          <w:szCs w:val="32"/>
          <w:lang w:val="en-US" w:eastAsia="zh-CN"/>
        </w:rPr>
        <w:t>28</w:t>
      </w:r>
      <w:r>
        <w:rPr>
          <w:rFonts w:hint="default" w:ascii="Times New Roman" w:hAnsi="Times New Roman" w:eastAsia="仿宋_GB2312" w:cs="Times New Roman"/>
          <w:color w:val="000000"/>
          <w:kern w:val="2"/>
          <w:sz w:val="32"/>
          <w:szCs w:val="32"/>
        </w:rPr>
        <w:t>篇</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成立党的二十大精神庆云街道宣讲团，到8个社区（村）与基层干部群众开展面对面宣讲10余次；邀请市委、区委理论宣讲团成员到街道、社区开展主题宣讲2次；发掘基层宣讲能手，利用新时代文明实践所站、</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门前三小</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、屋场会等载体，深入居民群众开展宣讲100余次。积极打造</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家门口</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的宣传阵地，以悬挂横幅、张贴党的</w:t>
      </w:r>
      <w:bookmarkStart w:id="0" w:name="_GoBack"/>
      <w:bookmarkEnd w:id="0"/>
      <w:r>
        <w:rPr>
          <w:rFonts w:hint="default" w:ascii="Times New Roman" w:hAnsi="Times New Roman" w:eastAsia="仿宋_GB2312" w:cs="Times New Roman"/>
          <w:color w:val="000000"/>
          <w:kern w:val="2"/>
          <w:sz w:val="32"/>
          <w:szCs w:val="32"/>
          <w:lang w:val="en-US" w:eastAsia="zh-CN"/>
        </w:rPr>
        <w:t>二十大精神宣传海报、滚动播放党的二十大宣传标语等形式开展宣传。同时，把网络传播平台作为党的二十大宣传阵地，创立</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庆云向党——听见</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理</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的声音</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宣讲品牌，拍摄微宣讲视频，提升宣传效果。通过加强理论学习，</w:t>
      </w:r>
      <w:r>
        <w:rPr>
          <w:rFonts w:hint="default" w:ascii="Times New Roman" w:hAnsi="Times New Roman" w:eastAsia="仿宋_GB2312" w:cs="Times New Roman"/>
          <w:color w:val="000000"/>
          <w:kern w:val="2"/>
          <w:sz w:val="32"/>
          <w:szCs w:val="32"/>
        </w:rPr>
        <w:t>不断筑牢</w:t>
      </w:r>
      <w:r>
        <w:rPr>
          <w:rFonts w:hint="default" w:ascii="Times New Roman" w:hAnsi="Times New Roman" w:eastAsia="仿宋_GB2312" w:cs="Times New Roman"/>
          <w:color w:val="000000"/>
          <w:kern w:val="2"/>
          <w:sz w:val="32"/>
          <w:szCs w:val="32"/>
          <w:lang w:val="en-US" w:eastAsia="zh-CN"/>
        </w:rPr>
        <w:t>思想</w:t>
      </w:r>
      <w:r>
        <w:rPr>
          <w:rFonts w:hint="default" w:ascii="Times New Roman" w:hAnsi="Times New Roman" w:eastAsia="仿宋_GB2312" w:cs="Times New Roman"/>
          <w:color w:val="000000"/>
          <w:kern w:val="2"/>
          <w:sz w:val="32"/>
          <w:szCs w:val="32"/>
        </w:rPr>
        <w:t>之基、补足精神之钙、</w:t>
      </w:r>
      <w:r>
        <w:rPr>
          <w:rFonts w:hint="default" w:ascii="Times New Roman" w:hAnsi="Times New Roman" w:eastAsia="仿宋_GB2312" w:cs="Times New Roman"/>
          <w:color w:val="000000"/>
          <w:kern w:val="2"/>
          <w:sz w:val="32"/>
          <w:szCs w:val="32"/>
          <w:lang w:val="en-US" w:eastAsia="zh-CN"/>
        </w:rPr>
        <w:t>高扬信仰之帆</w:t>
      </w:r>
      <w:r>
        <w:rPr>
          <w:rFonts w:hint="default" w:ascii="Times New Roman" w:hAnsi="Times New Roman" w:eastAsia="仿宋_GB2312" w:cs="Times New Roman"/>
          <w:color w:val="000000"/>
          <w:kern w:val="2"/>
          <w:sz w:val="32"/>
          <w:szCs w:val="32"/>
          <w:lang w:eastAsia="zh-CN"/>
        </w:rPr>
        <w:t>，努力在新征程上开创新局面。</w:t>
      </w:r>
      <w:r>
        <w:rPr>
          <w:rFonts w:hint="default" w:ascii="Times New Roman" w:hAnsi="Times New Roman" w:eastAsia="仿宋_GB2312" w:cs="Times New Roman"/>
          <w:b/>
          <w:bCs/>
          <w:color w:val="000000"/>
          <w:kern w:val="2"/>
          <w:sz w:val="32"/>
          <w:szCs w:val="32"/>
          <w:lang w:eastAsia="zh-CN"/>
        </w:rPr>
        <w:t>二是加强政治建设。</w:t>
      </w:r>
      <w:r>
        <w:rPr>
          <w:rFonts w:hint="default" w:ascii="Times New Roman" w:hAnsi="Times New Roman" w:eastAsia="仿宋_GB2312" w:cs="Times New Roman"/>
          <w:kern w:val="2"/>
          <w:sz w:val="32"/>
          <w:szCs w:val="32"/>
          <w:lang w:eastAsia="zh-CN"/>
        </w:rPr>
        <w:t>坚持把</w:t>
      </w:r>
      <w:r>
        <w:rPr>
          <w:rFonts w:hint="default" w:ascii="Times New Roman" w:hAnsi="Times New Roman" w:eastAsia="仿宋_GB2312" w:cs="Times New Roman"/>
          <w:kern w:val="2"/>
          <w:sz w:val="32"/>
          <w:szCs w:val="32"/>
          <w:lang w:val="en-US" w:eastAsia="zh-CN"/>
        </w:rPr>
        <w:t>自身</w:t>
      </w:r>
      <w:r>
        <w:rPr>
          <w:rFonts w:hint="default" w:ascii="Times New Roman" w:hAnsi="Times New Roman" w:eastAsia="仿宋_GB2312" w:cs="Times New Roman"/>
          <w:kern w:val="2"/>
          <w:sz w:val="32"/>
          <w:szCs w:val="32"/>
        </w:rPr>
        <w:t>政治建设摆在第一位</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不断提高政治判断力、政治领悟力、政治执行力。</w:t>
      </w:r>
      <w:r>
        <w:rPr>
          <w:rFonts w:hint="default" w:ascii="Times New Roman" w:hAnsi="Times New Roman" w:eastAsia="仿宋_GB2312" w:cs="Times New Roman"/>
          <w:color w:val="000000"/>
          <w:kern w:val="2"/>
          <w:sz w:val="32"/>
          <w:szCs w:val="32"/>
          <w:lang w:val="en-US" w:eastAsia="zh-CN"/>
        </w:rPr>
        <w:t>街道党工委班子及全体成员在政治上、思想上、行动上始终与党中央保持高度一致。</w:t>
      </w:r>
      <w:r>
        <w:rPr>
          <w:rFonts w:hint="default" w:ascii="Times New Roman" w:hAnsi="Times New Roman" w:eastAsia="仿宋_GB2312" w:cs="Times New Roman"/>
          <w:color w:val="000000"/>
          <w:kern w:val="2"/>
          <w:sz w:val="32"/>
          <w:szCs w:val="32"/>
          <w:lang w:eastAsia="zh-CN"/>
        </w:rPr>
        <w:t>深刻领悟</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两个确立</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的决定性意义，增强</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四个意识</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、坚定</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四个自信</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，做到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两个维护</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b/>
          <w:bCs/>
          <w:color w:val="000000"/>
          <w:kern w:val="2"/>
          <w:sz w:val="32"/>
          <w:szCs w:val="32"/>
          <w:lang w:val="en-US" w:eastAsia="zh-CN"/>
        </w:rPr>
        <w:t>三是规范政治生活。</w:t>
      </w:r>
      <w:r>
        <w:rPr>
          <w:rFonts w:hint="default" w:ascii="Times New Roman" w:hAnsi="Times New Roman" w:eastAsia="仿宋_GB2312" w:cs="Times New Roman"/>
          <w:color w:val="000000"/>
          <w:kern w:val="2"/>
          <w:sz w:val="32"/>
          <w:szCs w:val="32"/>
          <w:highlight w:val="none"/>
        </w:rPr>
        <w:t>认真贯彻落实</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三会一课</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、民主生活会、中心组理论学习等制度，班子成员带头认真开展民主评议党员、党建和意识形态工作述职评议等活动。今年以来，机关支部召开党员大会</w:t>
      </w:r>
      <w:r>
        <w:rPr>
          <w:rFonts w:hint="default" w:ascii="Times New Roman" w:hAnsi="Times New Roman" w:eastAsia="仿宋_GB2312" w:cs="Times New Roman"/>
          <w:color w:val="000000"/>
          <w:kern w:val="2"/>
          <w:sz w:val="32"/>
          <w:szCs w:val="32"/>
          <w:highlight w:val="none"/>
          <w:lang w:val="en-US" w:eastAsia="zh-CN"/>
        </w:rPr>
        <w:t>7</w:t>
      </w:r>
      <w:r>
        <w:rPr>
          <w:rFonts w:hint="default" w:ascii="Times New Roman" w:hAnsi="Times New Roman" w:eastAsia="仿宋_GB2312" w:cs="Times New Roman"/>
          <w:color w:val="000000"/>
          <w:kern w:val="2"/>
          <w:sz w:val="32"/>
          <w:szCs w:val="32"/>
        </w:rPr>
        <w:t>次，组织主</w:t>
      </w:r>
      <w:r>
        <w:rPr>
          <w:rFonts w:hint="default" w:ascii="Times New Roman" w:hAnsi="Times New Roman" w:eastAsia="仿宋_GB2312" w:cs="Times New Roman"/>
          <w:color w:val="000000"/>
          <w:kern w:val="2"/>
          <w:sz w:val="32"/>
          <w:szCs w:val="32"/>
          <w:lang w:eastAsia="zh-CN"/>
        </w:rPr>
        <w:t>题</w:t>
      </w:r>
      <w:r>
        <w:rPr>
          <w:rFonts w:hint="default" w:ascii="Times New Roman" w:hAnsi="Times New Roman" w:eastAsia="仿宋_GB2312" w:cs="Times New Roman"/>
          <w:color w:val="000000"/>
          <w:kern w:val="2"/>
          <w:sz w:val="32"/>
          <w:szCs w:val="32"/>
        </w:rPr>
        <w:t>党日</w:t>
      </w:r>
      <w:r>
        <w:rPr>
          <w:rFonts w:hint="default" w:ascii="Times New Roman" w:hAnsi="Times New Roman" w:eastAsia="仿宋_GB2312" w:cs="Times New Roman"/>
          <w:color w:val="000000"/>
          <w:kern w:val="2"/>
          <w:sz w:val="32"/>
          <w:szCs w:val="32"/>
          <w:lang w:val="en-US" w:eastAsia="zh-CN"/>
        </w:rPr>
        <w:t>12</w:t>
      </w:r>
      <w:r>
        <w:rPr>
          <w:rFonts w:hint="default" w:ascii="Times New Roman" w:hAnsi="Times New Roman" w:eastAsia="仿宋_GB2312" w:cs="Times New Roman"/>
          <w:color w:val="000000"/>
          <w:kern w:val="2"/>
          <w:sz w:val="32"/>
          <w:szCs w:val="32"/>
        </w:rPr>
        <w:t>次，召开民主生活会</w:t>
      </w:r>
      <w:r>
        <w:rPr>
          <w:rFonts w:hint="default" w:ascii="Times New Roman" w:hAnsi="Times New Roman" w:eastAsia="仿宋_GB2312" w:cs="Times New Roman"/>
          <w:color w:val="000000"/>
          <w:kern w:val="2"/>
          <w:sz w:val="32"/>
          <w:szCs w:val="32"/>
          <w:lang w:val="en-US" w:eastAsia="zh-CN"/>
        </w:rPr>
        <w:t>1</w:t>
      </w:r>
      <w:r>
        <w:rPr>
          <w:rFonts w:hint="default" w:ascii="Times New Roman" w:hAnsi="Times New Roman" w:eastAsia="仿宋_GB2312" w:cs="Times New Roman"/>
          <w:color w:val="000000"/>
          <w:kern w:val="2"/>
          <w:sz w:val="32"/>
          <w:szCs w:val="32"/>
        </w:rPr>
        <w:t>次。严格执行民主集中制，始终坚持</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三重一大</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事项集体决策和末位表态等制度。党工委共召开</w:t>
      </w:r>
      <w:r>
        <w:rPr>
          <w:rFonts w:hint="default" w:ascii="Times New Roman" w:hAnsi="Times New Roman" w:eastAsia="仿宋_GB2312" w:cs="Times New Roman"/>
          <w:color w:val="000000"/>
          <w:kern w:val="2"/>
          <w:sz w:val="32"/>
          <w:szCs w:val="32"/>
          <w:lang w:val="en-US" w:eastAsia="zh-CN"/>
        </w:rPr>
        <w:t>12</w:t>
      </w:r>
      <w:r>
        <w:rPr>
          <w:rFonts w:hint="default" w:ascii="Times New Roman" w:hAnsi="Times New Roman" w:eastAsia="仿宋_GB2312" w:cs="Times New Roman"/>
          <w:color w:val="000000"/>
          <w:kern w:val="2"/>
          <w:sz w:val="32"/>
          <w:szCs w:val="32"/>
        </w:rPr>
        <w:t>次党工委会议，审议</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三重一大</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事项</w:t>
      </w:r>
      <w:r>
        <w:rPr>
          <w:rFonts w:hint="default" w:ascii="Times New Roman" w:hAnsi="Times New Roman" w:eastAsia="仿宋_GB2312" w:cs="Times New Roman"/>
          <w:color w:val="000000"/>
          <w:kern w:val="2"/>
          <w:sz w:val="32"/>
          <w:szCs w:val="32"/>
          <w:lang w:val="en-US" w:eastAsia="zh-CN"/>
        </w:rPr>
        <w:t>88</w:t>
      </w:r>
      <w:r>
        <w:rPr>
          <w:rFonts w:hint="default" w:ascii="Times New Roman" w:hAnsi="Times New Roman" w:eastAsia="仿宋_GB2312" w:cs="Times New Roman"/>
          <w:color w:val="000000"/>
          <w:kern w:val="2"/>
          <w:sz w:val="32"/>
          <w:szCs w:val="32"/>
        </w:rPr>
        <w:t>项，严格做到了民主、依法、科学决策。</w:t>
      </w:r>
    </w:p>
    <w:p w14:paraId="62E5A92E">
      <w:pPr>
        <w:keepNext w:val="0"/>
        <w:keepLines w:val="0"/>
        <w:pageBreakBefore w:val="0"/>
        <w:kinsoku/>
        <w:wordWrap/>
        <w:overflowPunct w:val="0"/>
        <w:topLinePunct w:val="0"/>
        <w:autoSpaceDE/>
        <w:autoSpaceDN/>
        <w:bidi w:val="0"/>
        <w:spacing w:line="560" w:lineRule="exact"/>
        <w:ind w:leftChars="0" w:firstLine="643" w:firstLineChars="200"/>
        <w:rPr>
          <w:rFonts w:hint="default" w:ascii="Times New Roman" w:hAnsi="Times New Roman" w:eastAsia="仿宋_GB2312" w:cs="Times New Roman"/>
          <w:color w:val="000000"/>
          <w:kern w:val="2"/>
          <w:sz w:val="32"/>
          <w:szCs w:val="32"/>
          <w:highlight w:val="none"/>
          <w:lang w:val="en-US" w:eastAsia="zh-CN"/>
        </w:rPr>
      </w:pPr>
      <w:r>
        <w:rPr>
          <w:rFonts w:hint="eastAsia" w:ascii="Times New Roman" w:hAnsi="Times New Roman" w:eastAsia="仿宋_GB2312" w:cs="Times New Roman"/>
          <w:b/>
          <w:color w:val="000000"/>
          <w:kern w:val="2"/>
          <w:sz w:val="32"/>
          <w:szCs w:val="32"/>
          <w:lang w:val="en-US" w:eastAsia="zh-CN"/>
        </w:rPr>
        <w:t>2.</w:t>
      </w:r>
      <w:r>
        <w:rPr>
          <w:rFonts w:hint="default" w:ascii="Times New Roman" w:hAnsi="Times New Roman" w:eastAsia="仿宋_GB2312" w:cs="Times New Roman"/>
          <w:b/>
          <w:color w:val="000000"/>
          <w:kern w:val="2"/>
          <w:sz w:val="32"/>
          <w:szCs w:val="32"/>
          <w:lang w:val="en-US" w:eastAsia="zh-CN"/>
        </w:rPr>
        <w:t>一分部署、九分落实，下好</w:t>
      </w:r>
      <w:r>
        <w:rPr>
          <w:rFonts w:hint="eastAsia"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color w:val="000000"/>
          <w:kern w:val="2"/>
          <w:sz w:val="32"/>
          <w:szCs w:val="32"/>
          <w:lang w:val="en-US" w:eastAsia="zh-CN"/>
        </w:rPr>
        <w:t>一盘棋</w:t>
      </w:r>
      <w:r>
        <w:rPr>
          <w:rFonts w:hint="eastAsia"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bCs/>
          <w:color w:val="000000"/>
          <w:kern w:val="2"/>
          <w:sz w:val="32"/>
          <w:szCs w:val="32"/>
          <w:lang w:val="en-US" w:eastAsia="zh-CN"/>
        </w:rPr>
        <w:t>一是在党建引领上当好先锋。</w:t>
      </w:r>
      <w:r>
        <w:rPr>
          <w:rFonts w:hint="default" w:ascii="Times New Roman" w:hAnsi="Times New Roman" w:eastAsia="仿宋_GB2312" w:cs="Times New Roman"/>
          <w:color w:val="000000"/>
          <w:kern w:val="2"/>
          <w:sz w:val="32"/>
          <w:szCs w:val="32"/>
          <w:highlight w:val="none"/>
          <w:lang w:val="en-US" w:eastAsia="zh-CN"/>
        </w:rPr>
        <w:t>深化</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一月一课一片一实践</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活动，推行</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一刻钟微党课</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，共开展微党课60次，参与宣讲人数526人，组织观看优秀影片240次，在辖区各党组织中营造了浓厚的学党课氛围。落实双报到、双服务</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工作要求，大力推行</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百名干部进小区</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工作，动员参与</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我为群众办实事</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活动，帮助解决下水道堵塞、基础设施修缮等大批</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关键小事</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。着力开展</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红色物业</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创建、星级小区打造工作，月溪谷、碧玉花园、湘江四季花园、山水国际4个小区被成功评为</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红色物业</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示范项目。坚持党建引领小区</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1+6</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治理模式，坚持</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一月一主题</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活动。持续推进居民代表联系服务群众和网格微治理工作，充分发挥居民代表和微网格长作用，了解群众思想动态和生活情况，帮助解决实际问题。</w:t>
      </w:r>
      <w:r>
        <w:rPr>
          <w:rFonts w:hint="default" w:ascii="Times New Roman" w:hAnsi="Times New Roman" w:eastAsia="仿宋_GB2312" w:cs="Times New Roman"/>
          <w:b/>
          <w:bCs/>
          <w:color w:val="000000"/>
          <w:kern w:val="2"/>
          <w:sz w:val="32"/>
          <w:szCs w:val="32"/>
          <w:lang w:val="en-US" w:eastAsia="zh-CN"/>
        </w:rPr>
        <w:t>二是在信访维稳上下足功夫。</w:t>
      </w:r>
      <w:r>
        <w:rPr>
          <w:rFonts w:hint="default" w:ascii="Times New Roman" w:hAnsi="Times New Roman" w:eastAsia="仿宋_GB2312" w:cs="Times New Roman"/>
          <w:color w:val="000000"/>
          <w:kern w:val="2"/>
          <w:sz w:val="32"/>
          <w:szCs w:val="32"/>
          <w:highlight w:val="none"/>
          <w:lang w:val="en-US" w:eastAsia="zh-CN"/>
        </w:rPr>
        <w:t>认真落实市、区决策部署，按照全市信访工作有关会议、文件精神，始终将维护社会安全稳定作为首要任务，强化组织领导，践行群众路线，积极化解矛盾，真正</w:t>
      </w:r>
      <w:r>
        <w:rPr>
          <w:rFonts w:hint="default" w:ascii="Times New Roman" w:hAnsi="Times New Roman" w:eastAsia="仿宋_GB2312" w:cs="Times New Roman"/>
          <w:color w:val="000000"/>
          <w:kern w:val="2"/>
          <w:sz w:val="32"/>
          <w:szCs w:val="32"/>
          <w:highlight w:val="none"/>
        </w:rPr>
        <w:t>把矛盾纠纷化解在源头、化解在基层</w:t>
      </w:r>
      <w:r>
        <w:rPr>
          <w:rFonts w:hint="default"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lang w:val="en-US" w:eastAsia="zh-CN"/>
        </w:rPr>
        <w:t>党工委书记带头</w:t>
      </w:r>
      <w:r>
        <w:rPr>
          <w:rFonts w:hint="default" w:ascii="Times New Roman" w:hAnsi="Times New Roman" w:eastAsia="仿宋_GB2312" w:cs="Times New Roman"/>
          <w:color w:val="000000"/>
          <w:kern w:val="2"/>
          <w:sz w:val="32"/>
          <w:szCs w:val="32"/>
          <w:lang w:eastAsia="zh-CN"/>
        </w:rPr>
        <w:t>亲自抓信访</w:t>
      </w:r>
      <w:r>
        <w:rPr>
          <w:rFonts w:hint="default" w:ascii="Times New Roman" w:hAnsi="Times New Roman" w:eastAsia="仿宋_GB2312" w:cs="Times New Roman"/>
          <w:color w:val="000000"/>
          <w:kern w:val="2"/>
          <w:sz w:val="32"/>
          <w:szCs w:val="32"/>
          <w:lang w:val="en-US" w:eastAsia="zh-CN"/>
        </w:rPr>
        <w:t>维稳</w:t>
      </w:r>
      <w:r>
        <w:rPr>
          <w:rFonts w:hint="default" w:ascii="Times New Roman" w:hAnsi="Times New Roman" w:eastAsia="仿宋_GB2312" w:cs="Times New Roman"/>
          <w:color w:val="000000"/>
          <w:kern w:val="2"/>
          <w:sz w:val="32"/>
          <w:szCs w:val="32"/>
          <w:lang w:eastAsia="zh-CN"/>
        </w:rPr>
        <w:t>工作，</w:t>
      </w:r>
      <w:r>
        <w:rPr>
          <w:rFonts w:hint="default" w:ascii="Times New Roman" w:hAnsi="Times New Roman" w:eastAsia="仿宋_GB2312" w:cs="Times New Roman"/>
          <w:color w:val="000000"/>
          <w:kern w:val="2"/>
          <w:sz w:val="32"/>
          <w:szCs w:val="32"/>
          <w:lang w:val="en-US" w:eastAsia="zh-CN"/>
        </w:rPr>
        <w:t>对于来街道上访的群众不推诿、不搪塞、不拒绝，处理事情也不拖拉、不傲慢、不激进，始终如一地践行为人民服务的宗旨，积极对接区法院、市水利局等部门，稳控化解柳江萍、郑英等重点对象信访事项。</w:t>
      </w:r>
      <w:r>
        <w:rPr>
          <w:rFonts w:hint="default" w:ascii="Times New Roman" w:hAnsi="Times New Roman" w:eastAsia="仿宋_GB2312" w:cs="Times New Roman"/>
          <w:color w:val="000000"/>
          <w:kern w:val="2"/>
          <w:sz w:val="32"/>
          <w:szCs w:val="32"/>
          <w:highlight w:val="none"/>
          <w:lang w:val="en-US" w:eastAsia="zh-CN"/>
        </w:rPr>
        <w:t>积极协调拖配厂改制职工安置、福鑫南郡房屋验收办证等问题，多方协调逐步解决了一些老旧小区水电改造问题，全力推进翡翠公园四期</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保交楼</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工作，于2月10日实现项目复工，8月15日已正式启动破产预重组的程序</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认真梳理辖区25件突出矛盾信访问题，实行领导干部包案制，秉承</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群众的事就是自己的事</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的服务心态，认认真真、踏踏实实地处理好每一个上访问题。</w:t>
      </w:r>
      <w:r>
        <w:rPr>
          <w:rFonts w:hint="default" w:ascii="Times New Roman" w:hAnsi="Times New Roman" w:eastAsia="仿宋_GB2312" w:cs="Times New Roman"/>
          <w:b/>
          <w:bCs/>
          <w:color w:val="000000"/>
          <w:kern w:val="2"/>
          <w:sz w:val="32"/>
          <w:szCs w:val="32"/>
          <w:lang w:val="en-US" w:eastAsia="zh-CN"/>
        </w:rPr>
        <w:t>三是在民生事业上全面发力。</w:t>
      </w:r>
      <w:r>
        <w:rPr>
          <w:rFonts w:hint="default" w:ascii="Times New Roman" w:hAnsi="Times New Roman" w:eastAsia="仿宋_GB2312" w:cs="Times New Roman"/>
          <w:color w:val="000000"/>
          <w:kern w:val="2"/>
          <w:sz w:val="32"/>
          <w:szCs w:val="32"/>
          <w:highlight w:val="none"/>
          <w:lang w:val="en-US" w:eastAsia="zh-CN"/>
        </w:rPr>
        <w:t>全面落实各项惠民政策，落实奖励扶助制度，累计办理城镇独生子女父母奖励发放对象139名；加强困难对象帮扶，完成64名农村帮扶对象、88名计生特殊困难家庭扶助对象年审、慰问等工作。大力开展城乡居民基本医疗保险参保缴费工作，共计缴费15180人，超额完成任务，排名全区第一。扎实推进城市环境卫生整治，按照国文、国卫复审工作要求，定期对辖区重点区域开展整治，对流动摊担、出店经营门店进行劝阻教育，组织环卫公司对老旧小区进行环境清理。大力解决群众急难愁盼问题，对丰园小区供水主管道进行维修改造，解决330户居民用水问题；协调自来水公司，启动顺鑫佳园小区和谭家塅村凤形组自来水一户一表改造，惠及居民1100余户。持续开展安全生产检查，共组织执法次数118次，出动执法人员172人次，检查生产经营单位311家，排查并整治安全隐患（一单四制）125个。摸排自建房1321栋，完成结构性整治销号186栋，消防整治销号84栋，建设性合法合规整治销号59栋，非经营性隐患整治销号4栋。</w:t>
      </w:r>
      <w:r>
        <w:rPr>
          <w:rFonts w:hint="default" w:ascii="Times New Roman" w:hAnsi="Times New Roman" w:eastAsia="仿宋_GB2312" w:cs="Times New Roman"/>
          <w:b w:val="0"/>
          <w:bCs w:val="0"/>
          <w:kern w:val="2"/>
          <w:sz w:val="32"/>
          <w:szCs w:val="32"/>
          <w:lang w:val="en-US" w:eastAsia="zh-CN"/>
        </w:rPr>
        <w:t>全面开展第五次全国经济普查工作，完成企业填报</w:t>
      </w:r>
      <w:r>
        <w:rPr>
          <w:rFonts w:hint="default" w:ascii="Times New Roman" w:hAnsi="Times New Roman" w:eastAsia="仿宋_GB2312" w:cs="Times New Roman"/>
          <w:color w:val="000000"/>
          <w:kern w:val="2"/>
          <w:sz w:val="32"/>
          <w:szCs w:val="32"/>
          <w:highlight w:val="none"/>
          <w:lang w:val="en-US" w:eastAsia="zh-CN"/>
        </w:rPr>
        <w:t>5494</w:t>
      </w:r>
      <w:r>
        <w:rPr>
          <w:rFonts w:hint="default" w:ascii="Times New Roman" w:hAnsi="Times New Roman" w:eastAsia="仿宋_GB2312" w:cs="Times New Roman"/>
          <w:b w:val="0"/>
          <w:bCs w:val="0"/>
          <w:kern w:val="2"/>
          <w:sz w:val="32"/>
          <w:szCs w:val="32"/>
          <w:lang w:val="en-US" w:eastAsia="zh-CN"/>
        </w:rPr>
        <w:t>家,个体填报</w:t>
      </w:r>
      <w:r>
        <w:rPr>
          <w:rFonts w:hint="default" w:ascii="Times New Roman" w:hAnsi="Times New Roman" w:eastAsia="仿宋_GB2312" w:cs="Times New Roman"/>
          <w:color w:val="000000"/>
          <w:kern w:val="2"/>
          <w:sz w:val="32"/>
          <w:szCs w:val="32"/>
          <w:highlight w:val="none"/>
          <w:lang w:val="en-US" w:eastAsia="zh-CN"/>
        </w:rPr>
        <w:t>9334</w:t>
      </w:r>
      <w:r>
        <w:rPr>
          <w:rFonts w:hint="default" w:ascii="Times New Roman" w:hAnsi="Times New Roman" w:eastAsia="仿宋_GB2312" w:cs="Times New Roman"/>
          <w:b w:val="0"/>
          <w:bCs w:val="0"/>
          <w:kern w:val="2"/>
          <w:sz w:val="32"/>
          <w:szCs w:val="32"/>
          <w:lang w:val="en-US" w:eastAsia="zh-CN"/>
        </w:rPr>
        <w:t>家。</w:t>
      </w:r>
      <w:r>
        <w:rPr>
          <w:rFonts w:hint="default" w:ascii="Times New Roman" w:hAnsi="Times New Roman" w:eastAsia="仿宋_GB2312" w:cs="Times New Roman"/>
          <w:kern w:val="2"/>
          <w:sz w:val="32"/>
          <w:szCs w:val="32"/>
        </w:rPr>
        <w:t>在全力抓好重点工作的同时，注重统筹</w:t>
      </w:r>
      <w:r>
        <w:rPr>
          <w:rFonts w:hint="default" w:ascii="Times New Roman" w:hAnsi="Times New Roman" w:eastAsia="仿宋_GB2312" w:cs="Times New Roman"/>
          <w:kern w:val="2"/>
          <w:sz w:val="32"/>
          <w:szCs w:val="32"/>
          <w:lang w:val="en-US" w:eastAsia="zh-CN"/>
        </w:rPr>
        <w:t>兼顾，</w:t>
      </w:r>
      <w:r>
        <w:rPr>
          <w:rFonts w:hint="default" w:ascii="Times New Roman" w:hAnsi="Times New Roman" w:eastAsia="仿宋_GB2312" w:cs="Times New Roman"/>
          <w:color w:val="000000"/>
          <w:kern w:val="2"/>
          <w:sz w:val="32"/>
          <w:szCs w:val="32"/>
          <w:highlight w:val="none"/>
          <w:lang w:val="en-US" w:eastAsia="zh-CN"/>
        </w:rPr>
        <w:t>网格化、市域治理现代化、民族宗教、意识形态、市容环卫、河长制、田长制、</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一门式</w:t>
      </w:r>
      <w:r>
        <w:rPr>
          <w:rFonts w:hint="eastAsia"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改革等各项工作均扎实有效开展。</w:t>
      </w:r>
    </w:p>
    <w:p w14:paraId="09AFD7CC">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color w:val="000000"/>
          <w:kern w:val="2"/>
          <w:sz w:val="32"/>
          <w:szCs w:val="32"/>
          <w:lang w:val="en-US" w:eastAsia="zh-CN"/>
        </w:rPr>
        <w:t>3.</w:t>
      </w:r>
      <w:r>
        <w:rPr>
          <w:rFonts w:hint="default" w:ascii="Times New Roman" w:hAnsi="Times New Roman" w:eastAsia="仿宋_GB2312" w:cs="Times New Roman"/>
          <w:b/>
          <w:color w:val="000000"/>
          <w:kern w:val="2"/>
          <w:sz w:val="32"/>
          <w:szCs w:val="32"/>
          <w:lang w:val="en-US" w:eastAsia="zh-CN"/>
        </w:rPr>
        <w:t>提升作风、严格纪律，念好</w:t>
      </w:r>
      <w:r>
        <w:rPr>
          <w:rFonts w:hint="eastAsia"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color w:val="000000"/>
          <w:kern w:val="2"/>
          <w:sz w:val="32"/>
          <w:szCs w:val="32"/>
          <w:lang w:val="en-US" w:eastAsia="zh-CN"/>
        </w:rPr>
        <w:t>紧箍咒</w:t>
      </w:r>
      <w:r>
        <w:rPr>
          <w:rFonts w:hint="eastAsia"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color w:val="000000"/>
          <w:kern w:val="2"/>
          <w:sz w:val="32"/>
          <w:szCs w:val="32"/>
          <w:lang w:val="en-US" w:eastAsia="zh-CN"/>
        </w:rPr>
        <w:t>。</w:t>
      </w:r>
      <w:r>
        <w:rPr>
          <w:rFonts w:hint="default" w:ascii="Times New Roman" w:hAnsi="Times New Roman" w:eastAsia="仿宋_GB2312" w:cs="Times New Roman"/>
          <w:b/>
          <w:bCs/>
          <w:color w:val="000000"/>
          <w:kern w:val="2"/>
          <w:sz w:val="32"/>
          <w:szCs w:val="32"/>
          <w:lang w:val="en-US" w:eastAsia="zh-CN"/>
        </w:rPr>
        <w:t>一是常态化落实中央八项规定精神。</w:t>
      </w:r>
      <w:r>
        <w:rPr>
          <w:rFonts w:hint="default" w:ascii="Times New Roman" w:hAnsi="Times New Roman" w:eastAsia="仿宋_GB2312" w:cs="Times New Roman"/>
          <w:color w:val="000000"/>
          <w:kern w:val="2"/>
          <w:sz w:val="32"/>
          <w:szCs w:val="32"/>
          <w:lang w:val="en-US" w:eastAsia="zh-CN"/>
        </w:rPr>
        <w:t>全体党员干部</w:t>
      </w:r>
      <w:r>
        <w:rPr>
          <w:rFonts w:hint="default" w:ascii="Times New Roman" w:hAnsi="Times New Roman" w:eastAsia="仿宋_GB2312" w:cs="Times New Roman"/>
          <w:color w:val="000000"/>
          <w:kern w:val="2"/>
          <w:sz w:val="32"/>
          <w:szCs w:val="32"/>
          <w:lang w:eastAsia="zh-CN"/>
        </w:rPr>
        <w:t>认真贯彻落实中央八项规定，组织</w:t>
      </w:r>
      <w:r>
        <w:rPr>
          <w:rFonts w:hint="default" w:ascii="Times New Roman" w:hAnsi="Times New Roman" w:eastAsia="仿宋_GB2312" w:cs="Times New Roman"/>
          <w:color w:val="000000"/>
          <w:kern w:val="2"/>
          <w:sz w:val="32"/>
          <w:szCs w:val="32"/>
          <w:lang w:val="en-US" w:eastAsia="zh-CN"/>
        </w:rPr>
        <w:t>重温《中共中央八项规定及实施细则》，学习《关于其二不舍落实中央八项规定精神深化纠治</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四风</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工作的若干措施》</w:t>
      </w:r>
      <w:r>
        <w:rPr>
          <w:rFonts w:hint="default" w:ascii="Times New Roman" w:hAnsi="Times New Roman" w:eastAsia="仿宋_GB2312" w:cs="Times New Roman"/>
          <w:color w:val="000000"/>
          <w:kern w:val="2"/>
          <w:sz w:val="32"/>
          <w:szCs w:val="32"/>
          <w:lang w:eastAsia="zh-CN"/>
        </w:rPr>
        <w:t>加强制度建设，构建改进作风长效机制。</w:t>
      </w:r>
      <w:r>
        <w:rPr>
          <w:rFonts w:hint="default" w:ascii="Times New Roman" w:hAnsi="Times New Roman" w:eastAsia="仿宋_GB2312" w:cs="Times New Roman"/>
          <w:color w:val="000000"/>
          <w:kern w:val="2"/>
          <w:sz w:val="32"/>
          <w:szCs w:val="32"/>
          <w:lang w:val="en-US" w:eastAsia="zh-CN"/>
        </w:rPr>
        <w:t>坚持常打招呼常提醒，盯紧重大节日、重点人员，严肃强调纪律要求，不碰红线底线，坚决遏制腐败现象，严格制止公职人员</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不作为</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不担当</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的行为。</w:t>
      </w:r>
      <w:r>
        <w:rPr>
          <w:rFonts w:hint="default" w:ascii="Times New Roman" w:hAnsi="Times New Roman" w:eastAsia="仿宋_GB2312" w:cs="Times New Roman"/>
          <w:b/>
          <w:bCs/>
          <w:color w:val="000000"/>
          <w:kern w:val="2"/>
          <w:sz w:val="32"/>
          <w:szCs w:val="32"/>
          <w:lang w:val="en-US" w:eastAsia="zh-CN"/>
        </w:rPr>
        <w:t>二是持之以恒纠治</w:t>
      </w:r>
      <w:r>
        <w:rPr>
          <w:rFonts w:hint="eastAsia" w:ascii="Times New Roman" w:hAnsi="Times New Roman" w:eastAsia="仿宋_GB2312" w:cs="Times New Roman"/>
          <w:b/>
          <w:bCs/>
          <w:color w:val="000000"/>
          <w:kern w:val="2"/>
          <w:sz w:val="32"/>
          <w:szCs w:val="32"/>
          <w:lang w:val="en-US" w:eastAsia="zh-CN"/>
        </w:rPr>
        <w:t>“</w:t>
      </w:r>
      <w:r>
        <w:rPr>
          <w:rFonts w:hint="default" w:ascii="Times New Roman" w:hAnsi="Times New Roman" w:eastAsia="仿宋_GB2312" w:cs="Times New Roman"/>
          <w:b/>
          <w:bCs/>
          <w:color w:val="000000"/>
          <w:kern w:val="2"/>
          <w:sz w:val="32"/>
          <w:szCs w:val="32"/>
          <w:lang w:val="en-US" w:eastAsia="zh-CN"/>
        </w:rPr>
        <w:t>四风</w:t>
      </w:r>
      <w:r>
        <w:rPr>
          <w:rFonts w:hint="eastAsia" w:ascii="Times New Roman" w:hAnsi="Times New Roman" w:eastAsia="仿宋_GB2312" w:cs="Times New Roman"/>
          <w:b/>
          <w:bCs/>
          <w:color w:val="000000"/>
          <w:kern w:val="2"/>
          <w:sz w:val="32"/>
          <w:szCs w:val="32"/>
          <w:lang w:val="en-US" w:eastAsia="zh-CN"/>
        </w:rPr>
        <w:t>”</w:t>
      </w:r>
      <w:r>
        <w:rPr>
          <w:rFonts w:hint="default" w:ascii="Times New Roman" w:hAnsi="Times New Roman" w:eastAsia="仿宋_GB2312" w:cs="Times New Roman"/>
          <w:b/>
          <w:bCs/>
          <w:color w:val="000000"/>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大力开展</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作风建设年</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活动，组织作风建设专题研讨会8次，</w:t>
      </w:r>
      <w:r>
        <w:rPr>
          <w:rFonts w:hint="default" w:ascii="Times New Roman" w:hAnsi="Times New Roman" w:eastAsia="仿宋_GB2312" w:cs="Times New Roman"/>
          <w:color w:val="000000"/>
          <w:kern w:val="2"/>
          <w:sz w:val="32"/>
          <w:szCs w:val="32"/>
          <w:lang w:val="en-US" w:eastAsia="zh-CN"/>
        </w:rPr>
        <w:t>学习市纪委发布的</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四风</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典型案例通报，</w:t>
      </w:r>
      <w:r>
        <w:rPr>
          <w:rFonts w:hint="default" w:ascii="Times New Roman" w:hAnsi="Times New Roman" w:eastAsia="仿宋_GB2312" w:cs="Times New Roman"/>
          <w:color w:val="000000"/>
          <w:kern w:val="2"/>
          <w:sz w:val="32"/>
          <w:szCs w:val="32"/>
          <w:lang w:eastAsia="zh-CN"/>
        </w:rPr>
        <w:t>加强服务型机关建设，坚持党务政务公开，认真兑现服务承诺，自觉接受群众监督。强化</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权力就是责任</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机关就是服务</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干部就是公仆</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意识。</w:t>
      </w:r>
      <w:r>
        <w:rPr>
          <w:rFonts w:hint="default" w:ascii="Times New Roman" w:hAnsi="Times New Roman" w:eastAsia="仿宋_GB2312" w:cs="Times New Roman"/>
          <w:kern w:val="2"/>
          <w:sz w:val="32"/>
          <w:szCs w:val="32"/>
        </w:rPr>
        <w:t>坚决破除形式主义、官僚主义，对在推动高质量发展中不担当、不作为、慢作为、假作为，对群众合理诉求推诿扯皮、</w:t>
      </w:r>
      <w:r>
        <w:rPr>
          <w:rFonts w:hint="default" w:ascii="Times New Roman" w:hAnsi="Times New Roman" w:eastAsia="仿宋_GB2312" w:cs="Times New Roman"/>
          <w:kern w:val="2"/>
          <w:sz w:val="32"/>
          <w:szCs w:val="32"/>
          <w:lang w:val="en-US" w:eastAsia="zh-CN"/>
        </w:rPr>
        <w:t>搪塞拖拉、</w:t>
      </w:r>
      <w:r>
        <w:rPr>
          <w:rFonts w:hint="default" w:ascii="Times New Roman" w:hAnsi="Times New Roman" w:eastAsia="仿宋_GB2312" w:cs="Times New Roman"/>
          <w:kern w:val="2"/>
          <w:sz w:val="32"/>
          <w:szCs w:val="32"/>
        </w:rPr>
        <w:t>冷硬横推等问题，时刻防范享乐主义、奢靡之风。</w:t>
      </w:r>
      <w:r>
        <w:rPr>
          <w:rFonts w:hint="default" w:ascii="Times New Roman" w:hAnsi="Times New Roman" w:eastAsia="仿宋_GB2312" w:cs="Times New Roman"/>
          <w:kern w:val="2"/>
          <w:sz w:val="32"/>
          <w:szCs w:val="32"/>
          <w:lang w:val="en-US" w:eastAsia="zh-CN"/>
        </w:rPr>
        <w:t>2月23日召开民主生活会，领导班子成员都做了批评与自我批评，在各自的建议中提高自身工作的积极性，端正作风。</w:t>
      </w:r>
      <w:r>
        <w:rPr>
          <w:rFonts w:hint="default" w:ascii="Times New Roman" w:hAnsi="Times New Roman" w:eastAsia="仿宋_GB2312" w:cs="Times New Roman"/>
          <w:b/>
          <w:bCs/>
          <w:color w:val="000000"/>
          <w:kern w:val="2"/>
          <w:sz w:val="32"/>
          <w:szCs w:val="32"/>
          <w:lang w:val="en-US" w:eastAsia="zh-CN"/>
        </w:rPr>
        <w:t>三是持续开展工作督查。</w:t>
      </w:r>
      <w:r>
        <w:rPr>
          <w:rFonts w:hint="default" w:ascii="Times New Roman" w:hAnsi="Times New Roman" w:eastAsia="仿宋_GB2312" w:cs="Times New Roman"/>
          <w:kern w:val="2"/>
          <w:sz w:val="32"/>
          <w:szCs w:val="32"/>
          <w:lang w:val="en-US" w:eastAsia="zh-CN"/>
        </w:rPr>
        <w:t>领导班子成员</w:t>
      </w:r>
      <w:r>
        <w:rPr>
          <w:rFonts w:hint="default" w:ascii="Times New Roman" w:hAnsi="Times New Roman" w:eastAsia="仿宋_GB2312" w:cs="Times New Roman"/>
          <w:color w:val="000000"/>
          <w:kern w:val="2"/>
          <w:sz w:val="32"/>
          <w:szCs w:val="32"/>
          <w:lang w:eastAsia="zh-CN"/>
        </w:rPr>
        <w:t>牵头落实督查第一责任，不定期深入</w:t>
      </w:r>
      <w:r>
        <w:rPr>
          <w:rFonts w:hint="default" w:ascii="Times New Roman" w:hAnsi="Times New Roman" w:eastAsia="仿宋_GB2312" w:cs="Times New Roman"/>
          <w:color w:val="000000"/>
          <w:kern w:val="2"/>
          <w:sz w:val="32"/>
          <w:szCs w:val="32"/>
          <w:lang w:val="en-US" w:eastAsia="zh-CN"/>
        </w:rPr>
        <w:t>联点股室和社区（村）</w:t>
      </w:r>
      <w:r>
        <w:rPr>
          <w:rFonts w:hint="default" w:ascii="Times New Roman" w:hAnsi="Times New Roman" w:eastAsia="仿宋_GB2312" w:cs="Times New Roman"/>
          <w:color w:val="000000"/>
          <w:kern w:val="2"/>
          <w:sz w:val="32"/>
          <w:szCs w:val="32"/>
          <w:lang w:eastAsia="zh-CN"/>
        </w:rPr>
        <w:t>，开展督促检查。</w:t>
      </w:r>
      <w:r>
        <w:rPr>
          <w:rFonts w:hint="default" w:ascii="Times New Roman" w:hAnsi="Times New Roman" w:eastAsia="仿宋_GB2312" w:cs="Times New Roman"/>
          <w:color w:val="000000"/>
          <w:kern w:val="2"/>
          <w:sz w:val="32"/>
          <w:szCs w:val="32"/>
          <w:lang w:val="en-US" w:eastAsia="zh-CN"/>
        </w:rPr>
        <w:t>一方面，对全体工作人员抓好日常考勤、作风纪律；另一方面，</w:t>
      </w:r>
      <w:r>
        <w:rPr>
          <w:rFonts w:hint="default" w:ascii="Times New Roman" w:hAnsi="Times New Roman" w:eastAsia="仿宋_GB2312" w:cs="Times New Roman"/>
          <w:color w:val="000000"/>
          <w:kern w:val="2"/>
          <w:sz w:val="32"/>
          <w:szCs w:val="32"/>
          <w:lang w:eastAsia="zh-CN"/>
        </w:rPr>
        <w:t>加强</w:t>
      </w:r>
      <w:r>
        <w:rPr>
          <w:rFonts w:hint="default" w:ascii="Times New Roman" w:hAnsi="Times New Roman" w:eastAsia="仿宋_GB2312" w:cs="Times New Roman"/>
          <w:color w:val="000000"/>
          <w:kern w:val="2"/>
          <w:sz w:val="32"/>
          <w:szCs w:val="32"/>
          <w:lang w:val="en-US" w:eastAsia="zh-CN"/>
        </w:rPr>
        <w:t>对重点</w:t>
      </w:r>
      <w:r>
        <w:rPr>
          <w:rFonts w:hint="default" w:ascii="Times New Roman" w:hAnsi="Times New Roman" w:eastAsia="仿宋_GB2312" w:cs="Times New Roman"/>
          <w:color w:val="000000"/>
          <w:kern w:val="2"/>
          <w:sz w:val="32"/>
          <w:szCs w:val="32"/>
          <w:lang w:eastAsia="zh-CN"/>
        </w:rPr>
        <w:t>工作的指导，及时了解</w:t>
      </w:r>
      <w:r>
        <w:rPr>
          <w:rFonts w:hint="default" w:ascii="Times New Roman" w:hAnsi="Times New Roman" w:eastAsia="仿宋_GB2312" w:cs="Times New Roman"/>
          <w:color w:val="000000"/>
          <w:kern w:val="2"/>
          <w:sz w:val="32"/>
          <w:szCs w:val="32"/>
          <w:lang w:val="en-US" w:eastAsia="zh-CN"/>
        </w:rPr>
        <w:t>工作</w:t>
      </w:r>
      <w:r>
        <w:rPr>
          <w:rFonts w:hint="default" w:ascii="Times New Roman" w:hAnsi="Times New Roman" w:eastAsia="仿宋_GB2312" w:cs="Times New Roman"/>
          <w:color w:val="000000"/>
          <w:kern w:val="2"/>
          <w:sz w:val="32"/>
          <w:szCs w:val="32"/>
          <w:lang w:eastAsia="zh-CN"/>
        </w:rPr>
        <w:t>进展情况，研究解决突出问题，推动各项任务落实。</w:t>
      </w:r>
    </w:p>
    <w:p w14:paraId="528E2EE7">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3CC4E7D9">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无。</w:t>
      </w:r>
    </w:p>
    <w:p w14:paraId="6D7BB981">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15814795">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b w:val="0"/>
          <w:bCs/>
          <w:kern w:val="0"/>
          <w:sz w:val="32"/>
          <w:szCs w:val="32"/>
          <w:lang w:val="en-US" w:eastAsia="zh-CN" w:bidi="ar"/>
        </w:rPr>
      </w:pPr>
      <w:r>
        <w:rPr>
          <w:rFonts w:hint="eastAsia" w:ascii="Times New Roman" w:hAnsi="Times New Roman" w:eastAsia="仿宋_GB2312" w:cs="Times New Roman"/>
          <w:b w:val="0"/>
          <w:bCs/>
          <w:kern w:val="0"/>
          <w:sz w:val="32"/>
          <w:szCs w:val="32"/>
          <w:lang w:val="en-US" w:eastAsia="zh-CN" w:bidi="ar"/>
        </w:rPr>
        <w:t>（一）履职效能方面</w:t>
      </w:r>
    </w:p>
    <w:p w14:paraId="32E1B88E">
      <w:pPr>
        <w:keepNext w:val="0"/>
        <w:keepLines w:val="0"/>
        <w:pageBreakBefore w:val="0"/>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仿宋_GB2312" w:cs="Times New Roman"/>
          <w:b w:val="0"/>
          <w:bCs/>
          <w:kern w:val="0"/>
          <w:sz w:val="32"/>
          <w:szCs w:val="32"/>
          <w:lang w:val="en-US" w:eastAsia="zh-CN" w:bidi="ar"/>
        </w:rPr>
        <w:t>绩效评价人员匮乏，绩效意识薄弱、专业能力不足。</w:t>
      </w:r>
      <w:r>
        <w:rPr>
          <w:rFonts w:hint="eastAsia" w:ascii="Times New Roman" w:hAnsi="Times New Roman" w:eastAsia="仿宋_GB2312" w:cs="Times New Roman"/>
          <w:color w:val="000000"/>
          <w:sz w:val="32"/>
          <w:szCs w:val="32"/>
          <w:shd w:val="clear" w:color="auto" w:fill="FFFFFF"/>
          <w:lang w:eastAsia="zh-CN"/>
        </w:rPr>
        <w:t>目前各级政府部门均未设置预算绩效管理部门，无人员配备，大部分是由财务人员兼职，时间和精力分配不足</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eastAsia="zh-CN"/>
        </w:rPr>
        <w:t>同时，财务人员大多是会计、财务管理、经济学等专业，而绩效评价工作人员不仅需要掌握财经知识，还要熟悉相关政策、了解财政、预算、项目业务，这就要求必须具备管理学、法学、统计学、工程学等方面的知识，并持续更新知识体系</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eastAsia="zh-CN"/>
        </w:rPr>
        <w:t>另外，第三方评价机构对行业部门业务不熟，技术支撑力量不足，需要积极开展培育并引导规范。</w:t>
      </w:r>
    </w:p>
    <w:p w14:paraId="17A8A6DE">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b w:val="0"/>
          <w:bCs/>
          <w:kern w:val="0"/>
          <w:sz w:val="32"/>
          <w:szCs w:val="32"/>
          <w:lang w:val="en-US" w:eastAsia="zh-CN" w:bidi="ar"/>
        </w:rPr>
      </w:pPr>
      <w:r>
        <w:rPr>
          <w:rFonts w:hint="eastAsia" w:ascii="Times New Roman" w:hAnsi="Times New Roman" w:eastAsia="仿宋_GB2312" w:cs="Times New Roman"/>
          <w:b w:val="0"/>
          <w:bCs/>
          <w:kern w:val="0"/>
          <w:sz w:val="32"/>
          <w:szCs w:val="32"/>
          <w:lang w:val="en-US" w:eastAsia="zh-CN" w:bidi="ar"/>
        </w:rPr>
        <w:t>（二）预算和绩效管理方面</w:t>
      </w:r>
    </w:p>
    <w:p w14:paraId="76FDE63E">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仿宋_GB2312" w:cs="Times New Roman"/>
          <w:b w:val="0"/>
          <w:bCs/>
          <w:kern w:val="0"/>
          <w:sz w:val="32"/>
          <w:szCs w:val="32"/>
          <w:lang w:val="en-US" w:eastAsia="zh-CN" w:bidi="ar"/>
        </w:rPr>
        <w:t>绩效目标编制不规范，设定不完整。</w:t>
      </w:r>
      <w:r>
        <w:rPr>
          <w:rFonts w:hint="eastAsia" w:ascii="Times New Roman" w:hAnsi="Times New Roman" w:eastAsia="仿宋_GB2312" w:cs="Times New Roman"/>
          <w:color w:val="000000"/>
          <w:sz w:val="32"/>
          <w:szCs w:val="32"/>
          <w:shd w:val="clear" w:color="auto" w:fill="FFFFFF"/>
          <w:lang w:eastAsia="zh-CN"/>
        </w:rPr>
        <w:t>绩效目标是项目立项、预算执行、绩效评价的依据。现阶段缺乏对资金使用效果、效率、预算执行刚性约束等动态情况具体、有针对性的考量</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eastAsia="zh-CN"/>
        </w:rPr>
        <w:t>部分资金仍未按要求设定绩效目标或设定不完整</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eastAsia="zh-CN"/>
        </w:rPr>
        <w:t>绩效目标的设定较为空洞，指标没有细化量化，可衡量性不强，甚至存在不合理现象：如重投入轻效益、关键指标设定低于规划要求、量化指标与项目内容无关、目标设置不能体现总体目标实现程度或与计划数、投资额不匹配。</w:t>
      </w:r>
    </w:p>
    <w:p w14:paraId="7310D319">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b w:val="0"/>
          <w:bCs/>
          <w:kern w:val="0"/>
          <w:sz w:val="32"/>
          <w:szCs w:val="32"/>
          <w:lang w:val="en-US" w:eastAsia="zh-CN" w:bidi="ar"/>
        </w:rPr>
      </w:pPr>
      <w:r>
        <w:rPr>
          <w:rFonts w:hint="eastAsia" w:ascii="Times New Roman" w:hAnsi="Times New Roman" w:eastAsia="仿宋_GB2312" w:cs="Times New Roman"/>
          <w:b w:val="0"/>
          <w:bCs/>
          <w:kern w:val="0"/>
          <w:sz w:val="32"/>
          <w:szCs w:val="32"/>
          <w:lang w:val="en-US" w:eastAsia="zh-CN" w:bidi="ar"/>
        </w:rPr>
        <w:t>（三）资金分配使用和管理方面</w:t>
      </w:r>
    </w:p>
    <w:p w14:paraId="2EEBE238">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预算资金绩效管理是一项长期性工作，本单位在预算资金使用上存在一定不可预见性，部门预算和绩效管理工作还有待进一步加强。</w:t>
      </w:r>
    </w:p>
    <w:p w14:paraId="3A8909B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b w:val="0"/>
          <w:bCs/>
          <w:kern w:val="0"/>
          <w:sz w:val="32"/>
          <w:szCs w:val="32"/>
          <w:lang w:val="en-US" w:eastAsia="zh-CN" w:bidi="ar"/>
        </w:rPr>
      </w:pPr>
      <w:r>
        <w:rPr>
          <w:rFonts w:hint="eastAsia" w:ascii="Times New Roman" w:hAnsi="Times New Roman" w:eastAsia="仿宋_GB2312" w:cs="Times New Roman"/>
          <w:b w:val="0"/>
          <w:bCs/>
          <w:kern w:val="0"/>
          <w:sz w:val="32"/>
          <w:szCs w:val="32"/>
          <w:lang w:val="en-US" w:eastAsia="zh-CN" w:bidi="ar"/>
        </w:rPr>
        <w:t>（四）资产和财务管理与政府采购方面</w:t>
      </w:r>
    </w:p>
    <w:p w14:paraId="0CD5F79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
        </w:rPr>
        <w:t>资产采购不够科学。在实际预算执行中，全年实际执行与年初编制预算会存在一定偏差。部分资产管理存在报废年限长</w:t>
      </w:r>
      <w:r>
        <w:rPr>
          <w:rFonts w:hint="default" w:ascii="Times New Roman" w:hAnsi="Times New Roman" w:eastAsia="仿宋_GB2312" w:cs="Times New Roman"/>
          <w:sz w:val="32"/>
          <w:szCs w:val="32"/>
        </w:rPr>
        <w:t>。</w:t>
      </w:r>
    </w:p>
    <w:p w14:paraId="7C43B929">
      <w:pPr>
        <w:keepNext w:val="0"/>
        <w:keepLines w:val="0"/>
        <w:pageBreakBefore w:val="0"/>
        <w:widowControl/>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0ECA1F29">
      <w:pPr>
        <w:pStyle w:val="6"/>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color w:val="000000"/>
          <w:sz w:val="32"/>
          <w:szCs w:val="32"/>
          <w:shd w:val="clear" w:color="auto" w:fill="FFFFFF"/>
          <w:lang w:val="en-US"/>
        </w:rPr>
      </w:pPr>
      <w:r>
        <w:rPr>
          <w:rFonts w:hint="eastAsia" w:ascii="Times New Roman" w:hAnsi="Times New Roman" w:eastAsia="仿宋_GB2312" w:cs="Times New Roman"/>
          <w:b w:val="0"/>
          <w:bCs/>
          <w:color w:val="auto"/>
          <w:sz w:val="32"/>
          <w:szCs w:val="32"/>
          <w:shd w:val="clear" w:color="auto" w:fill="FFFFFF"/>
          <w:lang w:eastAsia="zh-CN"/>
        </w:rPr>
        <w:t>（一）加快基层队伍建设，提高绩效意识和管理人员专业水平。</w:t>
      </w:r>
      <w:r>
        <w:rPr>
          <w:rFonts w:hint="eastAsia" w:ascii="Times New Roman" w:hAnsi="Times New Roman" w:eastAsia="仿宋_GB2312" w:cs="Times New Roman"/>
          <w:b w:val="0"/>
          <w:bCs/>
          <w:color w:val="000000"/>
          <w:sz w:val="32"/>
          <w:szCs w:val="32"/>
          <w:shd w:val="clear" w:color="auto" w:fill="FFFFFF"/>
          <w:lang w:eastAsia="zh-CN"/>
        </w:rPr>
        <w:t>增设专门的机构来对预算绩效做管理，并配置相应的人员编制，引入第三方机构，并做好专家和第三方机构的交流和监管。强化专业培训，工作调研，学习交流等措施，培养“一专多能”的复合型人才，重点让主要领导和分管负责人参与到培训中来。</w:t>
      </w:r>
    </w:p>
    <w:p w14:paraId="65E30C2C">
      <w:pPr>
        <w:pStyle w:val="6"/>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color w:val="000000"/>
          <w:sz w:val="32"/>
          <w:szCs w:val="32"/>
          <w:highlight w:val="none"/>
          <w:shd w:val="clear" w:color="auto" w:fill="FFFFFF"/>
          <w:lang w:val="en-US"/>
        </w:rPr>
      </w:pPr>
      <w:r>
        <w:rPr>
          <w:rFonts w:hint="eastAsia" w:ascii="Times New Roman" w:hAnsi="Times New Roman" w:eastAsia="仿宋_GB2312" w:cs="Times New Roman"/>
          <w:b w:val="0"/>
          <w:bCs/>
          <w:color w:val="auto"/>
          <w:sz w:val="32"/>
          <w:szCs w:val="32"/>
          <w:shd w:val="clear" w:color="auto" w:fill="FFFFFF"/>
          <w:lang w:eastAsia="zh-CN"/>
        </w:rPr>
        <w:t>（二）强化绩效目标管理，践行相关程序。</w:t>
      </w:r>
      <w:r>
        <w:rPr>
          <w:rFonts w:hint="eastAsia" w:ascii="Times New Roman" w:hAnsi="Times New Roman" w:eastAsia="仿宋_GB2312" w:cs="Times New Roman"/>
          <w:b w:val="0"/>
          <w:bCs/>
          <w:color w:val="000000"/>
          <w:sz w:val="32"/>
          <w:szCs w:val="32"/>
          <w:shd w:val="clear" w:color="auto" w:fill="FFFFFF"/>
          <w:lang w:eastAsia="zh-CN"/>
        </w:rPr>
        <w:t>绩效目标要随文下达，有项目就有绩效目标</w:t>
      </w:r>
      <w:r>
        <w:rPr>
          <w:rFonts w:hint="eastAsia" w:ascii="Times New Roman" w:hAnsi="Times New Roman" w:eastAsia="仿宋_GB2312" w:cs="Times New Roman"/>
          <w:b w:val="0"/>
          <w:bCs/>
          <w:color w:val="000000"/>
          <w:sz w:val="32"/>
          <w:szCs w:val="32"/>
          <w:shd w:val="clear" w:color="auto" w:fill="FFFFFF"/>
          <w:lang w:val="en-US" w:eastAsia="zh-CN"/>
        </w:rPr>
        <w:t>；</w:t>
      </w:r>
      <w:r>
        <w:rPr>
          <w:rFonts w:hint="eastAsia" w:ascii="Times New Roman" w:hAnsi="Times New Roman" w:eastAsia="仿宋_GB2312" w:cs="Times New Roman"/>
          <w:b w:val="0"/>
          <w:bCs/>
          <w:color w:val="000000"/>
          <w:sz w:val="32"/>
          <w:szCs w:val="32"/>
          <w:shd w:val="clear" w:color="auto" w:fill="FFFFFF"/>
          <w:lang w:eastAsia="zh-CN"/>
        </w:rPr>
        <w:t>在事前绩效评估和项目评审的基础上，按照具体可衡量、关联可细化、现实可达到、轻重相匹配的原则系统分析，科学设立绩效目标，反映资金活动的范围、方向与效果</w:t>
      </w:r>
      <w:r>
        <w:rPr>
          <w:rFonts w:hint="eastAsia" w:ascii="Times New Roman" w:hAnsi="Times New Roman" w:eastAsia="仿宋_GB2312" w:cs="Times New Roman"/>
          <w:b w:val="0"/>
          <w:bCs/>
          <w:color w:val="000000"/>
          <w:sz w:val="32"/>
          <w:szCs w:val="32"/>
          <w:shd w:val="clear" w:color="auto" w:fill="FFFFFF"/>
          <w:lang w:val="en-US" w:eastAsia="zh-CN"/>
        </w:rPr>
        <w:t>；</w:t>
      </w:r>
      <w:r>
        <w:rPr>
          <w:rFonts w:hint="eastAsia" w:ascii="Times New Roman" w:hAnsi="Times New Roman" w:eastAsia="仿宋_GB2312" w:cs="Times New Roman"/>
          <w:b w:val="0"/>
          <w:bCs/>
          <w:color w:val="000000"/>
          <w:sz w:val="32"/>
          <w:szCs w:val="32"/>
          <w:highlight w:val="none"/>
          <w:shd w:val="clear" w:color="auto" w:fill="FFFFFF"/>
          <w:lang w:eastAsia="zh-CN"/>
        </w:rPr>
        <w:t>特别要设计一些反映项目内容与成果的指向性指标，以直观判断项目实施效果，避免项目单位利用已有成果</w:t>
      </w:r>
    </w:p>
    <w:p w14:paraId="79781600">
      <w:pPr>
        <w:pStyle w:val="13"/>
        <w:keepNext w:val="0"/>
        <w:keepLines w:val="0"/>
        <w:pageBreakBefore w:val="0"/>
        <w:widowControl w:val="0"/>
        <w:numPr>
          <w:ilvl w:val="0"/>
          <w:numId w:val="0"/>
        </w:numPr>
        <w:kinsoku/>
        <w:wordWrap/>
        <w:overflowPunct/>
        <w:topLinePunct w:val="0"/>
        <w:autoSpaceDE/>
        <w:autoSpaceDN/>
        <w:bidi w:val="0"/>
        <w:adjustRightInd/>
        <w:spacing w:after="0" w:line="560" w:lineRule="exact"/>
        <w:ind w:leftChars="0"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val="0"/>
          <w:bCs/>
          <w:color w:val="auto"/>
          <w:sz w:val="32"/>
          <w:szCs w:val="32"/>
          <w:highlight w:val="none"/>
          <w:shd w:val="clear" w:color="auto" w:fill="FFFFFF"/>
          <w:lang w:eastAsia="zh-CN"/>
        </w:rPr>
        <w:t>（三）科学分配预算资金，切实有效保障资金供给</w:t>
      </w:r>
      <w:r>
        <w:rPr>
          <w:rFonts w:hint="eastAsia" w:ascii="Times New Roman" w:hAnsi="Times New Roman" w:eastAsia="仿宋_GB2312" w:cs="Times New Roman"/>
          <w:b w:val="0"/>
          <w:bCs/>
          <w:color w:val="000000"/>
          <w:sz w:val="32"/>
          <w:szCs w:val="32"/>
          <w:highlight w:val="none"/>
          <w:shd w:val="clear" w:color="auto" w:fill="FFFFFF"/>
          <w:lang w:eastAsia="zh-CN"/>
        </w:rPr>
        <w:t>。</w:t>
      </w:r>
      <w:r>
        <w:rPr>
          <w:rFonts w:hint="default" w:ascii="Times New Roman" w:hAnsi="Times New Roman" w:eastAsia="仿宋_GB2312" w:cs="Times New Roman"/>
          <w:b w:val="0"/>
          <w:bCs/>
          <w:color w:val="000000"/>
          <w:sz w:val="32"/>
          <w:szCs w:val="32"/>
          <w:highlight w:val="none"/>
          <w:shd w:val="clear" w:color="auto" w:fill="FFFFFF"/>
          <w:lang w:eastAsia="zh-CN"/>
        </w:rPr>
        <w:t>培养</w:t>
      </w:r>
      <w:r>
        <w:rPr>
          <w:rFonts w:hint="eastAsia" w:ascii="Times New Roman" w:hAnsi="Times New Roman" w:eastAsia="仿宋_GB2312" w:cs="Times New Roman"/>
          <w:b w:val="0"/>
          <w:bCs/>
          <w:color w:val="000000"/>
          <w:sz w:val="32"/>
          <w:szCs w:val="32"/>
          <w:highlight w:val="none"/>
          <w:shd w:val="clear" w:color="auto" w:fill="FFFFFF"/>
          <w:lang w:val="en-US" w:eastAsia="zh-CN"/>
        </w:rPr>
        <w:t>财务人员</w:t>
      </w:r>
      <w:r>
        <w:rPr>
          <w:rFonts w:hint="default" w:ascii="Times New Roman" w:hAnsi="Times New Roman" w:eastAsia="仿宋_GB2312" w:cs="Times New Roman"/>
          <w:b w:val="0"/>
          <w:bCs/>
          <w:color w:val="000000"/>
          <w:sz w:val="32"/>
          <w:szCs w:val="32"/>
          <w:highlight w:val="none"/>
          <w:shd w:val="clear" w:color="auto" w:fill="FFFFFF"/>
          <w:lang w:eastAsia="zh-CN"/>
        </w:rPr>
        <w:t>预算和绩效管理意识，</w:t>
      </w:r>
      <w:r>
        <w:rPr>
          <w:rFonts w:hint="eastAsia" w:ascii="Times New Roman" w:hAnsi="Times New Roman" w:eastAsia="仿宋_GB2312" w:cs="Times New Roman"/>
          <w:b w:val="0"/>
          <w:bCs/>
          <w:color w:val="000000"/>
          <w:sz w:val="32"/>
          <w:szCs w:val="32"/>
          <w:highlight w:val="none"/>
          <w:shd w:val="clear" w:color="auto" w:fill="FFFFFF"/>
          <w:lang w:val="en-US" w:eastAsia="zh-CN"/>
        </w:rPr>
        <w:t>依据</w:t>
      </w:r>
      <w:r>
        <w:rPr>
          <w:rFonts w:hint="default" w:ascii="Times New Roman" w:hAnsi="Times New Roman" w:eastAsia="仿宋_GB2312" w:cs="Times New Roman"/>
          <w:b w:val="0"/>
          <w:bCs/>
          <w:color w:val="000000"/>
          <w:sz w:val="32"/>
          <w:szCs w:val="32"/>
          <w:highlight w:val="none"/>
          <w:shd w:val="clear" w:color="auto" w:fill="FFFFFF"/>
          <w:lang w:eastAsia="zh-CN"/>
        </w:rPr>
        <w:t>预算编制的相关制度和要求，按照单位年度工作重点和计划细化预算编制工作，</w:t>
      </w:r>
      <w:r>
        <w:rPr>
          <w:rFonts w:hint="eastAsia" w:ascii="Times New Roman" w:hAnsi="Times New Roman" w:eastAsia="仿宋_GB2312" w:cs="Times New Roman"/>
          <w:b w:val="0"/>
          <w:bCs/>
          <w:color w:val="000000"/>
          <w:sz w:val="32"/>
          <w:szCs w:val="32"/>
          <w:highlight w:val="none"/>
          <w:shd w:val="clear" w:color="auto" w:fill="FFFFFF"/>
          <w:lang w:eastAsia="zh-CN"/>
        </w:rPr>
        <w:t>项目设定后严格按年初计划予以保障，充分保障单位人员经费和公用经费开支，</w:t>
      </w:r>
      <w:r>
        <w:rPr>
          <w:rFonts w:hint="eastAsia" w:ascii="Times New Roman" w:hAnsi="Times New Roman" w:eastAsia="仿宋_GB2312" w:cs="Times New Roman"/>
          <w:b w:val="0"/>
          <w:bCs/>
          <w:color w:val="000000"/>
          <w:sz w:val="32"/>
          <w:szCs w:val="32"/>
          <w:highlight w:val="none"/>
          <w:shd w:val="clear" w:color="auto" w:fill="FFFFFF"/>
          <w:lang w:val="en-US" w:eastAsia="zh-CN"/>
        </w:rPr>
        <w:t>确保工作顺利开展。</w:t>
      </w:r>
    </w:p>
    <w:p w14:paraId="1869887D">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color w:val="auto"/>
          <w:sz w:val="32"/>
          <w:szCs w:val="32"/>
          <w:highlight w:val="none"/>
          <w:shd w:val="clear" w:color="auto" w:fill="FFFFFF"/>
          <w:lang w:eastAsia="zh-CN"/>
        </w:rPr>
        <w:t>（四）全面编制预算，充分运用信息化手段不断</w:t>
      </w:r>
      <w:r>
        <w:rPr>
          <w:rFonts w:hint="eastAsia" w:ascii="Times New Roman" w:hAnsi="Times New Roman" w:eastAsia="仿宋_GB2312" w:cs="Times New Roman"/>
          <w:b w:val="0"/>
          <w:bCs/>
          <w:color w:val="auto"/>
          <w:sz w:val="32"/>
          <w:szCs w:val="32"/>
          <w:shd w:val="clear" w:color="auto" w:fill="FFFFFF"/>
          <w:lang w:eastAsia="zh-CN"/>
        </w:rPr>
        <w:t>完善资产管理水平。</w:t>
      </w:r>
      <w:r>
        <w:rPr>
          <w:rFonts w:hint="eastAsia" w:ascii="Times New Roman" w:hAnsi="Times New Roman" w:eastAsia="仿宋_GB2312" w:cs="Times New Roman"/>
          <w:b w:val="0"/>
          <w:bCs/>
          <w:color w:val="000000"/>
          <w:sz w:val="32"/>
          <w:szCs w:val="32"/>
          <w:shd w:val="clear" w:color="auto" w:fill="FFFFFF"/>
          <w:lang w:eastAsia="zh-CN"/>
        </w:rPr>
        <w:t>严格加强政府采</w:t>
      </w:r>
      <w:r>
        <w:rPr>
          <w:rFonts w:hint="eastAsia" w:ascii="Times New Roman" w:hAnsi="Times New Roman" w:eastAsia="仿宋_GB2312" w:cs="Times New Roman"/>
          <w:color w:val="000000"/>
          <w:sz w:val="32"/>
          <w:szCs w:val="32"/>
          <w:shd w:val="clear" w:color="auto" w:fill="FFFFFF"/>
          <w:lang w:eastAsia="zh-CN"/>
        </w:rPr>
        <w:t>购预算管理工作，政府采购预算编制是否科学、规范，采购项目是否完善、细致直接关系到整个政府采购活动的质量。优化政府采购预算的编制，将预计的省市、其他资金等全口径进行预算，细化采购项目预算的编制工作，制定切实可行的采购计划，增强采购的计划性，减少随意性。</w:t>
      </w:r>
    </w:p>
    <w:p w14:paraId="3078A302">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60016062">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color w:val="000000"/>
          <w:kern w:val="0"/>
          <w:sz w:val="32"/>
          <w:szCs w:val="32"/>
          <w:lang w:val="en-US" w:eastAsia="zh-CN" w:bidi="ar"/>
        </w:rPr>
        <w:t>本单位无独立网站，绩效自评报告将在政府门户网站与决算报告一起公开。</w:t>
      </w:r>
    </w:p>
    <w:p w14:paraId="28B468B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6A561B25">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633FBA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2C6B6291">
      <w:pPr>
        <w:rPr>
          <w:rFonts w:ascii="Times New Roman" w:hAnsi="Times New Roman" w:cs="Times New Roman"/>
        </w:rPr>
        <w:sectPr>
          <w:footerReference r:id="rId3" w:type="default"/>
          <w:type w:val="continuous"/>
          <w:pgSz w:w="11906" w:h="16838"/>
          <w:pgMar w:top="2098" w:right="1531" w:bottom="1984" w:left="1531" w:header="851" w:footer="1587" w:gutter="0"/>
          <w:pgNumType w:fmt="decimal"/>
          <w:cols w:space="720" w:num="1"/>
          <w:rtlGutter w:val="0"/>
          <w:docGrid w:linePitch="386" w:charSpace="0"/>
        </w:sectPr>
      </w:pPr>
    </w:p>
    <w:p w14:paraId="675F1636">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2670F810">
      <w:pPr>
        <w:spacing w:after="120" w:afterLines="50" w:line="600" w:lineRule="exact"/>
        <w:jc w:val="center"/>
        <w:rPr>
          <w:rFonts w:hint="eastAsia" w:ascii="Times New Roman" w:hAnsi="Times New Roman" w:eastAsia="方正小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A1D1D20">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B69A9A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8E861B0">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DACD2B9">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eastAsia"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E5F6B56">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1FA66C6D">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399D547">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7611D970">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FF0000"/>
                <w:sz w:val="20"/>
                <w:szCs w:val="20"/>
              </w:rPr>
            </w:pPr>
            <w:r>
              <w:rPr>
                <w:rFonts w:hint="default" w:ascii="Times New Roman" w:hAnsi="Times New Roman" w:eastAsia="仿宋_GB2312" w:cs="Times New Roman"/>
                <w:sz w:val="20"/>
                <w:szCs w:val="20"/>
                <w:lang w:val="en-US" w:eastAsia="zh-CN"/>
              </w:rPr>
              <w:t>34</w:t>
            </w:r>
          </w:p>
        </w:tc>
        <w:tc>
          <w:tcPr>
            <w:tcW w:w="2240" w:type="dxa"/>
            <w:gridSpan w:val="2"/>
            <w:tcBorders>
              <w:top w:val="single" w:color="auto" w:sz="4" w:space="0"/>
              <w:left w:val="nil"/>
              <w:bottom w:val="single" w:color="auto" w:sz="4" w:space="0"/>
              <w:right w:val="single" w:color="auto" w:sz="4" w:space="0"/>
            </w:tcBorders>
            <w:noWrap w:val="0"/>
            <w:vAlign w:val="center"/>
          </w:tcPr>
          <w:p w14:paraId="3002C402">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FF0000"/>
                <w:sz w:val="20"/>
                <w:szCs w:val="20"/>
              </w:rPr>
            </w:pPr>
            <w:r>
              <w:rPr>
                <w:rFonts w:hint="default" w:ascii="Times New Roman" w:hAnsi="Times New Roman" w:eastAsia="仿宋_GB2312" w:cs="Times New Roman"/>
                <w:sz w:val="20"/>
                <w:szCs w:val="20"/>
                <w:lang w:val="en-US" w:eastAsia="zh-CN"/>
              </w:rPr>
              <w:t>34</w:t>
            </w:r>
          </w:p>
        </w:tc>
        <w:tc>
          <w:tcPr>
            <w:tcW w:w="2041" w:type="dxa"/>
            <w:gridSpan w:val="2"/>
            <w:tcBorders>
              <w:top w:val="single" w:color="auto" w:sz="4" w:space="0"/>
              <w:left w:val="nil"/>
              <w:bottom w:val="single" w:color="auto" w:sz="4" w:space="0"/>
              <w:right w:val="single" w:color="auto" w:sz="4" w:space="0"/>
            </w:tcBorders>
            <w:noWrap w:val="0"/>
            <w:vAlign w:val="center"/>
          </w:tcPr>
          <w:p w14:paraId="1BC93AD3">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FF0000"/>
                <w:sz w:val="20"/>
                <w:szCs w:val="20"/>
                <w:lang w:val="en-US" w:eastAsia="zh-CN"/>
              </w:rPr>
            </w:pPr>
            <w:r>
              <w:rPr>
                <w:rFonts w:hint="eastAsia" w:ascii="Times New Roman" w:hAnsi="Times New Roman" w:eastAsia="仿宋_GB2312" w:cs="Times New Roman"/>
                <w:color w:val="000000"/>
                <w:sz w:val="20"/>
                <w:szCs w:val="20"/>
              </w:rPr>
              <w:t>100</w:t>
            </w:r>
            <w:r>
              <w:rPr>
                <w:rFonts w:hint="eastAsia" w:ascii="Times New Roman" w:hAnsi="Times New Roman" w:eastAsia="仿宋_GB2312" w:cs="Times New Roman"/>
                <w:color w:val="000000"/>
                <w:sz w:val="20"/>
                <w:szCs w:val="20"/>
                <w:lang w:val="en-US" w:eastAsia="zh-CN"/>
              </w:rPr>
              <w:t>%</w:t>
            </w:r>
          </w:p>
        </w:tc>
      </w:tr>
      <w:tr w14:paraId="2FB791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C5C6AD">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634713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2</w:t>
            </w:r>
            <w:r>
              <w:rPr>
                <w:rFonts w:hint="eastAsia"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255DBCD">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eastAsia"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8893189">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eastAsia" w:ascii="Times New Roman" w:hAnsi="Times New Roman" w:eastAsia="仿宋_GB2312" w:cs="Times New Roman"/>
                <w:b/>
                <w:bCs/>
                <w:sz w:val="20"/>
                <w:szCs w:val="20"/>
              </w:rPr>
              <w:t>年决算数</w:t>
            </w:r>
          </w:p>
        </w:tc>
      </w:tr>
      <w:tr w14:paraId="79483F6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2F3CE0">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9DC2C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5FE8F60">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4AD9996">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14:paraId="7F947D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63BB9E">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279195">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5265DF9">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AA25045">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14:paraId="0866DC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A41772F">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ADF85FA">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AF0B8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6F5A3B6">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14:paraId="7A44BE3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E80772">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884CFD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0B1EB46">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0F2AE51">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14:paraId="173A25E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A22B79">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657514C">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D75C1A7">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01A0B4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14:paraId="58B3738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E22741">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D66DE83">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B18CC37">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F28DA2C">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14:paraId="534312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3776E9">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CD74155">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599.52</w:t>
            </w:r>
          </w:p>
        </w:tc>
        <w:tc>
          <w:tcPr>
            <w:tcW w:w="2240" w:type="dxa"/>
            <w:gridSpan w:val="2"/>
            <w:tcBorders>
              <w:top w:val="single" w:color="auto" w:sz="4" w:space="0"/>
              <w:left w:val="nil"/>
              <w:bottom w:val="single" w:color="auto" w:sz="4" w:space="0"/>
              <w:right w:val="single" w:color="000000" w:sz="4" w:space="0"/>
            </w:tcBorders>
            <w:noWrap w:val="0"/>
            <w:vAlign w:val="center"/>
          </w:tcPr>
          <w:p w14:paraId="3BCC7B12">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15.77</w:t>
            </w:r>
          </w:p>
        </w:tc>
        <w:tc>
          <w:tcPr>
            <w:tcW w:w="2041" w:type="dxa"/>
            <w:gridSpan w:val="2"/>
            <w:tcBorders>
              <w:top w:val="single" w:color="auto" w:sz="4" w:space="0"/>
              <w:left w:val="nil"/>
              <w:bottom w:val="single" w:color="auto" w:sz="4" w:space="0"/>
              <w:right w:val="single" w:color="000000" w:sz="4" w:space="0"/>
            </w:tcBorders>
            <w:noWrap w:val="0"/>
            <w:vAlign w:val="center"/>
          </w:tcPr>
          <w:p w14:paraId="33134231">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0153C5F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BE8A3D">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A0BDB8">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599.52</w:t>
            </w:r>
          </w:p>
        </w:tc>
        <w:tc>
          <w:tcPr>
            <w:tcW w:w="2240" w:type="dxa"/>
            <w:gridSpan w:val="2"/>
            <w:tcBorders>
              <w:top w:val="single" w:color="auto" w:sz="4" w:space="0"/>
              <w:left w:val="nil"/>
              <w:bottom w:val="single" w:color="auto" w:sz="4" w:space="0"/>
              <w:right w:val="single" w:color="000000" w:sz="4" w:space="0"/>
            </w:tcBorders>
            <w:noWrap w:val="0"/>
            <w:vAlign w:val="center"/>
          </w:tcPr>
          <w:p w14:paraId="38100328">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15.77</w:t>
            </w:r>
          </w:p>
        </w:tc>
        <w:tc>
          <w:tcPr>
            <w:tcW w:w="2041" w:type="dxa"/>
            <w:gridSpan w:val="2"/>
            <w:tcBorders>
              <w:top w:val="single" w:color="auto" w:sz="4" w:space="0"/>
              <w:left w:val="nil"/>
              <w:bottom w:val="single" w:color="auto" w:sz="4" w:space="0"/>
              <w:right w:val="single" w:color="000000" w:sz="4" w:space="0"/>
            </w:tcBorders>
            <w:noWrap w:val="0"/>
            <w:vAlign w:val="center"/>
          </w:tcPr>
          <w:p w14:paraId="2C8CE135">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3291E7A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6330DE">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30BDD1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86F3C73">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097E0E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238B4A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AB3ABA">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561586AA">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CDFDC1">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18D9A25">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r>
      <w:tr w14:paraId="1A94BE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2F83D4">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w:t>
            </w:r>
            <w:r>
              <w:rPr>
                <w:rFonts w:hint="eastAsia" w:ascii="Times New Roman" w:hAnsi="Times New Roman" w:eastAsia="仿宋_GB2312" w:cs="Times New Roman"/>
                <w:sz w:val="20"/>
                <w:szCs w:val="20"/>
                <w:lang w:eastAsia="zh-CN"/>
              </w:rPr>
              <w:t>市级</w:t>
            </w:r>
            <w:r>
              <w:rPr>
                <w:rFonts w:hint="eastAsia" w:ascii="Times New Roman" w:hAnsi="Times New Roman" w:eastAsia="仿宋_GB2312" w:cs="Times New Roman"/>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59A9B8C3">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242C42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F72F8AB">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r>
      <w:tr w14:paraId="25BEC3A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90ACA2">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0DFD4A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1DE781">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98EF4A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r>
      <w:tr w14:paraId="48DA740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F211DE">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27BAF72">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449.34</w:t>
            </w:r>
          </w:p>
        </w:tc>
        <w:tc>
          <w:tcPr>
            <w:tcW w:w="2240" w:type="dxa"/>
            <w:gridSpan w:val="2"/>
            <w:tcBorders>
              <w:top w:val="single" w:color="auto" w:sz="4" w:space="0"/>
              <w:left w:val="nil"/>
              <w:bottom w:val="single" w:color="auto" w:sz="4" w:space="0"/>
              <w:right w:val="single" w:color="000000" w:sz="4" w:space="0"/>
            </w:tcBorders>
            <w:noWrap w:val="0"/>
            <w:vAlign w:val="center"/>
          </w:tcPr>
          <w:p w14:paraId="03E49AD7">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43.03</w:t>
            </w:r>
          </w:p>
        </w:tc>
        <w:tc>
          <w:tcPr>
            <w:tcW w:w="2041" w:type="dxa"/>
            <w:gridSpan w:val="2"/>
            <w:tcBorders>
              <w:top w:val="single" w:color="auto" w:sz="4" w:space="0"/>
              <w:left w:val="nil"/>
              <w:bottom w:val="single" w:color="auto" w:sz="4" w:space="0"/>
              <w:right w:val="single" w:color="000000" w:sz="4" w:space="0"/>
            </w:tcBorders>
            <w:noWrap w:val="0"/>
            <w:vAlign w:val="center"/>
          </w:tcPr>
          <w:p w14:paraId="7CA51C9D">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908.98</w:t>
            </w:r>
          </w:p>
        </w:tc>
      </w:tr>
      <w:tr w14:paraId="07D8857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280AD6">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141FB5">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439.03</w:t>
            </w:r>
          </w:p>
        </w:tc>
        <w:tc>
          <w:tcPr>
            <w:tcW w:w="2240" w:type="dxa"/>
            <w:gridSpan w:val="2"/>
            <w:tcBorders>
              <w:top w:val="single" w:color="auto" w:sz="4" w:space="0"/>
              <w:left w:val="nil"/>
              <w:bottom w:val="single" w:color="auto" w:sz="4" w:space="0"/>
              <w:right w:val="single" w:color="000000" w:sz="4" w:space="0"/>
            </w:tcBorders>
            <w:noWrap w:val="0"/>
            <w:vAlign w:val="center"/>
          </w:tcPr>
          <w:p w14:paraId="2E213E90">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29.03</w:t>
            </w:r>
          </w:p>
        </w:tc>
        <w:tc>
          <w:tcPr>
            <w:tcW w:w="2041" w:type="dxa"/>
            <w:gridSpan w:val="2"/>
            <w:tcBorders>
              <w:top w:val="single" w:color="auto" w:sz="4" w:space="0"/>
              <w:left w:val="nil"/>
              <w:bottom w:val="single" w:color="auto" w:sz="4" w:space="0"/>
              <w:right w:val="single" w:color="000000" w:sz="4" w:space="0"/>
            </w:tcBorders>
            <w:noWrap w:val="0"/>
            <w:vAlign w:val="center"/>
          </w:tcPr>
          <w:p w14:paraId="3AE1FB6B">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90</w:t>
            </w:r>
            <w:r>
              <w:rPr>
                <w:rFonts w:hint="eastAsia" w:ascii="Times New Roman" w:hAnsi="Times New Roman" w:eastAsia="仿宋_GB2312" w:cs="Times New Roman"/>
                <w:color w:val="auto"/>
                <w:sz w:val="20"/>
                <w:szCs w:val="20"/>
                <w:lang w:val="en-US" w:eastAsia="zh-CN"/>
              </w:rPr>
              <w:t>6</w:t>
            </w:r>
            <w:r>
              <w:rPr>
                <w:rFonts w:hint="eastAsia" w:ascii="Times New Roman" w:hAnsi="Times New Roman" w:eastAsia="仿宋_GB2312" w:cs="Times New Roman"/>
                <w:color w:val="auto"/>
                <w:sz w:val="20"/>
                <w:szCs w:val="20"/>
              </w:rPr>
              <w:t>.</w:t>
            </w:r>
            <w:r>
              <w:rPr>
                <w:rFonts w:hint="eastAsia" w:ascii="Times New Roman" w:hAnsi="Times New Roman" w:eastAsia="仿宋_GB2312" w:cs="Times New Roman"/>
                <w:color w:val="auto"/>
                <w:sz w:val="20"/>
                <w:szCs w:val="20"/>
                <w:lang w:val="en-US" w:eastAsia="zh-CN"/>
              </w:rPr>
              <w:t>0</w:t>
            </w:r>
            <w:r>
              <w:rPr>
                <w:rFonts w:hint="eastAsia" w:ascii="Times New Roman" w:hAnsi="Times New Roman" w:eastAsia="仿宋_GB2312" w:cs="Times New Roman"/>
                <w:color w:val="auto"/>
                <w:sz w:val="20"/>
                <w:szCs w:val="20"/>
              </w:rPr>
              <w:t>2</w:t>
            </w:r>
          </w:p>
        </w:tc>
      </w:tr>
      <w:tr w14:paraId="025F7F3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C277E3">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DE689A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10.31</w:t>
            </w:r>
          </w:p>
        </w:tc>
        <w:tc>
          <w:tcPr>
            <w:tcW w:w="2240" w:type="dxa"/>
            <w:gridSpan w:val="2"/>
            <w:tcBorders>
              <w:top w:val="single" w:color="auto" w:sz="4" w:space="0"/>
              <w:left w:val="nil"/>
              <w:bottom w:val="single" w:color="auto" w:sz="4" w:space="0"/>
              <w:right w:val="single" w:color="000000" w:sz="4" w:space="0"/>
            </w:tcBorders>
            <w:noWrap w:val="0"/>
            <w:vAlign w:val="center"/>
          </w:tcPr>
          <w:p w14:paraId="3CE69186">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14:paraId="0A69245B">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2.96</w:t>
            </w:r>
          </w:p>
        </w:tc>
      </w:tr>
      <w:tr w14:paraId="22FCBBA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B9B2A2">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BEEF4D6">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35B8E10">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1F87888">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r>
      <w:tr w14:paraId="6C0E42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AD5A20">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5F27DA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35C1A1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583F95">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r>
      <w:tr w14:paraId="6F523F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0A84A9">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7DA186E2">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2E55B1C">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C174AEC">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p>
        </w:tc>
      </w:tr>
      <w:tr w14:paraId="6102BA08">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6E41E09">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r>
              <w:rPr>
                <w:rFonts w:hint="eastAsia" w:ascii="Times New Roman" w:hAnsi="Times New Roman" w:eastAsia="仿宋_GB2312" w:cs="Times New Roman"/>
                <w:sz w:val="20"/>
                <w:szCs w:val="20"/>
              </w:rPr>
              <w:br w:type="textWrapping"/>
            </w:r>
            <w:r>
              <w:rPr>
                <w:rFonts w:hint="eastAsia" w:ascii="Times New Roman" w:hAnsi="Times New Roman" w:eastAsia="仿宋_GB2312" w:cs="Times New Roman"/>
                <w:sz w:val="20"/>
                <w:szCs w:val="20"/>
              </w:rPr>
              <w:t>（20</w:t>
            </w:r>
            <w:r>
              <w:rPr>
                <w:rFonts w:hint="eastAsia" w:ascii="Times New Roman" w:hAnsi="Times New Roman" w:eastAsia="仿宋_GB2312" w:cs="Times New Roman"/>
                <w:sz w:val="20"/>
                <w:szCs w:val="20"/>
                <w:lang w:val="en-US" w:eastAsia="zh-CN"/>
              </w:rPr>
              <w:t>23</w:t>
            </w:r>
            <w:r>
              <w:rPr>
                <w:rFonts w:hint="eastAsia"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50B07FE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批复规模</w:t>
            </w:r>
            <w:r>
              <w:rPr>
                <w:rFonts w:hint="eastAsia" w:ascii="Times New Roman" w:hAnsi="Times New Roman" w:eastAsia="仿宋_GB2312" w:cs="Times New Roman"/>
                <w:bCs/>
                <w:color w:val="auto"/>
                <w:sz w:val="20"/>
                <w:szCs w:val="20"/>
              </w:rPr>
              <w:br w:type="textWrapping"/>
            </w:r>
            <w:r>
              <w:rPr>
                <w:rFonts w:hint="eastAsia" w:ascii="Times New Roman" w:hAnsi="Times New Roman" w:eastAsia="仿宋_GB2312" w:cs="Times New Roman"/>
                <w:bCs/>
                <w:color w:val="auto"/>
                <w:sz w:val="20"/>
                <w:szCs w:val="20"/>
              </w:rPr>
              <w:t>（㎡）</w:t>
            </w:r>
          </w:p>
        </w:tc>
        <w:tc>
          <w:tcPr>
            <w:tcW w:w="849" w:type="dxa"/>
            <w:tcBorders>
              <w:top w:val="nil"/>
              <w:left w:val="nil"/>
              <w:bottom w:val="single" w:color="auto" w:sz="4" w:space="0"/>
              <w:right w:val="single" w:color="auto" w:sz="4" w:space="0"/>
            </w:tcBorders>
            <w:noWrap w:val="0"/>
            <w:vAlign w:val="center"/>
          </w:tcPr>
          <w:p w14:paraId="171615B3">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实际规模（㎡）</w:t>
            </w:r>
          </w:p>
        </w:tc>
        <w:tc>
          <w:tcPr>
            <w:tcW w:w="1129" w:type="dxa"/>
            <w:tcBorders>
              <w:top w:val="nil"/>
              <w:left w:val="nil"/>
              <w:bottom w:val="single" w:color="auto" w:sz="4" w:space="0"/>
              <w:right w:val="single" w:color="auto" w:sz="4" w:space="0"/>
            </w:tcBorders>
            <w:noWrap w:val="0"/>
            <w:vAlign w:val="center"/>
          </w:tcPr>
          <w:p w14:paraId="22F9A2CD">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规模控制率</w:t>
            </w:r>
          </w:p>
        </w:tc>
        <w:tc>
          <w:tcPr>
            <w:tcW w:w="1111" w:type="dxa"/>
            <w:tcBorders>
              <w:top w:val="nil"/>
              <w:left w:val="nil"/>
              <w:bottom w:val="single" w:color="auto" w:sz="4" w:space="0"/>
              <w:right w:val="single" w:color="auto" w:sz="4" w:space="0"/>
            </w:tcBorders>
            <w:noWrap w:val="0"/>
            <w:vAlign w:val="center"/>
          </w:tcPr>
          <w:p w14:paraId="7CB0C97D">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预算投资（万元）</w:t>
            </w:r>
          </w:p>
        </w:tc>
        <w:tc>
          <w:tcPr>
            <w:tcW w:w="1081" w:type="dxa"/>
            <w:tcBorders>
              <w:top w:val="nil"/>
              <w:left w:val="nil"/>
              <w:bottom w:val="single" w:color="auto" w:sz="4" w:space="0"/>
              <w:right w:val="single" w:color="auto" w:sz="4" w:space="0"/>
            </w:tcBorders>
            <w:noWrap w:val="0"/>
            <w:vAlign w:val="center"/>
          </w:tcPr>
          <w:p w14:paraId="7940F481">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实际投资（万元）</w:t>
            </w:r>
          </w:p>
        </w:tc>
        <w:tc>
          <w:tcPr>
            <w:tcW w:w="960" w:type="dxa"/>
            <w:tcBorders>
              <w:top w:val="nil"/>
              <w:left w:val="nil"/>
              <w:bottom w:val="single" w:color="auto" w:sz="4" w:space="0"/>
              <w:right w:val="single" w:color="auto" w:sz="4" w:space="0"/>
            </w:tcBorders>
            <w:noWrap w:val="0"/>
            <w:vAlign w:val="center"/>
          </w:tcPr>
          <w:p w14:paraId="7CD36DF5">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bCs/>
                <w:color w:val="auto"/>
                <w:sz w:val="20"/>
                <w:szCs w:val="20"/>
              </w:rPr>
            </w:pPr>
            <w:r>
              <w:rPr>
                <w:rFonts w:hint="eastAsia" w:ascii="Times New Roman" w:hAnsi="Times New Roman" w:eastAsia="仿宋_GB2312" w:cs="Times New Roman"/>
                <w:bCs/>
                <w:color w:val="auto"/>
                <w:sz w:val="20"/>
                <w:szCs w:val="20"/>
              </w:rPr>
              <w:t>投资概算控制率</w:t>
            </w:r>
          </w:p>
        </w:tc>
      </w:tr>
      <w:tr w14:paraId="7124504D">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9A33536">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17DCF6CA">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14:paraId="44392174">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75B95A0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1F41F9CF">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79B11AE7">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14:paraId="5896D0B9">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3C8CD0A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7400F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F90EC63">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厉行节约，严格按要求压减一般性支出　</w:t>
            </w:r>
          </w:p>
        </w:tc>
      </w:tr>
    </w:tbl>
    <w:p w14:paraId="6B7B8874">
      <w:pPr>
        <w:widowControl/>
        <w:spacing w:afterLines="0" w:line="400" w:lineRule="exact"/>
        <w:jc w:val="left"/>
        <w:rPr>
          <w:rFonts w:hint="default" w:ascii="Times New Roman" w:hAnsi="Times New Roman" w:eastAsia="仿宋_GB2312" w:cs="Times New Roman"/>
          <w:color w:val="auto"/>
          <w:sz w:val="22"/>
        </w:rPr>
      </w:pPr>
      <w:r>
        <w:rPr>
          <w:rFonts w:hint="default"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填报基本支出中的一般商品和服务支出。</w:t>
      </w:r>
    </w:p>
    <w:p w14:paraId="52F054F0">
      <w:pPr>
        <w:tabs>
          <w:tab w:val="left" w:pos="7560"/>
        </w:tabs>
        <w:adjustRightInd w:val="0"/>
        <w:snapToGrid w:val="0"/>
        <w:spacing w:line="560" w:lineRule="exact"/>
        <w:rPr>
          <w:rFonts w:hint="default" w:ascii="Times New Roman" w:hAnsi="Times New Roman" w:eastAsia="仿宋_GB2312" w:cs="Times New Roman"/>
          <w:kern w:val="2"/>
          <w:sz w:val="22"/>
          <w:szCs w:val="22"/>
        </w:rPr>
        <w:sectPr>
          <w:pgSz w:w="11906" w:h="16838"/>
          <w:pgMar w:top="2098" w:right="1531" w:bottom="1984" w:left="1531" w:header="851" w:footer="1587" w:gutter="0"/>
          <w:pgNumType w:fmt="decimal"/>
          <w:cols w:space="720" w:num="1"/>
          <w:rtlGutter w:val="0"/>
          <w:docGrid w:linePitch="312" w:charSpace="0"/>
        </w:sectPr>
      </w:pPr>
      <w:r>
        <w:rPr>
          <w:rFonts w:hint="default" w:ascii="Times New Roman" w:hAnsi="Times New Roman" w:eastAsia="仿宋_GB2312" w:cs="Times New Roman"/>
          <w:kern w:val="2"/>
          <w:sz w:val="22"/>
          <w:szCs w:val="22"/>
        </w:rPr>
        <w:t>填表人：</w:t>
      </w:r>
      <w:r>
        <w:rPr>
          <w:rFonts w:hint="eastAsia" w:ascii="Times New Roman" w:hAnsi="Times New Roman" w:eastAsia="仿宋_GB2312" w:cs="Times New Roman"/>
          <w:kern w:val="2"/>
          <w:sz w:val="22"/>
          <w:szCs w:val="22"/>
          <w:lang w:val="en-US" w:eastAsia="zh-CN"/>
        </w:rPr>
        <w:t>林雅婷</w:t>
      </w:r>
      <w:r>
        <w:rPr>
          <w:rFonts w:hint="default" w:ascii="Times New Roman" w:hAnsi="Times New Roman" w:eastAsia="仿宋_GB2312" w:cs="Times New Roman"/>
          <w:kern w:val="2"/>
          <w:sz w:val="22"/>
          <w:szCs w:val="22"/>
        </w:rPr>
        <w:t xml:space="preserve"> 填报日期：</w:t>
      </w:r>
      <w:r>
        <w:rPr>
          <w:rFonts w:hint="eastAsia" w:ascii="Times New Roman" w:hAnsi="Times New Roman" w:eastAsia="仿宋_GB2312" w:cs="Times New Roman"/>
          <w:kern w:val="2"/>
          <w:sz w:val="22"/>
          <w:szCs w:val="22"/>
          <w:lang w:val="en-US" w:eastAsia="zh-CN"/>
        </w:rPr>
        <w:t xml:space="preserve">         </w:t>
      </w:r>
      <w:r>
        <w:rPr>
          <w:rFonts w:hint="default" w:ascii="Times New Roman" w:hAnsi="Times New Roman" w:eastAsia="仿宋_GB2312" w:cs="Times New Roman"/>
          <w:kern w:val="2"/>
          <w:sz w:val="22"/>
          <w:szCs w:val="22"/>
        </w:rPr>
        <w:t>联系电话：28287125 单位负责人签字：周仁仁</w:t>
      </w:r>
    </w:p>
    <w:p w14:paraId="40452494">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56D8F0B7">
      <w:pPr>
        <w:widowControl/>
        <w:spacing w:after="120" w:afterLines="50"/>
        <w:jc w:val="center"/>
        <w:rPr>
          <w:rFonts w:hint="eastAsia" w:ascii="Times New Roman" w:hAnsi="Times New Roman" w:eastAsia="方正小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Layout w:type="autofit"/>
        <w:tblCellMar>
          <w:top w:w="0" w:type="dxa"/>
          <w:left w:w="108" w:type="dxa"/>
          <w:bottom w:w="0" w:type="dxa"/>
          <w:right w:w="108" w:type="dxa"/>
        </w:tblCellMar>
      </w:tblPr>
      <w:tblGrid>
        <w:gridCol w:w="1074"/>
        <w:gridCol w:w="1074"/>
        <w:gridCol w:w="1027"/>
        <w:gridCol w:w="1265"/>
        <w:gridCol w:w="1311"/>
        <w:gridCol w:w="1264"/>
        <w:gridCol w:w="714"/>
        <w:gridCol w:w="916"/>
        <w:gridCol w:w="1434"/>
      </w:tblGrid>
      <w:tr w14:paraId="7FF95970">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423C6826">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级预算部门名称</w:t>
            </w:r>
          </w:p>
        </w:tc>
        <w:tc>
          <w:tcPr>
            <w:tcW w:w="9005" w:type="dxa"/>
            <w:gridSpan w:val="8"/>
            <w:tcBorders>
              <w:top w:val="single" w:color="auto" w:sz="4" w:space="0"/>
              <w:left w:val="nil"/>
              <w:bottom w:val="single" w:color="auto" w:sz="4" w:space="0"/>
              <w:right w:val="single" w:color="auto" w:sz="4" w:space="0"/>
            </w:tcBorders>
            <w:noWrap w:val="0"/>
            <w:vAlign w:val="center"/>
          </w:tcPr>
          <w:p w14:paraId="5204F355">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株洲市芦凇区庆云街道办事处</w:t>
            </w:r>
          </w:p>
        </w:tc>
      </w:tr>
      <w:tr w14:paraId="39465BFE">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7A329CD2">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年度预</w:t>
            </w:r>
          </w:p>
          <w:p w14:paraId="7E261EDD">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算申请</w:t>
            </w:r>
            <w:r>
              <w:rPr>
                <w:rFonts w:hint="eastAsia" w:ascii="Times New Roman" w:hAnsi="Times New Roman" w:eastAsia="仿宋_GB2312" w:cs="Times New Roman"/>
                <w:color w:val="auto"/>
                <w:sz w:val="20"/>
                <w:szCs w:val="20"/>
              </w:rPr>
              <w:br w:type="textWrapping"/>
            </w:r>
            <w:r>
              <w:rPr>
                <w:rFonts w:hint="eastAsia" w:ascii="Times New Roman" w:hAnsi="Times New Roman" w:eastAsia="仿宋_GB2312" w:cs="Times New Roman"/>
                <w:color w:val="auto"/>
                <w:sz w:val="20"/>
                <w:szCs w:val="20"/>
              </w:rPr>
              <w:t>（万元）</w:t>
            </w:r>
          </w:p>
        </w:tc>
        <w:tc>
          <w:tcPr>
            <w:tcW w:w="2101" w:type="dxa"/>
            <w:gridSpan w:val="2"/>
            <w:tcBorders>
              <w:top w:val="nil"/>
              <w:left w:val="nil"/>
              <w:bottom w:val="single" w:color="auto" w:sz="4" w:space="0"/>
              <w:right w:val="single" w:color="auto" w:sz="4" w:space="0"/>
            </w:tcBorders>
            <w:noWrap w:val="0"/>
            <w:vAlign w:val="center"/>
          </w:tcPr>
          <w:p w14:paraId="68F9475D">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p>
        </w:tc>
        <w:tc>
          <w:tcPr>
            <w:tcW w:w="1265" w:type="dxa"/>
            <w:tcBorders>
              <w:top w:val="nil"/>
              <w:left w:val="nil"/>
              <w:bottom w:val="single" w:color="auto" w:sz="4" w:space="0"/>
              <w:right w:val="single" w:color="auto" w:sz="4" w:space="0"/>
            </w:tcBorders>
            <w:noWrap w:val="0"/>
            <w:vAlign w:val="center"/>
          </w:tcPr>
          <w:p w14:paraId="4C33D5DD">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年初预算数</w:t>
            </w:r>
          </w:p>
        </w:tc>
        <w:tc>
          <w:tcPr>
            <w:tcW w:w="1311" w:type="dxa"/>
            <w:tcBorders>
              <w:top w:val="nil"/>
              <w:left w:val="nil"/>
              <w:bottom w:val="single" w:color="auto" w:sz="4" w:space="0"/>
              <w:right w:val="single" w:color="auto" w:sz="4" w:space="0"/>
            </w:tcBorders>
            <w:noWrap w:val="0"/>
            <w:vAlign w:val="center"/>
          </w:tcPr>
          <w:p w14:paraId="5D4ACC6F">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全年预算数</w:t>
            </w:r>
          </w:p>
        </w:tc>
        <w:tc>
          <w:tcPr>
            <w:tcW w:w="1264" w:type="dxa"/>
            <w:tcBorders>
              <w:top w:val="nil"/>
              <w:left w:val="nil"/>
              <w:bottom w:val="single" w:color="auto" w:sz="4" w:space="0"/>
              <w:right w:val="single" w:color="auto" w:sz="4" w:space="0"/>
            </w:tcBorders>
            <w:noWrap w:val="0"/>
            <w:vAlign w:val="center"/>
          </w:tcPr>
          <w:p w14:paraId="3F0269CB">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全年执行数</w:t>
            </w:r>
          </w:p>
        </w:tc>
        <w:tc>
          <w:tcPr>
            <w:tcW w:w="714" w:type="dxa"/>
            <w:tcBorders>
              <w:top w:val="nil"/>
              <w:left w:val="nil"/>
              <w:bottom w:val="single" w:color="auto" w:sz="4" w:space="0"/>
              <w:right w:val="single" w:color="auto" w:sz="4" w:space="0"/>
            </w:tcBorders>
            <w:noWrap w:val="0"/>
            <w:vAlign w:val="center"/>
          </w:tcPr>
          <w:p w14:paraId="43E9569D">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916" w:type="dxa"/>
            <w:tcBorders>
              <w:top w:val="nil"/>
              <w:left w:val="nil"/>
              <w:bottom w:val="single" w:color="auto" w:sz="4" w:space="0"/>
              <w:right w:val="single" w:color="auto" w:sz="4" w:space="0"/>
            </w:tcBorders>
            <w:noWrap w:val="0"/>
            <w:vAlign w:val="center"/>
          </w:tcPr>
          <w:p w14:paraId="717C260A">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34" w:type="dxa"/>
            <w:tcBorders>
              <w:top w:val="nil"/>
              <w:left w:val="nil"/>
              <w:bottom w:val="single" w:color="auto" w:sz="4" w:space="0"/>
              <w:right w:val="single" w:color="auto" w:sz="4" w:space="0"/>
            </w:tcBorders>
            <w:noWrap w:val="0"/>
            <w:vAlign w:val="center"/>
          </w:tcPr>
          <w:p w14:paraId="0AFE4FC6">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2AAF680F">
        <w:tblPrEx>
          <w:tblCellMar>
            <w:top w:w="0" w:type="dxa"/>
            <w:left w:w="108" w:type="dxa"/>
            <w:bottom w:w="0" w:type="dxa"/>
            <w:right w:w="108" w:type="dxa"/>
          </w:tblCellMar>
        </w:tblPrEx>
        <w:trPr>
          <w:jc w:val="center"/>
        </w:trPr>
        <w:tc>
          <w:tcPr>
            <w:tcW w:w="1074" w:type="dxa"/>
            <w:vMerge w:val="continue"/>
            <w:tcBorders>
              <w:top w:val="nil"/>
              <w:left w:val="single" w:color="auto" w:sz="4" w:space="0"/>
              <w:right w:val="single" w:color="auto" w:sz="4" w:space="0"/>
            </w:tcBorders>
            <w:noWrap w:val="0"/>
            <w:vAlign w:val="center"/>
          </w:tcPr>
          <w:p w14:paraId="641B34D8">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p>
        </w:tc>
        <w:tc>
          <w:tcPr>
            <w:tcW w:w="2101" w:type="dxa"/>
            <w:gridSpan w:val="2"/>
            <w:tcBorders>
              <w:top w:val="nil"/>
              <w:left w:val="nil"/>
              <w:bottom w:val="single" w:color="auto" w:sz="4" w:space="0"/>
              <w:right w:val="single" w:color="auto" w:sz="4" w:space="0"/>
            </w:tcBorders>
            <w:noWrap w:val="0"/>
            <w:vAlign w:val="center"/>
          </w:tcPr>
          <w:p w14:paraId="4D130A14">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年度资金总额</w:t>
            </w:r>
          </w:p>
        </w:tc>
        <w:tc>
          <w:tcPr>
            <w:tcW w:w="1265" w:type="dxa"/>
            <w:tcBorders>
              <w:top w:val="nil"/>
              <w:left w:val="nil"/>
              <w:bottom w:val="single" w:color="auto" w:sz="4" w:space="0"/>
              <w:right w:val="single" w:color="auto" w:sz="4" w:space="0"/>
            </w:tcBorders>
            <w:noWrap w:val="0"/>
            <w:vAlign w:val="center"/>
          </w:tcPr>
          <w:p w14:paraId="4771A2F7">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514.55</w:t>
            </w:r>
          </w:p>
        </w:tc>
        <w:tc>
          <w:tcPr>
            <w:tcW w:w="1311" w:type="dxa"/>
            <w:tcBorders>
              <w:top w:val="nil"/>
              <w:left w:val="nil"/>
              <w:bottom w:val="single" w:color="auto" w:sz="4" w:space="0"/>
              <w:right w:val="single" w:color="auto" w:sz="4" w:space="0"/>
            </w:tcBorders>
            <w:noWrap w:val="0"/>
            <w:vAlign w:val="center"/>
          </w:tcPr>
          <w:p w14:paraId="130144E8">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2079.13</w:t>
            </w:r>
          </w:p>
        </w:tc>
        <w:tc>
          <w:tcPr>
            <w:tcW w:w="1264" w:type="dxa"/>
            <w:tcBorders>
              <w:top w:val="nil"/>
              <w:left w:val="nil"/>
              <w:bottom w:val="single" w:color="auto" w:sz="4" w:space="0"/>
              <w:right w:val="single" w:color="auto" w:sz="4" w:space="0"/>
            </w:tcBorders>
            <w:noWrap w:val="0"/>
            <w:vAlign w:val="center"/>
          </w:tcPr>
          <w:p w14:paraId="0202DFA6">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1575.86</w:t>
            </w:r>
          </w:p>
        </w:tc>
        <w:tc>
          <w:tcPr>
            <w:tcW w:w="714" w:type="dxa"/>
            <w:tcBorders>
              <w:top w:val="nil"/>
              <w:left w:val="nil"/>
              <w:bottom w:val="single" w:color="auto" w:sz="4" w:space="0"/>
              <w:right w:val="single" w:color="auto" w:sz="4" w:space="0"/>
            </w:tcBorders>
            <w:noWrap w:val="0"/>
            <w:vAlign w:val="center"/>
          </w:tcPr>
          <w:p w14:paraId="00CDBB3E">
            <w:pPr>
              <w:keepNext w:val="0"/>
              <w:keepLines w:val="0"/>
              <w:suppressLineNumbers w:val="0"/>
              <w:spacing w:before="0" w:beforeAutospacing="0" w:after="0" w:afterAutospacing="0" w:line="240" w:lineRule="exact"/>
              <w:ind w:left="0" w:right="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916" w:type="dxa"/>
            <w:tcBorders>
              <w:top w:val="nil"/>
              <w:left w:val="nil"/>
              <w:bottom w:val="single" w:color="auto" w:sz="4" w:space="0"/>
              <w:right w:val="single" w:color="auto" w:sz="4" w:space="0"/>
            </w:tcBorders>
            <w:noWrap w:val="0"/>
            <w:vAlign w:val="center"/>
          </w:tcPr>
          <w:p w14:paraId="4B705A2D">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76%</w:t>
            </w:r>
          </w:p>
        </w:tc>
        <w:tc>
          <w:tcPr>
            <w:tcW w:w="1434" w:type="dxa"/>
            <w:tcBorders>
              <w:top w:val="nil"/>
              <w:left w:val="nil"/>
              <w:bottom w:val="single" w:color="auto" w:sz="4" w:space="0"/>
              <w:right w:val="single" w:color="auto" w:sz="4" w:space="0"/>
            </w:tcBorders>
            <w:noWrap w:val="0"/>
            <w:vAlign w:val="center"/>
          </w:tcPr>
          <w:p w14:paraId="01840BE4">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7.6</w:t>
            </w:r>
          </w:p>
        </w:tc>
      </w:tr>
      <w:tr w14:paraId="199F7745">
        <w:tblPrEx>
          <w:tblCellMar>
            <w:top w:w="0" w:type="dxa"/>
            <w:left w:w="108" w:type="dxa"/>
            <w:bottom w:w="0" w:type="dxa"/>
            <w:right w:w="108" w:type="dxa"/>
          </w:tblCellMar>
        </w:tblPrEx>
        <w:trPr>
          <w:trHeight w:val="202" w:hRule="atLeast"/>
          <w:jc w:val="center"/>
        </w:trPr>
        <w:tc>
          <w:tcPr>
            <w:tcW w:w="1074" w:type="dxa"/>
            <w:vMerge w:val="continue"/>
            <w:tcBorders>
              <w:left w:val="single" w:color="auto" w:sz="4" w:space="0"/>
              <w:right w:val="single" w:color="auto" w:sz="4" w:space="0"/>
            </w:tcBorders>
            <w:noWrap w:val="0"/>
            <w:vAlign w:val="center"/>
          </w:tcPr>
          <w:p w14:paraId="13C5C400">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auto"/>
                <w:sz w:val="20"/>
                <w:szCs w:val="20"/>
              </w:rPr>
            </w:pPr>
          </w:p>
        </w:tc>
        <w:tc>
          <w:tcPr>
            <w:tcW w:w="4677" w:type="dxa"/>
            <w:gridSpan w:val="4"/>
            <w:tcBorders>
              <w:top w:val="nil"/>
              <w:left w:val="nil"/>
              <w:bottom w:val="single" w:color="auto" w:sz="4" w:space="0"/>
              <w:right w:val="single" w:color="auto" w:sz="4" w:space="0"/>
            </w:tcBorders>
            <w:noWrap w:val="0"/>
            <w:vAlign w:val="center"/>
          </w:tcPr>
          <w:p w14:paraId="2C8DF648">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按收入性质分：</w:t>
            </w:r>
          </w:p>
        </w:tc>
        <w:tc>
          <w:tcPr>
            <w:tcW w:w="4328" w:type="dxa"/>
            <w:gridSpan w:val="4"/>
            <w:tcBorders>
              <w:top w:val="nil"/>
              <w:left w:val="nil"/>
              <w:bottom w:val="single" w:color="auto" w:sz="4" w:space="0"/>
              <w:right w:val="single" w:color="auto" w:sz="4" w:space="0"/>
            </w:tcBorders>
            <w:noWrap w:val="0"/>
            <w:vAlign w:val="center"/>
          </w:tcPr>
          <w:p w14:paraId="34808BFF">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53EAD71D">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26FD5C7">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auto"/>
                <w:sz w:val="20"/>
                <w:szCs w:val="20"/>
              </w:rPr>
            </w:pPr>
          </w:p>
        </w:tc>
        <w:tc>
          <w:tcPr>
            <w:tcW w:w="4677" w:type="dxa"/>
            <w:gridSpan w:val="4"/>
            <w:tcBorders>
              <w:top w:val="nil"/>
              <w:left w:val="nil"/>
              <w:bottom w:val="single" w:color="auto" w:sz="4" w:space="0"/>
              <w:right w:val="single" w:color="auto" w:sz="4" w:space="0"/>
            </w:tcBorders>
            <w:noWrap w:val="0"/>
            <w:vAlign w:val="center"/>
          </w:tcPr>
          <w:p w14:paraId="58EFBE4B">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 xml:space="preserve">  其中：  一般公共预算：</w:t>
            </w:r>
            <w:r>
              <w:rPr>
                <w:rFonts w:hint="eastAsia" w:ascii="Times New Roman" w:hAnsi="Times New Roman" w:eastAsia="仿宋_GB2312" w:cs="Times New Roman"/>
                <w:color w:val="auto"/>
                <w:sz w:val="20"/>
                <w:szCs w:val="20"/>
                <w:lang w:val="en-US" w:eastAsia="zh-CN"/>
              </w:rPr>
              <w:t>2071.13</w:t>
            </w:r>
          </w:p>
        </w:tc>
        <w:tc>
          <w:tcPr>
            <w:tcW w:w="4328" w:type="dxa"/>
            <w:gridSpan w:val="4"/>
            <w:tcBorders>
              <w:top w:val="nil"/>
              <w:left w:val="nil"/>
              <w:bottom w:val="single" w:color="auto" w:sz="4" w:space="0"/>
              <w:right w:val="single" w:color="auto" w:sz="4" w:space="0"/>
            </w:tcBorders>
            <w:noWrap w:val="0"/>
            <w:vAlign w:val="center"/>
          </w:tcPr>
          <w:p w14:paraId="62B26F3B">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rPr>
              <w:t>其中：基本支出：</w:t>
            </w:r>
            <w:r>
              <w:rPr>
                <w:rFonts w:hint="eastAsia" w:ascii="Times New Roman" w:hAnsi="Times New Roman" w:eastAsia="仿宋_GB2312" w:cs="Times New Roman"/>
                <w:color w:val="auto"/>
                <w:sz w:val="20"/>
                <w:szCs w:val="20"/>
                <w:lang w:val="en-US" w:eastAsia="zh-CN"/>
              </w:rPr>
              <w:t>2079.13</w:t>
            </w:r>
          </w:p>
        </w:tc>
      </w:tr>
      <w:tr w14:paraId="730987B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DDEA753">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4677" w:type="dxa"/>
            <w:gridSpan w:val="4"/>
            <w:tcBorders>
              <w:top w:val="nil"/>
              <w:left w:val="nil"/>
              <w:bottom w:val="single" w:color="auto" w:sz="4" w:space="0"/>
              <w:right w:val="single" w:color="auto" w:sz="4" w:space="0"/>
            </w:tcBorders>
            <w:noWrap w:val="0"/>
            <w:vAlign w:val="center"/>
          </w:tcPr>
          <w:p w14:paraId="5308E69C">
            <w:pPr>
              <w:keepNext w:val="0"/>
              <w:keepLines w:val="0"/>
              <w:widowControl/>
              <w:suppressLineNumbers w:val="0"/>
              <w:spacing w:before="0" w:beforeAutospacing="0" w:after="0" w:afterAutospacing="0" w:line="240" w:lineRule="exact"/>
              <w:ind w:left="0" w:right="0" w:firstLine="800" w:firstLineChars="400"/>
              <w:jc w:val="left"/>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政府性基金拨款：8</w:t>
            </w:r>
          </w:p>
        </w:tc>
        <w:tc>
          <w:tcPr>
            <w:tcW w:w="4328" w:type="dxa"/>
            <w:gridSpan w:val="4"/>
            <w:tcBorders>
              <w:top w:val="nil"/>
              <w:left w:val="nil"/>
              <w:bottom w:val="single" w:color="auto" w:sz="4" w:space="0"/>
              <w:right w:val="single" w:color="auto" w:sz="4" w:space="0"/>
            </w:tcBorders>
            <w:noWrap w:val="0"/>
            <w:vAlign w:val="center"/>
          </w:tcPr>
          <w:p w14:paraId="2BD90220">
            <w:pPr>
              <w:keepNext w:val="0"/>
              <w:keepLines w:val="0"/>
              <w:widowControl/>
              <w:suppressLineNumbers w:val="0"/>
              <w:spacing w:before="0" w:beforeAutospacing="0" w:after="0" w:afterAutospacing="0" w:line="240" w:lineRule="exact"/>
              <w:ind w:left="0" w:right="0" w:firstLine="600" w:firstLineChars="300"/>
              <w:jc w:val="left"/>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项目支出：0</w:t>
            </w:r>
          </w:p>
        </w:tc>
      </w:tr>
      <w:tr w14:paraId="005F4ACB">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BBBAD90">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4677" w:type="dxa"/>
            <w:gridSpan w:val="4"/>
            <w:tcBorders>
              <w:top w:val="nil"/>
              <w:left w:val="nil"/>
              <w:bottom w:val="single" w:color="auto" w:sz="4" w:space="0"/>
              <w:right w:val="single" w:color="auto" w:sz="4" w:space="0"/>
            </w:tcBorders>
            <w:noWrap w:val="0"/>
            <w:vAlign w:val="center"/>
          </w:tcPr>
          <w:p w14:paraId="7CEE5057">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28" w:type="dxa"/>
            <w:gridSpan w:val="4"/>
            <w:tcBorders>
              <w:top w:val="nil"/>
              <w:left w:val="nil"/>
              <w:bottom w:val="single" w:color="auto" w:sz="4" w:space="0"/>
              <w:right w:val="single" w:color="auto" w:sz="4" w:space="0"/>
            </w:tcBorders>
            <w:noWrap w:val="0"/>
            <w:vAlign w:val="center"/>
          </w:tcPr>
          <w:p w14:paraId="26FC6367">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r>
      <w:tr w14:paraId="14FB6A47">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000000" w:sz="4" w:space="0"/>
              <w:right w:val="single" w:color="auto" w:sz="4" w:space="0"/>
            </w:tcBorders>
            <w:noWrap w:val="0"/>
            <w:vAlign w:val="center"/>
          </w:tcPr>
          <w:p w14:paraId="1F37553D">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4677" w:type="dxa"/>
            <w:gridSpan w:val="4"/>
            <w:tcBorders>
              <w:top w:val="nil"/>
              <w:left w:val="nil"/>
              <w:bottom w:val="single" w:color="auto" w:sz="4" w:space="0"/>
              <w:right w:val="single" w:color="auto" w:sz="4" w:space="0"/>
            </w:tcBorders>
            <w:noWrap w:val="0"/>
            <w:vAlign w:val="center"/>
          </w:tcPr>
          <w:p w14:paraId="6A72980B">
            <w:pPr>
              <w:keepNext w:val="0"/>
              <w:keepLines w:val="0"/>
              <w:widowControl/>
              <w:suppressLineNumbers w:val="0"/>
              <w:spacing w:before="0" w:beforeAutospacing="0" w:after="0" w:afterAutospacing="0" w:line="240" w:lineRule="exact"/>
              <w:ind w:left="0" w:right="0"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其他资金：0</w:t>
            </w:r>
          </w:p>
        </w:tc>
        <w:tc>
          <w:tcPr>
            <w:tcW w:w="4328" w:type="dxa"/>
            <w:gridSpan w:val="4"/>
            <w:tcBorders>
              <w:top w:val="nil"/>
              <w:left w:val="nil"/>
              <w:bottom w:val="single" w:color="auto" w:sz="4" w:space="0"/>
              <w:right w:val="single" w:color="auto" w:sz="4" w:space="0"/>
            </w:tcBorders>
            <w:noWrap w:val="0"/>
            <w:vAlign w:val="center"/>
          </w:tcPr>
          <w:p w14:paraId="78836936">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r>
      <w:tr w14:paraId="204BBDC5">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21EE627D">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77" w:type="dxa"/>
            <w:gridSpan w:val="4"/>
            <w:tcBorders>
              <w:top w:val="single" w:color="auto" w:sz="4" w:space="0"/>
              <w:left w:val="nil"/>
              <w:bottom w:val="single" w:color="auto" w:sz="4" w:space="0"/>
              <w:right w:val="single" w:color="000000" w:sz="4" w:space="0"/>
            </w:tcBorders>
            <w:noWrap w:val="0"/>
            <w:vAlign w:val="center"/>
          </w:tcPr>
          <w:p w14:paraId="2A7CD8C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28" w:type="dxa"/>
            <w:gridSpan w:val="4"/>
            <w:tcBorders>
              <w:top w:val="single" w:color="auto" w:sz="4" w:space="0"/>
              <w:left w:val="nil"/>
              <w:bottom w:val="single" w:color="auto" w:sz="4" w:space="0"/>
              <w:right w:val="single" w:color="auto" w:sz="4" w:space="0"/>
            </w:tcBorders>
            <w:noWrap w:val="0"/>
            <w:vAlign w:val="center"/>
          </w:tcPr>
          <w:p w14:paraId="6463ACE6">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6ADF6D9C">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369B5A85">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4677" w:type="dxa"/>
            <w:gridSpan w:val="4"/>
            <w:tcBorders>
              <w:top w:val="single" w:color="auto" w:sz="4" w:space="0"/>
              <w:left w:val="nil"/>
              <w:bottom w:val="single" w:color="auto" w:sz="4" w:space="0"/>
              <w:right w:val="single" w:color="000000" w:sz="4" w:space="0"/>
            </w:tcBorders>
            <w:noWrap w:val="0"/>
            <w:vAlign w:val="center"/>
          </w:tcPr>
          <w:p w14:paraId="5AAF1CAD">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kern w:val="2"/>
                <w:sz w:val="20"/>
                <w:szCs w:val="20"/>
                <w:lang w:val="en-US" w:eastAsia="zh-CN" w:bidi="ar-SA"/>
              </w:rPr>
              <w:t>1.</w:t>
            </w:r>
            <w:r>
              <w:rPr>
                <w:rFonts w:hint="default" w:ascii="Times New Roman" w:hAnsi="Times New Roman" w:eastAsia="仿宋_GB2312" w:cs="Times New Roman"/>
                <w:kern w:val="2"/>
                <w:sz w:val="20"/>
                <w:szCs w:val="20"/>
                <w:lang w:val="en-US" w:eastAsia="zh-CN" w:bidi="ar-SA"/>
              </w:rPr>
              <w:t>持续加强党的建设</w:t>
            </w:r>
            <w:r>
              <w:rPr>
                <w:rFonts w:hint="eastAsia" w:ascii="Times New Roman" w:hAnsi="Times New Roman" w:eastAsia="仿宋_GB2312" w:cs="Times New Roman"/>
                <w:kern w:val="2"/>
                <w:sz w:val="20"/>
                <w:szCs w:val="20"/>
                <w:lang w:val="en-US" w:eastAsia="zh-CN" w:bidi="ar-SA"/>
              </w:rPr>
              <w:t>；2.</w:t>
            </w:r>
            <w:r>
              <w:rPr>
                <w:rFonts w:hint="default" w:ascii="Times New Roman" w:hAnsi="Times New Roman" w:eastAsia="仿宋_GB2312" w:cs="Times New Roman"/>
                <w:kern w:val="2"/>
                <w:sz w:val="20"/>
                <w:szCs w:val="20"/>
                <w:lang w:val="en-US" w:eastAsia="zh-CN" w:bidi="ar-SA"/>
              </w:rPr>
              <w:t>做好民生日常服务工作，不断提高服务水平</w:t>
            </w:r>
            <w:r>
              <w:rPr>
                <w:rFonts w:hint="eastAsia" w:ascii="Times New Roman" w:hAnsi="Times New Roman" w:eastAsia="仿宋_GB2312" w:cs="Times New Roman"/>
                <w:kern w:val="2"/>
                <w:sz w:val="20"/>
                <w:szCs w:val="20"/>
                <w:lang w:val="en-US" w:eastAsia="zh-CN" w:bidi="ar-SA"/>
              </w:rPr>
              <w:t>；3.</w:t>
            </w:r>
            <w:r>
              <w:rPr>
                <w:rFonts w:hint="default" w:ascii="Times New Roman" w:hAnsi="Times New Roman" w:eastAsia="仿宋_GB2312" w:cs="Times New Roman"/>
                <w:kern w:val="2"/>
                <w:sz w:val="20"/>
                <w:szCs w:val="20"/>
                <w:lang w:val="en-US" w:eastAsia="zh-CN" w:bidi="ar-SA"/>
              </w:rPr>
              <w:t>加强政策宣传，提高卫生健康水平</w:t>
            </w:r>
            <w:r>
              <w:rPr>
                <w:rFonts w:hint="eastAsia" w:ascii="Times New Roman" w:hAnsi="Times New Roman" w:eastAsia="仿宋_GB2312" w:cs="Times New Roman"/>
                <w:kern w:val="2"/>
                <w:sz w:val="20"/>
                <w:szCs w:val="20"/>
                <w:lang w:val="en-US" w:eastAsia="zh-CN" w:bidi="ar-SA"/>
              </w:rPr>
              <w:t>；4.</w:t>
            </w:r>
            <w:r>
              <w:rPr>
                <w:rFonts w:hint="default" w:ascii="Times New Roman" w:hAnsi="Times New Roman" w:eastAsia="仿宋_GB2312" w:cs="Times New Roman"/>
                <w:kern w:val="2"/>
                <w:sz w:val="20"/>
                <w:szCs w:val="20"/>
                <w:lang w:val="en-US" w:eastAsia="zh-CN" w:bidi="ar-SA"/>
              </w:rPr>
              <w:t>完成临时救助、低保户管理工作</w:t>
            </w:r>
            <w:r>
              <w:rPr>
                <w:rFonts w:hint="eastAsia" w:ascii="Times New Roman" w:hAnsi="Times New Roman" w:eastAsia="仿宋_GB2312" w:cs="Times New Roman"/>
                <w:kern w:val="2"/>
                <w:sz w:val="20"/>
                <w:szCs w:val="20"/>
                <w:lang w:val="en-US" w:eastAsia="zh-CN" w:bidi="ar-SA"/>
              </w:rPr>
              <w:t>；5.</w:t>
            </w:r>
            <w:r>
              <w:rPr>
                <w:rFonts w:hint="default" w:ascii="Times New Roman" w:hAnsi="Times New Roman" w:eastAsia="仿宋_GB2312" w:cs="Times New Roman"/>
                <w:kern w:val="2"/>
                <w:sz w:val="20"/>
                <w:szCs w:val="20"/>
                <w:lang w:val="en-US" w:eastAsia="zh-CN" w:bidi="ar-SA"/>
              </w:rPr>
              <w:t>完成春秋两季征兵</w:t>
            </w:r>
            <w:r>
              <w:rPr>
                <w:rFonts w:hint="eastAsia" w:ascii="Times New Roman" w:hAnsi="Times New Roman" w:eastAsia="仿宋_GB2312" w:cs="Times New Roman"/>
                <w:kern w:val="2"/>
                <w:sz w:val="20"/>
                <w:szCs w:val="20"/>
                <w:lang w:val="en-US" w:eastAsia="zh-CN" w:bidi="ar-SA"/>
              </w:rPr>
              <w:t>；6.</w:t>
            </w:r>
            <w:r>
              <w:rPr>
                <w:rFonts w:hint="default" w:ascii="Times New Roman" w:hAnsi="Times New Roman" w:eastAsia="仿宋_GB2312" w:cs="Times New Roman"/>
                <w:kern w:val="2"/>
                <w:sz w:val="20"/>
                <w:szCs w:val="20"/>
                <w:lang w:val="en-US" w:eastAsia="zh-CN" w:bidi="ar-SA"/>
              </w:rPr>
              <w:t>促进社会治理现代化，争创</w:t>
            </w:r>
            <w:r>
              <w:rPr>
                <w:rFonts w:hint="eastAsia" w:ascii="Times New Roman" w:hAnsi="Times New Roman" w:eastAsia="仿宋_GB2312" w:cs="Times New Roman"/>
                <w:kern w:val="2"/>
                <w:sz w:val="20"/>
                <w:szCs w:val="20"/>
                <w:lang w:val="en-US" w:eastAsia="zh-CN" w:bidi="ar-SA"/>
              </w:rPr>
              <w:t>“</w:t>
            </w:r>
            <w:r>
              <w:rPr>
                <w:rFonts w:hint="default" w:ascii="Times New Roman" w:hAnsi="Times New Roman" w:eastAsia="仿宋_GB2312" w:cs="Times New Roman"/>
                <w:kern w:val="2"/>
                <w:sz w:val="20"/>
                <w:szCs w:val="20"/>
                <w:lang w:val="en-US" w:eastAsia="zh-CN" w:bidi="ar-SA"/>
              </w:rPr>
              <w:t>平安庆云</w:t>
            </w:r>
            <w:r>
              <w:rPr>
                <w:rFonts w:hint="eastAsia" w:ascii="Times New Roman" w:hAnsi="Times New Roman" w:eastAsia="仿宋_GB2312" w:cs="Times New Roman"/>
                <w:kern w:val="2"/>
                <w:sz w:val="20"/>
                <w:szCs w:val="20"/>
                <w:lang w:val="en-US" w:eastAsia="zh-CN" w:bidi="ar-SA"/>
              </w:rPr>
              <w:t>”；7.</w:t>
            </w:r>
            <w:r>
              <w:rPr>
                <w:rFonts w:hint="default" w:ascii="Times New Roman" w:hAnsi="Times New Roman" w:eastAsia="仿宋_GB2312" w:cs="Times New Roman"/>
                <w:kern w:val="2"/>
                <w:sz w:val="20"/>
                <w:szCs w:val="20"/>
                <w:lang w:val="en-US" w:eastAsia="zh-CN" w:bidi="ar-SA"/>
              </w:rPr>
              <w:t>加强应急处理能力建设</w:t>
            </w:r>
            <w:r>
              <w:rPr>
                <w:rFonts w:hint="eastAsia" w:ascii="Times New Roman" w:hAnsi="Times New Roman" w:eastAsia="仿宋_GB2312" w:cs="Times New Roman"/>
                <w:kern w:val="2"/>
                <w:sz w:val="20"/>
                <w:szCs w:val="20"/>
                <w:lang w:val="en-US" w:eastAsia="zh-CN" w:bidi="ar-SA"/>
              </w:rPr>
              <w:t>；8.</w:t>
            </w:r>
            <w:r>
              <w:rPr>
                <w:rFonts w:hint="default" w:ascii="Times New Roman" w:hAnsi="Times New Roman" w:eastAsia="仿宋_GB2312" w:cs="Times New Roman"/>
                <w:kern w:val="2"/>
                <w:sz w:val="20"/>
                <w:szCs w:val="20"/>
                <w:lang w:val="en-US" w:eastAsia="zh-CN" w:bidi="ar-SA"/>
              </w:rPr>
              <w:t>保障工会会员福利、增加单位凝聚力</w:t>
            </w:r>
            <w:r>
              <w:rPr>
                <w:rFonts w:hint="eastAsia" w:ascii="Times New Roman" w:hAnsi="Times New Roman" w:eastAsia="仿宋_GB2312" w:cs="Times New Roman"/>
                <w:color w:val="000000"/>
                <w:sz w:val="20"/>
                <w:szCs w:val="20"/>
                <w:lang w:val="en-US" w:eastAsia="zh-CN"/>
              </w:rPr>
              <w:t>。</w:t>
            </w:r>
          </w:p>
        </w:tc>
        <w:tc>
          <w:tcPr>
            <w:tcW w:w="4328" w:type="dxa"/>
            <w:gridSpan w:val="4"/>
            <w:tcBorders>
              <w:top w:val="single" w:color="auto" w:sz="4" w:space="0"/>
              <w:left w:val="nil"/>
              <w:bottom w:val="single" w:color="auto" w:sz="4" w:space="0"/>
              <w:right w:val="single" w:color="auto" w:sz="4" w:space="0"/>
            </w:tcBorders>
            <w:noWrap w:val="0"/>
            <w:vAlign w:val="center"/>
          </w:tcPr>
          <w:p w14:paraId="34DE1E49">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kern w:val="2"/>
                <w:sz w:val="20"/>
                <w:szCs w:val="20"/>
                <w:lang w:val="en-US" w:eastAsia="zh-CN" w:bidi="ar-SA"/>
              </w:rPr>
              <w:t>民生日常服务工作，不断提高</w:t>
            </w:r>
            <w:r>
              <w:rPr>
                <w:rFonts w:hint="eastAsia" w:ascii="Times New Roman" w:hAnsi="Times New Roman" w:eastAsia="仿宋_GB2312" w:cs="Times New Roman"/>
                <w:kern w:val="2"/>
                <w:sz w:val="20"/>
                <w:szCs w:val="20"/>
                <w:lang w:val="en-US" w:eastAsia="zh-CN" w:bidi="ar-SA"/>
              </w:rPr>
              <w:t>；</w:t>
            </w:r>
            <w:r>
              <w:rPr>
                <w:rFonts w:hint="default" w:ascii="Times New Roman" w:hAnsi="Times New Roman" w:eastAsia="仿宋_GB2312" w:cs="Times New Roman"/>
                <w:kern w:val="2"/>
                <w:sz w:val="20"/>
                <w:szCs w:val="20"/>
                <w:lang w:val="en-US" w:eastAsia="zh-CN" w:bidi="ar-SA"/>
              </w:rPr>
              <w:t>政策宣传，提高卫生健康水平</w:t>
            </w:r>
            <w:r>
              <w:rPr>
                <w:rFonts w:hint="eastAsia" w:ascii="Times New Roman" w:hAnsi="Times New Roman" w:eastAsia="仿宋_GB2312" w:cs="Times New Roman"/>
                <w:kern w:val="2"/>
                <w:sz w:val="20"/>
                <w:szCs w:val="20"/>
                <w:lang w:val="en-US" w:eastAsia="zh-CN" w:bidi="ar-SA"/>
              </w:rPr>
              <w:t>；</w:t>
            </w:r>
            <w:r>
              <w:rPr>
                <w:rFonts w:hint="default" w:ascii="Times New Roman" w:hAnsi="Times New Roman" w:eastAsia="仿宋_GB2312" w:cs="Times New Roman"/>
                <w:kern w:val="2"/>
                <w:sz w:val="20"/>
                <w:szCs w:val="20"/>
                <w:lang w:val="en-US" w:eastAsia="zh-CN" w:bidi="ar-SA"/>
              </w:rPr>
              <w:t>完成临时救助、低保户管理工作</w:t>
            </w:r>
            <w:r>
              <w:rPr>
                <w:rFonts w:hint="eastAsia" w:ascii="Times New Roman" w:hAnsi="Times New Roman" w:eastAsia="仿宋_GB2312" w:cs="Times New Roman"/>
                <w:kern w:val="2"/>
                <w:sz w:val="20"/>
                <w:szCs w:val="20"/>
                <w:lang w:val="en-US" w:eastAsia="zh-CN" w:bidi="ar-SA"/>
              </w:rPr>
              <w:t>；</w:t>
            </w:r>
            <w:r>
              <w:rPr>
                <w:rFonts w:hint="default" w:ascii="Times New Roman" w:hAnsi="Times New Roman" w:eastAsia="仿宋_GB2312" w:cs="Times New Roman"/>
                <w:kern w:val="2"/>
                <w:sz w:val="20"/>
                <w:szCs w:val="20"/>
                <w:lang w:val="en-US" w:eastAsia="zh-CN" w:bidi="ar-SA"/>
              </w:rPr>
              <w:t>完成春秋两季征兵</w:t>
            </w:r>
            <w:r>
              <w:rPr>
                <w:rFonts w:hint="eastAsia" w:ascii="Times New Roman" w:hAnsi="Times New Roman" w:eastAsia="仿宋_GB2312" w:cs="Times New Roman"/>
                <w:kern w:val="2"/>
                <w:sz w:val="20"/>
                <w:szCs w:val="20"/>
                <w:lang w:val="en-US" w:eastAsia="zh-CN" w:bidi="ar-SA"/>
              </w:rPr>
              <w:t>；</w:t>
            </w:r>
            <w:r>
              <w:rPr>
                <w:rFonts w:hint="default" w:ascii="Times New Roman" w:hAnsi="Times New Roman" w:eastAsia="仿宋_GB2312" w:cs="Times New Roman"/>
                <w:kern w:val="2"/>
                <w:sz w:val="20"/>
                <w:szCs w:val="20"/>
                <w:lang w:val="en-US" w:eastAsia="zh-CN" w:bidi="ar-SA"/>
              </w:rPr>
              <w:t>促进社会治理现代化，争创</w:t>
            </w:r>
            <w:r>
              <w:rPr>
                <w:rFonts w:hint="eastAsia" w:ascii="Times New Roman" w:hAnsi="Times New Roman" w:eastAsia="仿宋_GB2312" w:cs="Times New Roman"/>
                <w:kern w:val="2"/>
                <w:sz w:val="20"/>
                <w:szCs w:val="20"/>
                <w:lang w:val="en-US" w:eastAsia="zh-CN" w:bidi="ar-SA"/>
              </w:rPr>
              <w:t>“</w:t>
            </w:r>
            <w:r>
              <w:rPr>
                <w:rFonts w:hint="default" w:ascii="Times New Roman" w:hAnsi="Times New Roman" w:eastAsia="仿宋_GB2312" w:cs="Times New Roman"/>
                <w:kern w:val="2"/>
                <w:sz w:val="20"/>
                <w:szCs w:val="20"/>
                <w:lang w:val="en-US" w:eastAsia="zh-CN" w:bidi="ar-SA"/>
              </w:rPr>
              <w:t>平安庆云</w:t>
            </w:r>
            <w:r>
              <w:rPr>
                <w:rFonts w:hint="eastAsia" w:ascii="Times New Roman" w:hAnsi="Times New Roman" w:eastAsia="仿宋_GB2312" w:cs="Times New Roman"/>
                <w:kern w:val="2"/>
                <w:sz w:val="20"/>
                <w:szCs w:val="20"/>
                <w:lang w:val="en-US" w:eastAsia="zh-CN" w:bidi="ar-SA"/>
              </w:rPr>
              <w:t>”</w:t>
            </w:r>
            <w:r>
              <w:rPr>
                <w:rFonts w:hint="eastAsia" w:ascii="Times New Roman" w:hAnsi="Times New Roman" w:eastAsia="仿宋_GB2312" w:cs="Times New Roman"/>
                <w:color w:val="000000"/>
                <w:sz w:val="20"/>
                <w:szCs w:val="20"/>
                <w:lang w:val="en-US" w:eastAsia="zh-CN"/>
              </w:rPr>
              <w:t>。</w:t>
            </w:r>
          </w:p>
        </w:tc>
      </w:tr>
      <w:tr w14:paraId="1E4EBF99">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754E5678">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30DC523A">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45A1A402">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1821BD54">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3AC66A5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p>
        </w:tc>
        <w:tc>
          <w:tcPr>
            <w:tcW w:w="1074" w:type="dxa"/>
            <w:tcBorders>
              <w:top w:val="nil"/>
              <w:left w:val="nil"/>
              <w:bottom w:val="single" w:color="auto" w:sz="4" w:space="0"/>
              <w:right w:val="single" w:color="auto" w:sz="4" w:space="0"/>
            </w:tcBorders>
            <w:noWrap w:val="0"/>
            <w:vAlign w:val="center"/>
          </w:tcPr>
          <w:p w14:paraId="36C9960D">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27" w:type="dxa"/>
            <w:tcBorders>
              <w:top w:val="nil"/>
              <w:left w:val="nil"/>
              <w:bottom w:val="single" w:color="auto" w:sz="4" w:space="0"/>
              <w:right w:val="single" w:color="auto" w:sz="4" w:space="0"/>
            </w:tcBorders>
            <w:noWrap w:val="0"/>
            <w:vAlign w:val="center"/>
          </w:tcPr>
          <w:p w14:paraId="0764E9D8">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65" w:type="dxa"/>
            <w:tcBorders>
              <w:top w:val="nil"/>
              <w:left w:val="nil"/>
              <w:bottom w:val="single" w:color="auto" w:sz="4" w:space="0"/>
              <w:right w:val="single" w:color="auto" w:sz="4" w:space="0"/>
            </w:tcBorders>
            <w:noWrap w:val="0"/>
            <w:vAlign w:val="center"/>
          </w:tcPr>
          <w:p w14:paraId="09BAF32F">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097F6F44">
            <w:pPr>
              <w:keepNext w:val="0"/>
              <w:keepLines w:val="0"/>
              <w:widowControl/>
              <w:suppressLineNumbers w:val="0"/>
              <w:spacing w:before="0" w:beforeAutospacing="0" w:after="0" w:afterAutospacing="0" w:line="240" w:lineRule="exact"/>
              <w:ind w:left="0" w:right="0"/>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4" w:type="dxa"/>
            <w:tcBorders>
              <w:top w:val="nil"/>
              <w:left w:val="nil"/>
              <w:bottom w:val="single" w:color="auto" w:sz="4" w:space="0"/>
              <w:right w:val="single" w:color="auto" w:sz="4" w:space="0"/>
            </w:tcBorders>
            <w:noWrap w:val="0"/>
            <w:vAlign w:val="center"/>
          </w:tcPr>
          <w:p w14:paraId="1CF7B22D">
            <w:pPr>
              <w:keepNext w:val="0"/>
              <w:keepLines w:val="0"/>
              <w:widowControl/>
              <w:suppressLineNumbers w:val="0"/>
              <w:spacing w:before="0" w:beforeAutospacing="0" w:after="0" w:afterAutospacing="0" w:line="240" w:lineRule="exact"/>
              <w:ind w:left="0" w:right="0"/>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4" w:type="dxa"/>
            <w:tcBorders>
              <w:top w:val="nil"/>
              <w:left w:val="nil"/>
              <w:bottom w:val="single" w:color="auto" w:sz="4" w:space="0"/>
              <w:right w:val="single" w:color="auto" w:sz="4" w:space="0"/>
            </w:tcBorders>
            <w:noWrap w:val="0"/>
            <w:vAlign w:val="center"/>
          </w:tcPr>
          <w:p w14:paraId="48CAF445">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916" w:type="dxa"/>
            <w:tcBorders>
              <w:top w:val="nil"/>
              <w:left w:val="nil"/>
              <w:bottom w:val="single" w:color="auto" w:sz="4" w:space="0"/>
              <w:right w:val="single" w:color="auto" w:sz="4" w:space="0"/>
            </w:tcBorders>
            <w:noWrap w:val="0"/>
            <w:vAlign w:val="center"/>
          </w:tcPr>
          <w:p w14:paraId="2FC8F285">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34" w:type="dxa"/>
            <w:tcBorders>
              <w:top w:val="nil"/>
              <w:left w:val="nil"/>
              <w:bottom w:val="single" w:color="auto" w:sz="4" w:space="0"/>
              <w:right w:val="single" w:color="auto" w:sz="4" w:space="0"/>
            </w:tcBorders>
            <w:noWrap w:val="0"/>
            <w:vAlign w:val="center"/>
          </w:tcPr>
          <w:p w14:paraId="63F9BB3D">
            <w:pPr>
              <w:keepNext w:val="0"/>
              <w:keepLines w:val="0"/>
              <w:widowControl/>
              <w:suppressLineNumbers w:val="0"/>
              <w:spacing w:before="0" w:beforeAutospacing="0" w:after="0" w:afterAutospacing="0" w:line="240" w:lineRule="exact"/>
              <w:ind w:left="0" w:right="0"/>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1870C550">
        <w:tblPrEx>
          <w:tblCellMar>
            <w:top w:w="0" w:type="dxa"/>
            <w:left w:w="108" w:type="dxa"/>
            <w:bottom w:w="0" w:type="dxa"/>
            <w:right w:w="108" w:type="dxa"/>
          </w:tblCellMar>
        </w:tblPrEx>
        <w:trPr>
          <w:trHeight w:val="310" w:hRule="atLeast"/>
          <w:jc w:val="center"/>
        </w:trPr>
        <w:tc>
          <w:tcPr>
            <w:tcW w:w="1074" w:type="dxa"/>
            <w:vMerge w:val="continue"/>
            <w:tcBorders>
              <w:left w:val="single" w:color="auto" w:sz="4" w:space="0"/>
              <w:right w:val="single" w:color="auto" w:sz="4" w:space="0"/>
            </w:tcBorders>
            <w:noWrap w:val="0"/>
            <w:vAlign w:val="center"/>
          </w:tcPr>
          <w:p w14:paraId="14057210">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restart"/>
            <w:tcBorders>
              <w:top w:val="nil"/>
              <w:left w:val="nil"/>
              <w:right w:val="single" w:color="auto" w:sz="4" w:space="0"/>
            </w:tcBorders>
            <w:noWrap w:val="0"/>
            <w:vAlign w:val="center"/>
          </w:tcPr>
          <w:p w14:paraId="5980FC4E">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41A40B6A">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p>
          <w:p w14:paraId="5FF67209">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(50分)</w:t>
            </w:r>
          </w:p>
        </w:tc>
        <w:tc>
          <w:tcPr>
            <w:tcW w:w="1027" w:type="dxa"/>
            <w:tcBorders>
              <w:top w:val="nil"/>
              <w:left w:val="nil"/>
              <w:right w:val="single" w:color="auto" w:sz="4" w:space="0"/>
            </w:tcBorders>
            <w:noWrap w:val="0"/>
            <w:vAlign w:val="center"/>
          </w:tcPr>
          <w:p w14:paraId="71A75339">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65" w:type="dxa"/>
            <w:tcBorders>
              <w:top w:val="nil"/>
              <w:left w:val="nil"/>
              <w:bottom w:val="single" w:color="auto" w:sz="4" w:space="0"/>
              <w:right w:val="single" w:color="auto" w:sz="4" w:space="0"/>
            </w:tcBorders>
            <w:noWrap w:val="0"/>
            <w:vAlign w:val="center"/>
          </w:tcPr>
          <w:p w14:paraId="70F5EA91">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完成各项任务</w:t>
            </w:r>
          </w:p>
        </w:tc>
        <w:tc>
          <w:tcPr>
            <w:tcW w:w="1311" w:type="dxa"/>
            <w:tcBorders>
              <w:top w:val="nil"/>
              <w:left w:val="nil"/>
              <w:bottom w:val="single" w:color="auto" w:sz="4" w:space="0"/>
              <w:right w:val="single" w:color="auto" w:sz="4" w:space="0"/>
            </w:tcBorders>
            <w:noWrap w:val="0"/>
            <w:vAlign w:val="center"/>
          </w:tcPr>
          <w:p w14:paraId="0BD30905">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年底前</w:t>
            </w:r>
          </w:p>
        </w:tc>
        <w:tc>
          <w:tcPr>
            <w:tcW w:w="1264" w:type="dxa"/>
            <w:tcBorders>
              <w:top w:val="nil"/>
              <w:left w:val="nil"/>
              <w:bottom w:val="single" w:color="auto" w:sz="4" w:space="0"/>
              <w:right w:val="single" w:color="auto" w:sz="4" w:space="0"/>
            </w:tcBorders>
            <w:noWrap w:val="0"/>
            <w:vAlign w:val="center"/>
          </w:tcPr>
          <w:p w14:paraId="32483346">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宋体" w:cs="Times New Roman"/>
                <w:color w:val="000000"/>
                <w:sz w:val="20"/>
                <w:szCs w:val="20"/>
                <w:lang w:val="en-US" w:eastAsia="zh-CN"/>
              </w:rPr>
            </w:pPr>
            <w:r>
              <w:rPr>
                <w:rFonts w:hint="default" w:ascii="Times New Roman" w:hAnsi="Times New Roman" w:eastAsia="仿宋_GB2312" w:cs="Times New Roman"/>
                <w:color w:val="000000"/>
                <w:sz w:val="15"/>
                <w:szCs w:val="15"/>
                <w:highlight w:val="none"/>
                <w:lang w:val="en-US" w:eastAsia="zh-CN"/>
              </w:rPr>
              <w:t>独生子女父母奖励发放对象139名</w:t>
            </w:r>
            <w:r>
              <w:rPr>
                <w:rFonts w:hint="eastAsia" w:ascii="Times New Roman" w:hAnsi="Times New Roman" w:cs="Times New Roman"/>
                <w:sz w:val="15"/>
                <w:szCs w:val="15"/>
                <w:lang w:val="en-US" w:eastAsia="zh-CN"/>
              </w:rPr>
              <w:t>,,</w:t>
            </w:r>
            <w:r>
              <w:rPr>
                <w:rFonts w:hint="default" w:ascii="Times New Roman" w:hAnsi="Times New Roman" w:eastAsia="仿宋_GB2312" w:cs="Times New Roman"/>
                <w:color w:val="000000"/>
                <w:sz w:val="15"/>
                <w:szCs w:val="15"/>
                <w:highlight w:val="none"/>
                <w:lang w:val="en-US" w:eastAsia="zh-CN"/>
              </w:rPr>
              <w:t>城乡居民基本医疗保险参保缴费</w:t>
            </w:r>
            <w:r>
              <w:rPr>
                <w:rFonts w:hint="default" w:ascii="Times New Roman" w:hAnsi="Times New Roman" w:cs="Times New Roman"/>
                <w:color w:val="000000"/>
                <w:sz w:val="15"/>
                <w:szCs w:val="15"/>
                <w:highlight w:val="none"/>
                <w:lang w:val="en-US" w:eastAsia="zh-CN"/>
              </w:rPr>
              <w:t>工作，共计缴费</w:t>
            </w:r>
            <w:r>
              <w:rPr>
                <w:rFonts w:hint="default" w:ascii="Times New Roman" w:hAnsi="Times New Roman" w:eastAsia="仿宋_GB2312" w:cs="Times New Roman"/>
                <w:color w:val="000000"/>
                <w:sz w:val="15"/>
                <w:szCs w:val="15"/>
                <w:highlight w:val="none"/>
                <w:lang w:val="en-US" w:eastAsia="zh-CN"/>
              </w:rPr>
              <w:t>15180人</w:t>
            </w:r>
            <w:r>
              <w:rPr>
                <w:rFonts w:hint="eastAsia" w:ascii="Times New Roman" w:hAnsi="Times New Roman" w:eastAsia="仿宋_GB2312" w:cs="Times New Roman"/>
                <w:color w:val="000000"/>
                <w:sz w:val="15"/>
                <w:szCs w:val="15"/>
                <w:highlight w:val="none"/>
                <w:lang w:val="en-US" w:eastAsia="zh-CN"/>
              </w:rPr>
              <w:t>,</w:t>
            </w:r>
            <w:r>
              <w:rPr>
                <w:rFonts w:hint="default" w:ascii="Times New Roman" w:hAnsi="Times New Roman" w:eastAsia="仿宋_GB2312" w:cs="Times New Roman"/>
                <w:color w:val="000000"/>
                <w:sz w:val="15"/>
                <w:szCs w:val="15"/>
                <w:highlight w:val="none"/>
                <w:lang w:val="en-US" w:eastAsia="zh-CN"/>
              </w:rPr>
              <w:t>解决330户居民用水问题</w:t>
            </w:r>
            <w:r>
              <w:rPr>
                <w:rFonts w:hint="eastAsia" w:ascii="Times New Roman" w:hAnsi="Times New Roman" w:eastAsia="仿宋_GB2312" w:cs="Times New Roman"/>
                <w:color w:val="000000"/>
                <w:sz w:val="15"/>
                <w:szCs w:val="15"/>
                <w:highlight w:val="none"/>
                <w:lang w:val="en-US" w:eastAsia="zh-CN"/>
              </w:rPr>
              <w:t>,</w:t>
            </w:r>
            <w:r>
              <w:rPr>
                <w:rFonts w:hint="default" w:ascii="Times New Roman" w:hAnsi="Times New Roman" w:eastAsia="仿宋_GB2312" w:cs="Times New Roman"/>
                <w:color w:val="000000"/>
                <w:sz w:val="15"/>
                <w:szCs w:val="15"/>
                <w:highlight w:val="none"/>
                <w:lang w:val="en-US" w:eastAsia="zh-CN"/>
              </w:rPr>
              <w:t>安全生产检查，共组织执法次数118次</w:t>
            </w:r>
            <w:r>
              <w:rPr>
                <w:rFonts w:hint="eastAsia" w:ascii="Times New Roman" w:hAnsi="Times New Roman" w:eastAsia="仿宋_GB2312" w:cs="Times New Roman"/>
                <w:color w:val="000000"/>
                <w:sz w:val="15"/>
                <w:szCs w:val="15"/>
                <w:highlight w:val="none"/>
                <w:lang w:val="en-US" w:eastAsia="zh-CN"/>
              </w:rPr>
              <w:t>,</w:t>
            </w:r>
            <w:r>
              <w:rPr>
                <w:rFonts w:hint="default" w:ascii="Times New Roman" w:hAnsi="Times New Roman" w:cs="Times New Roman"/>
                <w:b w:val="0"/>
                <w:bCs w:val="0"/>
                <w:sz w:val="15"/>
                <w:szCs w:val="15"/>
                <w:lang w:val="en-US" w:eastAsia="zh-CN"/>
              </w:rPr>
              <w:t>开展第五次全国经济普查工作</w:t>
            </w:r>
            <w:r>
              <w:rPr>
                <w:rFonts w:hint="default" w:ascii="Times New Roman" w:hAnsi="Times New Roman" w:eastAsia="仿宋_GB2312" w:cs="Times New Roman"/>
                <w:b w:val="0"/>
                <w:bCs w:val="0"/>
                <w:sz w:val="15"/>
                <w:szCs w:val="15"/>
                <w:lang w:val="en-US" w:eastAsia="zh-CN"/>
              </w:rPr>
              <w:t>，</w:t>
            </w:r>
            <w:r>
              <w:rPr>
                <w:rFonts w:hint="default" w:ascii="Times New Roman" w:hAnsi="Times New Roman" w:cs="Times New Roman"/>
                <w:b w:val="0"/>
                <w:bCs w:val="0"/>
                <w:sz w:val="15"/>
                <w:szCs w:val="15"/>
                <w:lang w:val="en-US" w:eastAsia="zh-CN"/>
              </w:rPr>
              <w:t>完成</w:t>
            </w:r>
            <w:r>
              <w:rPr>
                <w:rFonts w:hint="default" w:ascii="Times New Roman" w:hAnsi="Times New Roman" w:eastAsia="仿宋_GB2312" w:cs="Times New Roman"/>
                <w:b w:val="0"/>
                <w:bCs w:val="0"/>
                <w:sz w:val="15"/>
                <w:szCs w:val="15"/>
                <w:lang w:val="en-US" w:eastAsia="zh-CN"/>
              </w:rPr>
              <w:t>企业填报</w:t>
            </w:r>
            <w:r>
              <w:rPr>
                <w:rFonts w:hint="default" w:ascii="Times New Roman" w:hAnsi="Times New Roman" w:eastAsia="仿宋_GB2312" w:cs="Times New Roman"/>
                <w:color w:val="000000"/>
                <w:sz w:val="15"/>
                <w:szCs w:val="15"/>
                <w:highlight w:val="none"/>
                <w:lang w:val="en-US" w:eastAsia="zh-CN"/>
              </w:rPr>
              <w:t>5494</w:t>
            </w:r>
            <w:r>
              <w:rPr>
                <w:rFonts w:hint="default" w:ascii="Times New Roman" w:hAnsi="Times New Roman" w:eastAsia="仿宋_GB2312" w:cs="Times New Roman"/>
                <w:b w:val="0"/>
                <w:bCs w:val="0"/>
                <w:sz w:val="15"/>
                <w:szCs w:val="15"/>
                <w:lang w:val="en-US" w:eastAsia="zh-CN"/>
              </w:rPr>
              <w:t>家,个体填报</w:t>
            </w:r>
            <w:r>
              <w:rPr>
                <w:rFonts w:hint="default" w:ascii="Times New Roman" w:hAnsi="Times New Roman" w:eastAsia="仿宋_GB2312" w:cs="Times New Roman"/>
                <w:color w:val="000000"/>
                <w:sz w:val="15"/>
                <w:szCs w:val="15"/>
                <w:highlight w:val="none"/>
                <w:lang w:val="en-US" w:eastAsia="zh-CN"/>
              </w:rPr>
              <w:t>9334</w:t>
            </w:r>
            <w:r>
              <w:rPr>
                <w:rFonts w:hint="default" w:ascii="Times New Roman" w:hAnsi="Times New Roman" w:eastAsia="仿宋_GB2312" w:cs="Times New Roman"/>
                <w:b w:val="0"/>
                <w:bCs w:val="0"/>
                <w:sz w:val="15"/>
                <w:szCs w:val="15"/>
                <w:lang w:val="en-US" w:eastAsia="zh-CN"/>
              </w:rPr>
              <w:t>家。</w:t>
            </w:r>
          </w:p>
        </w:tc>
        <w:tc>
          <w:tcPr>
            <w:tcW w:w="714" w:type="dxa"/>
            <w:tcBorders>
              <w:top w:val="nil"/>
              <w:left w:val="nil"/>
              <w:bottom w:val="single" w:color="auto" w:sz="4" w:space="0"/>
              <w:right w:val="single" w:color="auto" w:sz="4" w:space="0"/>
            </w:tcBorders>
            <w:noWrap w:val="0"/>
            <w:vAlign w:val="center"/>
          </w:tcPr>
          <w:p w14:paraId="5BF9F45E">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916" w:type="dxa"/>
            <w:tcBorders>
              <w:top w:val="nil"/>
              <w:left w:val="nil"/>
              <w:bottom w:val="single" w:color="auto" w:sz="4" w:space="0"/>
              <w:right w:val="single" w:color="auto" w:sz="4" w:space="0"/>
            </w:tcBorders>
            <w:noWrap w:val="0"/>
            <w:vAlign w:val="center"/>
          </w:tcPr>
          <w:p w14:paraId="3FF6D982">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15</w:t>
            </w:r>
          </w:p>
        </w:tc>
        <w:tc>
          <w:tcPr>
            <w:tcW w:w="1434" w:type="dxa"/>
            <w:tcBorders>
              <w:top w:val="nil"/>
              <w:left w:val="nil"/>
              <w:bottom w:val="single" w:color="auto" w:sz="4" w:space="0"/>
              <w:right w:val="single" w:color="auto" w:sz="4" w:space="0"/>
            </w:tcBorders>
            <w:noWrap w:val="0"/>
            <w:vAlign w:val="center"/>
          </w:tcPr>
          <w:p w14:paraId="36A0E1B1">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68A50184">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239D81B">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14:paraId="2B8338E7">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27" w:type="dxa"/>
            <w:vMerge w:val="restart"/>
            <w:tcBorders>
              <w:top w:val="nil"/>
              <w:left w:val="nil"/>
              <w:right w:val="single" w:color="auto" w:sz="4" w:space="0"/>
            </w:tcBorders>
            <w:noWrap w:val="0"/>
            <w:vAlign w:val="center"/>
          </w:tcPr>
          <w:p w14:paraId="60CB9800">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65" w:type="dxa"/>
            <w:tcBorders>
              <w:top w:val="nil"/>
              <w:left w:val="nil"/>
              <w:bottom w:val="single" w:color="auto" w:sz="4" w:space="0"/>
              <w:right w:val="single" w:color="auto" w:sz="4" w:space="0"/>
            </w:tcBorders>
            <w:noWrap w:val="0"/>
            <w:vAlign w:val="center"/>
          </w:tcPr>
          <w:p w14:paraId="67A656EA">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sz w:val="20"/>
                <w:szCs w:val="20"/>
                <w:lang w:val="en-US" w:eastAsia="zh-CN"/>
              </w:rPr>
              <w:t>财政支出进度</w:t>
            </w:r>
          </w:p>
        </w:tc>
        <w:tc>
          <w:tcPr>
            <w:tcW w:w="1311" w:type="dxa"/>
            <w:tcBorders>
              <w:top w:val="nil"/>
              <w:left w:val="nil"/>
              <w:bottom w:val="single" w:color="auto" w:sz="4" w:space="0"/>
              <w:right w:val="single" w:color="auto" w:sz="4" w:space="0"/>
            </w:tcBorders>
            <w:noWrap w:val="0"/>
            <w:vAlign w:val="center"/>
          </w:tcPr>
          <w:p w14:paraId="184AE976">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bidi="ar-SA"/>
              </w:rPr>
              <w:t>100%</w:t>
            </w:r>
          </w:p>
        </w:tc>
        <w:tc>
          <w:tcPr>
            <w:tcW w:w="1264" w:type="dxa"/>
            <w:tcBorders>
              <w:top w:val="nil"/>
              <w:left w:val="nil"/>
              <w:bottom w:val="single" w:color="auto" w:sz="4" w:space="0"/>
              <w:right w:val="single" w:color="auto" w:sz="4" w:space="0"/>
            </w:tcBorders>
            <w:noWrap w:val="0"/>
            <w:vAlign w:val="center"/>
          </w:tcPr>
          <w:p w14:paraId="60958B1D">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sz w:val="20"/>
                <w:szCs w:val="20"/>
                <w:lang w:val="en-US" w:eastAsia="zh-CN"/>
              </w:rPr>
              <w:t>1575.86</w:t>
            </w:r>
          </w:p>
        </w:tc>
        <w:tc>
          <w:tcPr>
            <w:tcW w:w="714" w:type="dxa"/>
            <w:tcBorders>
              <w:top w:val="nil"/>
              <w:left w:val="nil"/>
              <w:bottom w:val="single" w:color="auto" w:sz="4" w:space="0"/>
              <w:right w:val="single" w:color="auto" w:sz="4" w:space="0"/>
            </w:tcBorders>
            <w:noWrap w:val="0"/>
            <w:vAlign w:val="center"/>
          </w:tcPr>
          <w:p w14:paraId="64B68430">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sz w:val="20"/>
                <w:szCs w:val="20"/>
                <w:lang w:val="en-US" w:eastAsia="zh-CN"/>
              </w:rPr>
              <w:t>7.5</w:t>
            </w:r>
          </w:p>
        </w:tc>
        <w:tc>
          <w:tcPr>
            <w:tcW w:w="916" w:type="dxa"/>
            <w:tcBorders>
              <w:top w:val="nil"/>
              <w:left w:val="nil"/>
              <w:bottom w:val="single" w:color="auto" w:sz="4" w:space="0"/>
              <w:right w:val="single" w:color="auto" w:sz="4" w:space="0"/>
            </w:tcBorders>
            <w:noWrap w:val="0"/>
            <w:vAlign w:val="center"/>
          </w:tcPr>
          <w:p w14:paraId="73AD8E2B">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bidi="ar-SA"/>
              </w:rPr>
              <w:t>7.5</w:t>
            </w:r>
          </w:p>
        </w:tc>
        <w:tc>
          <w:tcPr>
            <w:tcW w:w="1434" w:type="dxa"/>
            <w:tcBorders>
              <w:top w:val="nil"/>
              <w:left w:val="nil"/>
              <w:bottom w:val="single" w:color="auto" w:sz="4" w:space="0"/>
              <w:right w:val="single" w:color="auto" w:sz="4" w:space="0"/>
            </w:tcBorders>
            <w:noWrap w:val="0"/>
            <w:vAlign w:val="center"/>
          </w:tcPr>
          <w:p w14:paraId="2E484515">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sz w:val="20"/>
                <w:szCs w:val="20"/>
              </w:rPr>
              <w:t>　</w:t>
            </w:r>
          </w:p>
        </w:tc>
      </w:tr>
      <w:tr w14:paraId="1F26EE38">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83A8E7A">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14:paraId="31BC1DA6">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27" w:type="dxa"/>
            <w:vMerge w:val="continue"/>
            <w:tcBorders>
              <w:left w:val="nil"/>
              <w:right w:val="single" w:color="auto" w:sz="4" w:space="0"/>
            </w:tcBorders>
            <w:noWrap w:val="0"/>
            <w:vAlign w:val="center"/>
          </w:tcPr>
          <w:p w14:paraId="6724D07F">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p>
        </w:tc>
        <w:tc>
          <w:tcPr>
            <w:tcW w:w="1265" w:type="dxa"/>
            <w:tcBorders>
              <w:top w:val="nil"/>
              <w:left w:val="nil"/>
              <w:bottom w:val="single" w:color="auto" w:sz="4" w:space="0"/>
              <w:right w:val="single" w:color="auto" w:sz="4" w:space="0"/>
            </w:tcBorders>
            <w:noWrap w:val="0"/>
            <w:vAlign w:val="center"/>
          </w:tcPr>
          <w:p w14:paraId="0960B858">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sz w:val="20"/>
                <w:szCs w:val="20"/>
                <w:lang w:val="en-US" w:eastAsia="zh-CN"/>
              </w:rPr>
              <w:t>农民人均纯收入水平</w:t>
            </w:r>
          </w:p>
        </w:tc>
        <w:tc>
          <w:tcPr>
            <w:tcW w:w="1311" w:type="dxa"/>
            <w:tcBorders>
              <w:top w:val="nil"/>
              <w:left w:val="nil"/>
              <w:bottom w:val="single" w:color="auto" w:sz="4" w:space="0"/>
              <w:right w:val="single" w:color="auto" w:sz="4" w:space="0"/>
            </w:tcBorders>
            <w:noWrap w:val="0"/>
            <w:vAlign w:val="center"/>
          </w:tcPr>
          <w:p w14:paraId="3DFCF78B">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bCs/>
                <w:color w:val="000000"/>
                <w:kern w:val="2"/>
                <w:sz w:val="20"/>
                <w:szCs w:val="20"/>
                <w:lang w:val="en-US" w:eastAsia="zh-CN" w:bidi="ar"/>
              </w:rPr>
              <w:t>高于人均水平</w:t>
            </w:r>
          </w:p>
        </w:tc>
        <w:tc>
          <w:tcPr>
            <w:tcW w:w="1264" w:type="dxa"/>
            <w:tcBorders>
              <w:top w:val="nil"/>
              <w:left w:val="nil"/>
              <w:bottom w:val="single" w:color="auto" w:sz="4" w:space="0"/>
              <w:right w:val="single" w:color="auto" w:sz="4" w:space="0"/>
            </w:tcBorders>
            <w:noWrap w:val="0"/>
            <w:vAlign w:val="center"/>
          </w:tcPr>
          <w:p w14:paraId="0A6979DA">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kern w:val="0"/>
                <w:sz w:val="20"/>
                <w:szCs w:val="20"/>
                <w:highlight w:val="yellow"/>
                <w:lang w:val="en-US" w:eastAsia="zh-CN" w:bidi="ar-SA"/>
              </w:rPr>
            </w:pPr>
            <w:r>
              <w:rPr>
                <w:rFonts w:hint="eastAsia" w:ascii="Times New Roman" w:hAnsi="Times New Roman" w:eastAsia="仿宋_GB2312" w:cs="Times New Roman"/>
                <w:color w:val="auto"/>
                <w:sz w:val="20"/>
                <w:szCs w:val="20"/>
                <w:highlight w:val="none"/>
                <w:lang w:val="en-US" w:eastAsia="zh-CN"/>
              </w:rPr>
              <w:t>提高</w:t>
            </w:r>
          </w:p>
        </w:tc>
        <w:tc>
          <w:tcPr>
            <w:tcW w:w="714" w:type="dxa"/>
            <w:tcBorders>
              <w:top w:val="nil"/>
              <w:left w:val="nil"/>
              <w:bottom w:val="single" w:color="auto" w:sz="4" w:space="0"/>
              <w:right w:val="single" w:color="auto" w:sz="4" w:space="0"/>
            </w:tcBorders>
            <w:noWrap w:val="0"/>
            <w:vAlign w:val="center"/>
          </w:tcPr>
          <w:p w14:paraId="24DE2631">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916" w:type="dxa"/>
            <w:tcBorders>
              <w:top w:val="nil"/>
              <w:left w:val="nil"/>
              <w:bottom w:val="single" w:color="auto" w:sz="4" w:space="0"/>
              <w:right w:val="single" w:color="auto" w:sz="4" w:space="0"/>
            </w:tcBorders>
            <w:noWrap w:val="0"/>
            <w:vAlign w:val="center"/>
          </w:tcPr>
          <w:p w14:paraId="3BBF7BB7">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1434" w:type="dxa"/>
            <w:tcBorders>
              <w:top w:val="nil"/>
              <w:left w:val="nil"/>
              <w:bottom w:val="single" w:color="auto" w:sz="4" w:space="0"/>
              <w:right w:val="single" w:color="auto" w:sz="4" w:space="0"/>
            </w:tcBorders>
            <w:noWrap w:val="0"/>
            <w:vAlign w:val="center"/>
          </w:tcPr>
          <w:p w14:paraId="60A1550B">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r>
      <w:tr w14:paraId="33BCA43B">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BA0F534">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14:paraId="79905D32">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27" w:type="dxa"/>
            <w:tcBorders>
              <w:top w:val="nil"/>
              <w:left w:val="nil"/>
              <w:right w:val="single" w:color="auto" w:sz="4" w:space="0"/>
            </w:tcBorders>
            <w:noWrap w:val="0"/>
            <w:vAlign w:val="center"/>
          </w:tcPr>
          <w:p w14:paraId="19BCAFDB">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65" w:type="dxa"/>
            <w:tcBorders>
              <w:top w:val="nil"/>
              <w:left w:val="nil"/>
              <w:bottom w:val="single" w:color="auto" w:sz="4" w:space="0"/>
              <w:right w:val="single" w:color="auto" w:sz="4" w:space="0"/>
            </w:tcBorders>
            <w:noWrap w:val="0"/>
            <w:vAlign w:val="center"/>
          </w:tcPr>
          <w:p w14:paraId="41EDDD12">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按各活动进度完成             </w:t>
            </w:r>
          </w:p>
        </w:tc>
        <w:tc>
          <w:tcPr>
            <w:tcW w:w="1311" w:type="dxa"/>
            <w:tcBorders>
              <w:top w:val="nil"/>
              <w:left w:val="nil"/>
              <w:bottom w:val="single" w:color="auto" w:sz="4" w:space="0"/>
              <w:right w:val="single" w:color="auto" w:sz="4" w:space="0"/>
            </w:tcBorders>
            <w:noWrap w:val="0"/>
            <w:vAlign w:val="center"/>
          </w:tcPr>
          <w:p w14:paraId="14545A9D">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按预定时间</w:t>
            </w:r>
          </w:p>
        </w:tc>
        <w:tc>
          <w:tcPr>
            <w:tcW w:w="1264" w:type="dxa"/>
            <w:tcBorders>
              <w:top w:val="nil"/>
              <w:left w:val="nil"/>
              <w:bottom w:val="single" w:color="auto" w:sz="4" w:space="0"/>
              <w:right w:val="single" w:color="auto" w:sz="4" w:space="0"/>
            </w:tcBorders>
            <w:noWrap w:val="0"/>
            <w:vAlign w:val="center"/>
          </w:tcPr>
          <w:p w14:paraId="6EAF0BE5">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15"/>
                <w:szCs w:val="15"/>
                <w:highlight w:val="none"/>
                <w:lang w:val="en-US" w:eastAsia="zh-CN"/>
              </w:rPr>
              <w:t>独生子女父母奖励发放对象139名</w:t>
            </w:r>
            <w:r>
              <w:rPr>
                <w:rFonts w:hint="eastAsia" w:ascii="Times New Roman" w:hAnsi="Times New Roman" w:eastAsia="宋体" w:cs="Times New Roman"/>
                <w:sz w:val="15"/>
                <w:szCs w:val="15"/>
                <w:lang w:val="en-US" w:eastAsia="zh-CN"/>
              </w:rPr>
              <w:t>,,</w:t>
            </w:r>
            <w:r>
              <w:rPr>
                <w:rFonts w:hint="default" w:ascii="Times New Roman" w:hAnsi="Times New Roman" w:eastAsia="仿宋_GB2312" w:cs="Times New Roman"/>
                <w:color w:val="000000"/>
                <w:sz w:val="15"/>
                <w:szCs w:val="15"/>
                <w:highlight w:val="none"/>
                <w:lang w:val="en-US" w:eastAsia="zh-CN"/>
              </w:rPr>
              <w:t>城乡居民基本医疗保险参保缴费</w:t>
            </w:r>
            <w:r>
              <w:rPr>
                <w:rFonts w:hint="default" w:ascii="Times New Roman" w:hAnsi="Times New Roman" w:eastAsia="宋体" w:cs="Times New Roman"/>
                <w:color w:val="000000"/>
                <w:sz w:val="15"/>
                <w:szCs w:val="15"/>
                <w:highlight w:val="none"/>
                <w:lang w:val="en-US" w:eastAsia="zh-CN"/>
              </w:rPr>
              <w:t>工作，共计缴费</w:t>
            </w:r>
            <w:r>
              <w:rPr>
                <w:rFonts w:hint="default" w:ascii="Times New Roman" w:hAnsi="Times New Roman" w:eastAsia="仿宋_GB2312" w:cs="Times New Roman"/>
                <w:color w:val="000000"/>
                <w:sz w:val="15"/>
                <w:szCs w:val="15"/>
                <w:highlight w:val="none"/>
                <w:lang w:val="en-US" w:eastAsia="zh-CN"/>
              </w:rPr>
              <w:t>15180人</w:t>
            </w:r>
            <w:r>
              <w:rPr>
                <w:rFonts w:hint="eastAsia" w:ascii="Times New Roman" w:hAnsi="Times New Roman" w:eastAsia="仿宋_GB2312" w:cs="Times New Roman"/>
                <w:color w:val="000000"/>
                <w:sz w:val="15"/>
                <w:szCs w:val="15"/>
                <w:highlight w:val="none"/>
                <w:lang w:val="en-US" w:eastAsia="zh-CN"/>
              </w:rPr>
              <w:t>,</w:t>
            </w:r>
            <w:r>
              <w:rPr>
                <w:rFonts w:hint="default" w:ascii="Times New Roman" w:hAnsi="Times New Roman" w:eastAsia="仿宋_GB2312" w:cs="Times New Roman"/>
                <w:color w:val="000000"/>
                <w:sz w:val="15"/>
                <w:szCs w:val="15"/>
                <w:highlight w:val="none"/>
                <w:lang w:val="en-US" w:eastAsia="zh-CN"/>
              </w:rPr>
              <w:t>解决330户居民用水问题</w:t>
            </w:r>
            <w:r>
              <w:rPr>
                <w:rFonts w:hint="eastAsia" w:ascii="Times New Roman" w:hAnsi="Times New Roman" w:eastAsia="仿宋_GB2312" w:cs="Times New Roman"/>
                <w:color w:val="000000"/>
                <w:sz w:val="15"/>
                <w:szCs w:val="15"/>
                <w:highlight w:val="none"/>
                <w:lang w:val="en-US" w:eastAsia="zh-CN"/>
              </w:rPr>
              <w:t>,</w:t>
            </w:r>
            <w:r>
              <w:rPr>
                <w:rFonts w:hint="default" w:ascii="Times New Roman" w:hAnsi="Times New Roman" w:eastAsia="仿宋_GB2312" w:cs="Times New Roman"/>
                <w:color w:val="000000"/>
                <w:sz w:val="15"/>
                <w:szCs w:val="15"/>
                <w:highlight w:val="none"/>
                <w:lang w:val="en-US" w:eastAsia="zh-CN"/>
              </w:rPr>
              <w:t>安全生产检查，共组织执法次数118次</w:t>
            </w:r>
            <w:r>
              <w:rPr>
                <w:rFonts w:hint="eastAsia" w:ascii="Times New Roman" w:hAnsi="Times New Roman" w:eastAsia="仿宋_GB2312" w:cs="Times New Roman"/>
                <w:color w:val="000000"/>
                <w:sz w:val="15"/>
                <w:szCs w:val="15"/>
                <w:highlight w:val="none"/>
                <w:lang w:val="en-US" w:eastAsia="zh-CN"/>
              </w:rPr>
              <w:t>,</w:t>
            </w:r>
            <w:r>
              <w:rPr>
                <w:rFonts w:hint="default" w:ascii="Times New Roman" w:hAnsi="Times New Roman" w:eastAsia="宋体" w:cs="Times New Roman"/>
                <w:b w:val="0"/>
                <w:bCs w:val="0"/>
                <w:sz w:val="15"/>
                <w:szCs w:val="15"/>
                <w:lang w:val="en-US" w:eastAsia="zh-CN"/>
              </w:rPr>
              <w:t>开展第五次全国经济普查工作</w:t>
            </w:r>
            <w:r>
              <w:rPr>
                <w:rFonts w:hint="default" w:ascii="Times New Roman" w:hAnsi="Times New Roman" w:eastAsia="仿宋_GB2312" w:cs="Times New Roman"/>
                <w:b w:val="0"/>
                <w:bCs w:val="0"/>
                <w:sz w:val="15"/>
                <w:szCs w:val="15"/>
                <w:lang w:val="en-US" w:eastAsia="zh-CN"/>
              </w:rPr>
              <w:t>，</w:t>
            </w:r>
            <w:r>
              <w:rPr>
                <w:rFonts w:hint="default" w:ascii="Times New Roman" w:hAnsi="Times New Roman" w:eastAsia="宋体" w:cs="Times New Roman"/>
                <w:b w:val="0"/>
                <w:bCs w:val="0"/>
                <w:sz w:val="15"/>
                <w:szCs w:val="15"/>
                <w:lang w:val="en-US" w:eastAsia="zh-CN"/>
              </w:rPr>
              <w:t>完成</w:t>
            </w:r>
            <w:r>
              <w:rPr>
                <w:rFonts w:hint="default" w:ascii="Times New Roman" w:hAnsi="Times New Roman" w:eastAsia="仿宋_GB2312" w:cs="Times New Roman"/>
                <w:b w:val="0"/>
                <w:bCs w:val="0"/>
                <w:sz w:val="15"/>
                <w:szCs w:val="15"/>
                <w:lang w:val="en-US" w:eastAsia="zh-CN"/>
              </w:rPr>
              <w:t>企业填报</w:t>
            </w:r>
            <w:r>
              <w:rPr>
                <w:rFonts w:hint="default" w:ascii="Times New Roman" w:hAnsi="Times New Roman" w:eastAsia="仿宋_GB2312" w:cs="Times New Roman"/>
                <w:color w:val="000000"/>
                <w:sz w:val="15"/>
                <w:szCs w:val="15"/>
                <w:highlight w:val="none"/>
                <w:lang w:val="en-US" w:eastAsia="zh-CN"/>
              </w:rPr>
              <w:t>5494</w:t>
            </w:r>
            <w:r>
              <w:rPr>
                <w:rFonts w:hint="default" w:ascii="Times New Roman" w:hAnsi="Times New Roman" w:eastAsia="仿宋_GB2312" w:cs="Times New Roman"/>
                <w:b w:val="0"/>
                <w:bCs w:val="0"/>
                <w:sz w:val="15"/>
                <w:szCs w:val="15"/>
                <w:lang w:val="en-US" w:eastAsia="zh-CN"/>
              </w:rPr>
              <w:t>家,个体填报</w:t>
            </w:r>
            <w:r>
              <w:rPr>
                <w:rFonts w:hint="default" w:ascii="Times New Roman" w:hAnsi="Times New Roman" w:eastAsia="仿宋_GB2312" w:cs="Times New Roman"/>
                <w:color w:val="000000"/>
                <w:sz w:val="15"/>
                <w:szCs w:val="15"/>
                <w:highlight w:val="none"/>
                <w:lang w:val="en-US" w:eastAsia="zh-CN"/>
              </w:rPr>
              <w:t>9334</w:t>
            </w:r>
            <w:r>
              <w:rPr>
                <w:rFonts w:hint="default" w:ascii="Times New Roman" w:hAnsi="Times New Roman" w:eastAsia="仿宋_GB2312" w:cs="Times New Roman"/>
                <w:b w:val="0"/>
                <w:bCs w:val="0"/>
                <w:sz w:val="15"/>
                <w:szCs w:val="15"/>
                <w:lang w:val="en-US" w:eastAsia="zh-CN"/>
              </w:rPr>
              <w:t>家。</w:t>
            </w:r>
          </w:p>
        </w:tc>
        <w:tc>
          <w:tcPr>
            <w:tcW w:w="714" w:type="dxa"/>
            <w:tcBorders>
              <w:top w:val="nil"/>
              <w:left w:val="nil"/>
              <w:bottom w:val="single" w:color="auto" w:sz="4" w:space="0"/>
              <w:right w:val="single" w:color="auto" w:sz="4" w:space="0"/>
            </w:tcBorders>
            <w:noWrap w:val="0"/>
            <w:vAlign w:val="center"/>
          </w:tcPr>
          <w:p w14:paraId="62398027">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2FFC85D7">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1434" w:type="dxa"/>
            <w:tcBorders>
              <w:top w:val="nil"/>
              <w:left w:val="nil"/>
              <w:bottom w:val="single" w:color="auto" w:sz="4" w:space="0"/>
              <w:right w:val="single" w:color="auto" w:sz="4" w:space="0"/>
            </w:tcBorders>
            <w:noWrap w:val="0"/>
            <w:vAlign w:val="center"/>
          </w:tcPr>
          <w:p w14:paraId="68F85C83">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r>
      <w:tr w14:paraId="2394D457">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462AA02">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14:paraId="39F0607B">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27" w:type="dxa"/>
            <w:tcBorders>
              <w:top w:val="nil"/>
              <w:left w:val="nil"/>
              <w:right w:val="single" w:color="auto" w:sz="4" w:space="0"/>
            </w:tcBorders>
            <w:noWrap w:val="0"/>
            <w:vAlign w:val="center"/>
          </w:tcPr>
          <w:p w14:paraId="13EBCBD3">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w:t>
            </w:r>
          </w:p>
        </w:tc>
        <w:tc>
          <w:tcPr>
            <w:tcW w:w="1265" w:type="dxa"/>
            <w:tcBorders>
              <w:top w:val="nil"/>
              <w:left w:val="nil"/>
              <w:bottom w:val="single" w:color="auto" w:sz="4" w:space="0"/>
              <w:right w:val="single" w:color="auto" w:sz="4" w:space="0"/>
            </w:tcBorders>
            <w:noWrap w:val="0"/>
            <w:vAlign w:val="center"/>
          </w:tcPr>
          <w:p w14:paraId="2B9601BE">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成本控制在预算范围内</w:t>
            </w:r>
          </w:p>
        </w:tc>
        <w:tc>
          <w:tcPr>
            <w:tcW w:w="1311" w:type="dxa"/>
            <w:tcBorders>
              <w:top w:val="nil"/>
              <w:left w:val="nil"/>
              <w:bottom w:val="single" w:color="auto" w:sz="4" w:space="0"/>
              <w:right w:val="single" w:color="auto" w:sz="4" w:space="0"/>
            </w:tcBorders>
            <w:noWrap w:val="0"/>
            <w:vAlign w:val="center"/>
          </w:tcPr>
          <w:p w14:paraId="19FFB603">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不超预算范围</w:t>
            </w:r>
          </w:p>
        </w:tc>
        <w:tc>
          <w:tcPr>
            <w:tcW w:w="1264" w:type="dxa"/>
            <w:tcBorders>
              <w:top w:val="nil"/>
              <w:left w:val="nil"/>
              <w:bottom w:val="single" w:color="auto" w:sz="4" w:space="0"/>
              <w:right w:val="single" w:color="auto" w:sz="4" w:space="0"/>
            </w:tcBorders>
            <w:noWrap w:val="0"/>
            <w:vAlign w:val="center"/>
          </w:tcPr>
          <w:p w14:paraId="5DF1AA9B">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auto"/>
                <w:sz w:val="20"/>
                <w:szCs w:val="20"/>
                <w:highlight w:val="none"/>
                <w:lang w:val="en-US" w:eastAsia="zh-CN"/>
              </w:rPr>
              <w:t>1576.86</w:t>
            </w:r>
          </w:p>
        </w:tc>
        <w:tc>
          <w:tcPr>
            <w:tcW w:w="714" w:type="dxa"/>
            <w:tcBorders>
              <w:top w:val="nil"/>
              <w:left w:val="nil"/>
              <w:bottom w:val="single" w:color="auto" w:sz="4" w:space="0"/>
              <w:right w:val="single" w:color="auto" w:sz="4" w:space="0"/>
            </w:tcBorders>
            <w:noWrap w:val="0"/>
            <w:vAlign w:val="center"/>
          </w:tcPr>
          <w:p w14:paraId="406ACA7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3B21555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34" w:type="dxa"/>
            <w:tcBorders>
              <w:top w:val="nil"/>
              <w:left w:val="nil"/>
              <w:bottom w:val="single" w:color="auto" w:sz="4" w:space="0"/>
              <w:right w:val="single" w:color="auto" w:sz="4" w:space="0"/>
            </w:tcBorders>
            <w:noWrap w:val="0"/>
            <w:vAlign w:val="center"/>
          </w:tcPr>
          <w:p w14:paraId="2E8FB1A1">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62D4813">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4EDD5E0">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restart"/>
            <w:tcBorders>
              <w:top w:val="nil"/>
              <w:left w:val="nil"/>
              <w:right w:val="single" w:color="auto" w:sz="4" w:space="0"/>
            </w:tcBorders>
            <w:noWrap w:val="0"/>
            <w:vAlign w:val="center"/>
          </w:tcPr>
          <w:p w14:paraId="624B7999">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56EC0432">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p w14:paraId="194464FC">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（30分）</w:t>
            </w:r>
          </w:p>
          <w:p w14:paraId="075E1CD5">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27" w:type="dxa"/>
            <w:tcBorders>
              <w:top w:val="nil"/>
              <w:left w:val="nil"/>
              <w:right w:val="single" w:color="auto" w:sz="4" w:space="0"/>
            </w:tcBorders>
            <w:noWrap w:val="0"/>
            <w:vAlign w:val="center"/>
          </w:tcPr>
          <w:p w14:paraId="76EA9AAA">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385B90D5">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65" w:type="dxa"/>
            <w:tcBorders>
              <w:top w:val="nil"/>
              <w:left w:val="nil"/>
              <w:bottom w:val="single" w:color="auto" w:sz="4" w:space="0"/>
              <w:right w:val="single" w:color="auto" w:sz="4" w:space="0"/>
            </w:tcBorders>
            <w:noWrap w:val="0"/>
            <w:vAlign w:val="center"/>
          </w:tcPr>
          <w:p w14:paraId="2468E4C4">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加速经费发展</w:t>
            </w:r>
          </w:p>
        </w:tc>
        <w:tc>
          <w:tcPr>
            <w:tcW w:w="1311" w:type="dxa"/>
            <w:tcBorders>
              <w:top w:val="nil"/>
              <w:left w:val="nil"/>
              <w:bottom w:val="single" w:color="auto" w:sz="4" w:space="0"/>
              <w:right w:val="single" w:color="auto" w:sz="4" w:space="0"/>
            </w:tcBorders>
            <w:noWrap w:val="0"/>
            <w:vAlign w:val="center"/>
          </w:tcPr>
          <w:p w14:paraId="73D2F56D">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加速经费发展</w:t>
            </w:r>
          </w:p>
        </w:tc>
        <w:tc>
          <w:tcPr>
            <w:tcW w:w="1264" w:type="dxa"/>
            <w:tcBorders>
              <w:top w:val="nil"/>
              <w:left w:val="nil"/>
              <w:bottom w:val="single" w:color="auto" w:sz="4" w:space="0"/>
              <w:right w:val="single" w:color="auto" w:sz="4" w:space="0"/>
            </w:tcBorders>
            <w:noWrap w:val="0"/>
            <w:vAlign w:val="center"/>
          </w:tcPr>
          <w:p w14:paraId="01B8EEEC">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714" w:type="dxa"/>
            <w:tcBorders>
              <w:top w:val="nil"/>
              <w:left w:val="nil"/>
              <w:bottom w:val="single" w:color="auto" w:sz="4" w:space="0"/>
              <w:right w:val="single" w:color="auto" w:sz="4" w:space="0"/>
            </w:tcBorders>
            <w:noWrap w:val="0"/>
            <w:vAlign w:val="center"/>
          </w:tcPr>
          <w:p w14:paraId="649815F6">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2"/>
                <w:sz w:val="24"/>
                <w:szCs w:val="24"/>
                <w:lang w:val="en-US" w:eastAsia="zh-CN" w:bidi="ar"/>
              </w:rPr>
              <w:t>无</w:t>
            </w:r>
          </w:p>
        </w:tc>
        <w:tc>
          <w:tcPr>
            <w:tcW w:w="916" w:type="dxa"/>
            <w:tcBorders>
              <w:top w:val="nil"/>
              <w:left w:val="nil"/>
              <w:bottom w:val="single" w:color="auto" w:sz="4" w:space="0"/>
              <w:right w:val="single" w:color="auto" w:sz="4" w:space="0"/>
            </w:tcBorders>
            <w:noWrap w:val="0"/>
            <w:vAlign w:val="center"/>
          </w:tcPr>
          <w:p w14:paraId="149CD62A">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2"/>
                <w:sz w:val="24"/>
                <w:szCs w:val="24"/>
                <w:lang w:val="en-US" w:eastAsia="zh-CN" w:bidi="ar"/>
              </w:rPr>
              <w:t>无</w:t>
            </w:r>
          </w:p>
        </w:tc>
        <w:tc>
          <w:tcPr>
            <w:tcW w:w="1434" w:type="dxa"/>
            <w:tcBorders>
              <w:top w:val="nil"/>
              <w:left w:val="nil"/>
              <w:bottom w:val="single" w:color="auto" w:sz="4" w:space="0"/>
              <w:right w:val="single" w:color="auto" w:sz="4" w:space="0"/>
            </w:tcBorders>
            <w:noWrap w:val="0"/>
            <w:vAlign w:val="center"/>
          </w:tcPr>
          <w:p w14:paraId="6CA40C05">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BBD95A5">
        <w:tblPrEx>
          <w:tblCellMar>
            <w:top w:w="0" w:type="dxa"/>
            <w:left w:w="108" w:type="dxa"/>
            <w:bottom w:w="0" w:type="dxa"/>
            <w:right w:w="108" w:type="dxa"/>
          </w:tblCellMar>
        </w:tblPrEx>
        <w:trPr>
          <w:trHeight w:val="202" w:hRule="atLeast"/>
          <w:jc w:val="center"/>
        </w:trPr>
        <w:tc>
          <w:tcPr>
            <w:tcW w:w="1074" w:type="dxa"/>
            <w:vMerge w:val="continue"/>
            <w:tcBorders>
              <w:left w:val="single" w:color="auto" w:sz="4" w:space="0"/>
              <w:right w:val="single" w:color="auto" w:sz="4" w:space="0"/>
            </w:tcBorders>
            <w:noWrap w:val="0"/>
            <w:vAlign w:val="center"/>
          </w:tcPr>
          <w:p w14:paraId="29B0606A">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14:paraId="30C46D63">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27" w:type="dxa"/>
            <w:tcBorders>
              <w:top w:val="nil"/>
              <w:left w:val="nil"/>
              <w:right w:val="single" w:color="auto" w:sz="4" w:space="0"/>
            </w:tcBorders>
            <w:noWrap w:val="0"/>
            <w:vAlign w:val="center"/>
          </w:tcPr>
          <w:p w14:paraId="7AB7360E">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2C049CD7">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65" w:type="dxa"/>
            <w:tcBorders>
              <w:top w:val="nil"/>
              <w:left w:val="nil"/>
              <w:bottom w:val="single" w:color="auto" w:sz="4" w:space="0"/>
              <w:right w:val="single" w:color="auto" w:sz="4" w:space="0"/>
            </w:tcBorders>
            <w:noWrap w:val="0"/>
            <w:vAlign w:val="center"/>
          </w:tcPr>
          <w:p w14:paraId="2BA2E63C">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维护社会稳定</w:t>
            </w:r>
          </w:p>
        </w:tc>
        <w:tc>
          <w:tcPr>
            <w:tcW w:w="1311" w:type="dxa"/>
            <w:tcBorders>
              <w:top w:val="nil"/>
              <w:left w:val="nil"/>
              <w:bottom w:val="single" w:color="auto" w:sz="4" w:space="0"/>
              <w:right w:val="single" w:color="auto" w:sz="4" w:space="0"/>
            </w:tcBorders>
            <w:noWrap w:val="0"/>
            <w:vAlign w:val="center"/>
          </w:tcPr>
          <w:p w14:paraId="317BF66F">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社会效益好</w:t>
            </w:r>
          </w:p>
        </w:tc>
        <w:tc>
          <w:tcPr>
            <w:tcW w:w="1264" w:type="dxa"/>
            <w:tcBorders>
              <w:top w:val="nil"/>
              <w:left w:val="nil"/>
              <w:bottom w:val="single" w:color="auto" w:sz="4" w:space="0"/>
              <w:right w:val="single" w:color="auto" w:sz="4" w:space="0"/>
            </w:tcBorders>
            <w:noWrap w:val="0"/>
            <w:vAlign w:val="center"/>
          </w:tcPr>
          <w:p w14:paraId="42E85BCF">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lang w:val="en-US" w:eastAsia="zh-CN"/>
              </w:rPr>
              <w:t>社会效益好</w:t>
            </w:r>
          </w:p>
        </w:tc>
        <w:tc>
          <w:tcPr>
            <w:tcW w:w="714" w:type="dxa"/>
            <w:tcBorders>
              <w:top w:val="nil"/>
              <w:left w:val="nil"/>
              <w:bottom w:val="single" w:color="auto" w:sz="4" w:space="0"/>
              <w:right w:val="single" w:color="auto" w:sz="4" w:space="0"/>
            </w:tcBorders>
            <w:noWrap w:val="0"/>
            <w:vAlign w:val="center"/>
          </w:tcPr>
          <w:p w14:paraId="79EEC622">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6851054F">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34" w:type="dxa"/>
            <w:tcBorders>
              <w:top w:val="nil"/>
              <w:left w:val="nil"/>
              <w:bottom w:val="single" w:color="auto" w:sz="4" w:space="0"/>
              <w:right w:val="single" w:color="auto" w:sz="4" w:space="0"/>
            </w:tcBorders>
            <w:noWrap w:val="0"/>
            <w:vAlign w:val="center"/>
          </w:tcPr>
          <w:p w14:paraId="5D77277E">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3E98A83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EE85EE9">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14:paraId="1B92C0C0">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27" w:type="dxa"/>
            <w:tcBorders>
              <w:top w:val="nil"/>
              <w:left w:val="nil"/>
              <w:right w:val="single" w:color="auto" w:sz="4" w:space="0"/>
            </w:tcBorders>
            <w:noWrap w:val="0"/>
            <w:vAlign w:val="center"/>
          </w:tcPr>
          <w:p w14:paraId="1542D8B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561EC5C6">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65" w:type="dxa"/>
            <w:tcBorders>
              <w:top w:val="nil"/>
              <w:left w:val="nil"/>
              <w:bottom w:val="single" w:color="auto" w:sz="4" w:space="0"/>
              <w:right w:val="single" w:color="auto" w:sz="4" w:space="0"/>
            </w:tcBorders>
            <w:noWrap w:val="0"/>
            <w:vAlign w:val="center"/>
          </w:tcPr>
          <w:p w14:paraId="71E3E637">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311" w:type="dxa"/>
            <w:tcBorders>
              <w:top w:val="nil"/>
              <w:left w:val="nil"/>
              <w:bottom w:val="single" w:color="auto" w:sz="4" w:space="0"/>
              <w:right w:val="single" w:color="auto" w:sz="4" w:space="0"/>
            </w:tcBorders>
            <w:noWrap w:val="0"/>
            <w:vAlign w:val="center"/>
          </w:tcPr>
          <w:p w14:paraId="4BB0EBD3">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264" w:type="dxa"/>
            <w:tcBorders>
              <w:top w:val="nil"/>
              <w:left w:val="nil"/>
              <w:bottom w:val="single" w:color="auto" w:sz="4" w:space="0"/>
              <w:right w:val="single" w:color="auto" w:sz="4" w:space="0"/>
            </w:tcBorders>
            <w:noWrap w:val="0"/>
            <w:vAlign w:val="center"/>
          </w:tcPr>
          <w:p w14:paraId="7CB8CC76">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lang w:val="en-US" w:eastAsia="zh-CN"/>
              </w:rPr>
              <w:t>无</w:t>
            </w:r>
          </w:p>
        </w:tc>
        <w:tc>
          <w:tcPr>
            <w:tcW w:w="714" w:type="dxa"/>
            <w:tcBorders>
              <w:top w:val="nil"/>
              <w:left w:val="nil"/>
              <w:bottom w:val="single" w:color="auto" w:sz="4" w:space="0"/>
              <w:right w:val="single" w:color="auto" w:sz="4" w:space="0"/>
            </w:tcBorders>
            <w:noWrap w:val="0"/>
            <w:vAlign w:val="center"/>
          </w:tcPr>
          <w:p w14:paraId="425F7846">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417973DD">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434" w:type="dxa"/>
            <w:tcBorders>
              <w:top w:val="nil"/>
              <w:left w:val="nil"/>
              <w:bottom w:val="single" w:color="auto" w:sz="4" w:space="0"/>
              <w:right w:val="single" w:color="auto" w:sz="4" w:space="0"/>
            </w:tcBorders>
            <w:noWrap w:val="0"/>
            <w:vAlign w:val="center"/>
          </w:tcPr>
          <w:p w14:paraId="7B609BF1">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F87CEB1">
        <w:tblPrEx>
          <w:tblCellMar>
            <w:top w:w="0" w:type="dxa"/>
            <w:left w:w="108" w:type="dxa"/>
            <w:bottom w:w="0" w:type="dxa"/>
            <w:right w:w="108" w:type="dxa"/>
          </w:tblCellMar>
        </w:tblPrEx>
        <w:trPr>
          <w:trHeight w:val="290" w:hRule="atLeast"/>
          <w:jc w:val="center"/>
        </w:trPr>
        <w:tc>
          <w:tcPr>
            <w:tcW w:w="1074" w:type="dxa"/>
            <w:vMerge w:val="continue"/>
            <w:tcBorders>
              <w:left w:val="single" w:color="auto" w:sz="4" w:space="0"/>
              <w:right w:val="single" w:color="auto" w:sz="4" w:space="0"/>
            </w:tcBorders>
            <w:noWrap w:val="0"/>
            <w:vAlign w:val="center"/>
          </w:tcPr>
          <w:p w14:paraId="5345B7FA">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p>
        </w:tc>
        <w:tc>
          <w:tcPr>
            <w:tcW w:w="1074" w:type="dxa"/>
            <w:vMerge w:val="continue"/>
            <w:tcBorders>
              <w:left w:val="nil"/>
              <w:right w:val="single" w:color="auto" w:sz="4" w:space="0"/>
            </w:tcBorders>
            <w:noWrap w:val="0"/>
            <w:vAlign w:val="center"/>
          </w:tcPr>
          <w:p w14:paraId="67D426E0">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27" w:type="dxa"/>
            <w:tcBorders>
              <w:top w:val="single" w:color="auto" w:sz="4" w:space="0"/>
              <w:left w:val="single" w:color="auto" w:sz="4" w:space="0"/>
              <w:right w:val="single" w:color="auto" w:sz="4" w:space="0"/>
            </w:tcBorders>
            <w:noWrap w:val="0"/>
            <w:vAlign w:val="center"/>
          </w:tcPr>
          <w:p w14:paraId="7BA1D26F">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DD33519">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安全生产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66891E">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辖区内无重大安全事故</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98FB8F2">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lang w:val="en-US" w:eastAsia="zh-CN"/>
              </w:rPr>
              <w:t>无</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F1DF256">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69DF70B">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3927719">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sz w:val="20"/>
                <w:szCs w:val="20"/>
              </w:rPr>
              <w:t>　</w:t>
            </w:r>
          </w:p>
        </w:tc>
      </w:tr>
      <w:tr w14:paraId="4BA050B7">
        <w:tblPrEx>
          <w:tblCellMar>
            <w:top w:w="0" w:type="dxa"/>
            <w:left w:w="108" w:type="dxa"/>
            <w:bottom w:w="0" w:type="dxa"/>
            <w:right w:w="108" w:type="dxa"/>
          </w:tblCellMar>
        </w:tblPrEx>
        <w:trPr>
          <w:trHeight w:val="330" w:hRule="atLeast"/>
          <w:jc w:val="center"/>
        </w:trPr>
        <w:tc>
          <w:tcPr>
            <w:tcW w:w="1074" w:type="dxa"/>
            <w:vMerge w:val="continue"/>
            <w:tcBorders>
              <w:left w:val="single" w:color="auto" w:sz="4" w:space="0"/>
              <w:right w:val="single" w:color="auto" w:sz="4" w:space="0"/>
            </w:tcBorders>
            <w:noWrap w:val="0"/>
            <w:vAlign w:val="center"/>
          </w:tcPr>
          <w:p w14:paraId="3B03B786">
            <w:pPr>
              <w:keepNext w:val="0"/>
              <w:keepLines w:val="0"/>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p>
        </w:tc>
        <w:tc>
          <w:tcPr>
            <w:tcW w:w="1074" w:type="dxa"/>
            <w:tcBorders>
              <w:top w:val="nil"/>
              <w:left w:val="nil"/>
              <w:right w:val="single" w:color="auto" w:sz="4" w:space="0"/>
            </w:tcBorders>
            <w:noWrap w:val="0"/>
            <w:vAlign w:val="center"/>
          </w:tcPr>
          <w:p w14:paraId="48FB6D16">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35BEBFD2">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713BA901">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27" w:type="dxa"/>
            <w:tcBorders>
              <w:top w:val="nil"/>
              <w:left w:val="nil"/>
              <w:right w:val="single" w:color="auto" w:sz="4" w:space="0"/>
            </w:tcBorders>
            <w:noWrap w:val="0"/>
            <w:vAlign w:val="center"/>
          </w:tcPr>
          <w:p w14:paraId="1DE7E412">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65" w:type="dxa"/>
            <w:tcBorders>
              <w:top w:val="nil"/>
              <w:left w:val="nil"/>
              <w:bottom w:val="single" w:color="auto" w:sz="4" w:space="0"/>
              <w:right w:val="single" w:color="auto" w:sz="4" w:space="0"/>
            </w:tcBorders>
            <w:noWrap w:val="0"/>
            <w:vAlign w:val="center"/>
          </w:tcPr>
          <w:p w14:paraId="682DD170">
            <w:pPr>
              <w:keepNext w:val="0"/>
              <w:keepLines w:val="0"/>
              <w:widowControl/>
              <w:suppressLineNumbers w:val="0"/>
              <w:spacing w:before="0" w:beforeAutospacing="0" w:after="0" w:afterAutospacing="0" w:line="240" w:lineRule="exact"/>
              <w:ind w:left="0" w:leftChars="0" w:right="0" w:rightChars="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社会公众或服务对象满意度</w:t>
            </w:r>
          </w:p>
        </w:tc>
        <w:tc>
          <w:tcPr>
            <w:tcW w:w="1311" w:type="dxa"/>
            <w:tcBorders>
              <w:top w:val="nil"/>
              <w:left w:val="nil"/>
              <w:bottom w:val="single" w:color="auto" w:sz="4" w:space="0"/>
              <w:right w:val="single" w:color="auto" w:sz="4" w:space="0"/>
            </w:tcBorders>
            <w:noWrap w:val="0"/>
            <w:vAlign w:val="center"/>
          </w:tcPr>
          <w:p w14:paraId="73D0DCB9">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1264" w:type="dxa"/>
            <w:tcBorders>
              <w:top w:val="nil"/>
              <w:left w:val="nil"/>
              <w:bottom w:val="single" w:color="auto" w:sz="4" w:space="0"/>
              <w:right w:val="single" w:color="auto" w:sz="4" w:space="0"/>
            </w:tcBorders>
            <w:noWrap w:val="0"/>
            <w:vAlign w:val="center"/>
          </w:tcPr>
          <w:p w14:paraId="78529B8E">
            <w:pPr>
              <w:keepNext w:val="0"/>
              <w:keepLines w:val="0"/>
              <w:widowControl/>
              <w:suppressLineNumbers w:val="0"/>
              <w:spacing w:before="0" w:beforeAutospacing="0" w:after="0" w:afterAutospacing="0" w:line="240" w:lineRule="exact"/>
              <w:ind w:left="0" w:leftChars="0" w:right="0" w:rightChars="0"/>
              <w:jc w:val="left"/>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highlight w:val="none"/>
                <w:lang w:val="en-US" w:eastAsia="zh-CN"/>
              </w:rPr>
              <w:t>96%</w:t>
            </w:r>
          </w:p>
        </w:tc>
        <w:tc>
          <w:tcPr>
            <w:tcW w:w="714" w:type="dxa"/>
            <w:tcBorders>
              <w:top w:val="nil"/>
              <w:left w:val="nil"/>
              <w:bottom w:val="single" w:color="auto" w:sz="4" w:space="0"/>
              <w:right w:val="single" w:color="auto" w:sz="4" w:space="0"/>
            </w:tcBorders>
            <w:noWrap w:val="0"/>
            <w:vAlign w:val="center"/>
          </w:tcPr>
          <w:p w14:paraId="11655BE6">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10BB8955">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34" w:type="dxa"/>
            <w:tcBorders>
              <w:top w:val="nil"/>
              <w:left w:val="nil"/>
              <w:bottom w:val="single" w:color="auto" w:sz="4" w:space="0"/>
              <w:right w:val="single" w:color="auto" w:sz="4" w:space="0"/>
            </w:tcBorders>
            <w:noWrap w:val="0"/>
            <w:vAlign w:val="center"/>
          </w:tcPr>
          <w:p w14:paraId="5591335B">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5BC670BE">
        <w:tblPrEx>
          <w:tblCellMar>
            <w:top w:w="0" w:type="dxa"/>
            <w:left w:w="108" w:type="dxa"/>
            <w:bottom w:w="0" w:type="dxa"/>
            <w:right w:w="108" w:type="dxa"/>
          </w:tblCellMar>
        </w:tblPrEx>
        <w:trPr>
          <w:trHeight w:val="270" w:hRule="atLeast"/>
          <w:jc w:val="center"/>
        </w:trPr>
        <w:tc>
          <w:tcPr>
            <w:tcW w:w="7015" w:type="dxa"/>
            <w:gridSpan w:val="6"/>
            <w:tcBorders>
              <w:top w:val="single" w:color="auto" w:sz="4" w:space="0"/>
              <w:left w:val="single" w:color="auto" w:sz="4" w:space="0"/>
              <w:bottom w:val="single" w:color="auto" w:sz="4" w:space="0"/>
              <w:right w:val="single" w:color="000000" w:sz="4" w:space="0"/>
            </w:tcBorders>
            <w:noWrap w:val="0"/>
            <w:vAlign w:val="center"/>
          </w:tcPr>
          <w:p w14:paraId="53EEB63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4" w:type="dxa"/>
            <w:tcBorders>
              <w:top w:val="nil"/>
              <w:left w:val="nil"/>
              <w:bottom w:val="single" w:color="auto" w:sz="4" w:space="0"/>
              <w:right w:val="single" w:color="auto" w:sz="4" w:space="0"/>
            </w:tcBorders>
            <w:noWrap w:val="0"/>
            <w:vAlign w:val="center"/>
          </w:tcPr>
          <w:p w14:paraId="680E2CB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916" w:type="dxa"/>
            <w:tcBorders>
              <w:top w:val="nil"/>
              <w:left w:val="nil"/>
              <w:bottom w:val="single" w:color="auto" w:sz="4" w:space="0"/>
              <w:right w:val="single" w:color="auto" w:sz="4" w:space="0"/>
            </w:tcBorders>
            <w:noWrap w:val="0"/>
            <w:vAlign w:val="center"/>
          </w:tcPr>
          <w:p w14:paraId="33E2D8A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97</w:t>
            </w:r>
          </w:p>
        </w:tc>
        <w:tc>
          <w:tcPr>
            <w:tcW w:w="1434" w:type="dxa"/>
            <w:tcBorders>
              <w:top w:val="nil"/>
              <w:left w:val="nil"/>
              <w:bottom w:val="single" w:color="auto" w:sz="4" w:space="0"/>
              <w:right w:val="single" w:color="auto" w:sz="4" w:space="0"/>
            </w:tcBorders>
            <w:noWrap w:val="0"/>
            <w:vAlign w:val="center"/>
          </w:tcPr>
          <w:p w14:paraId="4AB8AB84">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64206BF3">
      <w:pPr>
        <w:tabs>
          <w:tab w:val="left" w:pos="7560"/>
        </w:tabs>
        <w:adjustRightInd w:val="0"/>
        <w:snapToGrid w:val="0"/>
        <w:spacing w:line="560" w:lineRule="exact"/>
        <w:rPr>
          <w:rFonts w:hint="default" w:ascii="Times New Roman" w:hAnsi="Times New Roman" w:eastAsia="仿宋_GB2312" w:cs="Times New Roman"/>
          <w:kern w:val="2"/>
          <w:sz w:val="22"/>
          <w:szCs w:val="22"/>
        </w:rPr>
        <w:sectPr>
          <w:pgSz w:w="11906" w:h="16838"/>
          <w:pgMar w:top="2098" w:right="1531" w:bottom="1984" w:left="1531" w:header="851" w:footer="1587" w:gutter="0"/>
          <w:pgNumType w:fmt="decimal"/>
          <w:cols w:space="720" w:num="1"/>
          <w:rtlGutter w:val="0"/>
          <w:docGrid w:linePitch="312" w:charSpace="0"/>
        </w:sectPr>
      </w:pPr>
      <w:r>
        <w:rPr>
          <w:rFonts w:hint="default" w:ascii="Times New Roman" w:hAnsi="Times New Roman" w:eastAsia="仿宋_GB2312" w:cs="Times New Roman"/>
          <w:kern w:val="2"/>
          <w:sz w:val="22"/>
          <w:szCs w:val="22"/>
        </w:rPr>
        <w:t>填表人：</w:t>
      </w:r>
      <w:r>
        <w:rPr>
          <w:rFonts w:hint="eastAsia" w:ascii="Times New Roman" w:hAnsi="Times New Roman" w:eastAsia="仿宋_GB2312" w:cs="Times New Roman"/>
          <w:kern w:val="2"/>
          <w:sz w:val="22"/>
          <w:szCs w:val="22"/>
          <w:lang w:val="en-US" w:eastAsia="zh-CN"/>
        </w:rPr>
        <w:t>林雅婷</w:t>
      </w:r>
      <w:r>
        <w:rPr>
          <w:rFonts w:hint="default" w:ascii="Times New Roman" w:hAnsi="Times New Roman" w:eastAsia="仿宋_GB2312" w:cs="Times New Roman"/>
          <w:kern w:val="2"/>
          <w:sz w:val="22"/>
          <w:szCs w:val="22"/>
        </w:rPr>
        <w:t xml:space="preserve"> 填报日期：</w:t>
      </w:r>
      <w:r>
        <w:rPr>
          <w:rFonts w:hint="eastAsia" w:ascii="Times New Roman" w:hAnsi="Times New Roman" w:eastAsia="仿宋_GB2312" w:cs="Times New Roman"/>
          <w:kern w:val="2"/>
          <w:sz w:val="22"/>
          <w:szCs w:val="22"/>
          <w:lang w:val="en-US" w:eastAsia="zh-CN"/>
        </w:rPr>
        <w:t xml:space="preserve">       </w:t>
      </w:r>
      <w:r>
        <w:rPr>
          <w:rFonts w:hint="default" w:ascii="Times New Roman" w:hAnsi="Times New Roman" w:eastAsia="仿宋_GB2312" w:cs="Times New Roman"/>
          <w:kern w:val="2"/>
          <w:sz w:val="22"/>
          <w:szCs w:val="22"/>
        </w:rPr>
        <w:t xml:space="preserve"> 联系电话：28287125 单位负责人签字：周仁仁</w:t>
      </w:r>
    </w:p>
    <w:p w14:paraId="0943C066"/>
    <w:sectPr>
      <w:type w:val="continuous"/>
      <w:pgSz w:w="11906" w:h="16838"/>
      <w:pgMar w:top="2098" w:right="1531" w:bottom="1984" w:left="1531" w:header="851" w:footer="158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53BDED-FB68-43B6-9E36-8049DF99BF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47DF4FCC-D9F6-402D-9B82-7AA0B9FE7E94}"/>
  </w:font>
  <w:font w:name="方正大标宋简体">
    <w:altName w:val="微软雅黑"/>
    <w:panose1 w:val="03000509000000000000"/>
    <w:charset w:val="86"/>
    <w:family w:val="script"/>
    <w:pitch w:val="default"/>
    <w:sig w:usb0="00000000" w:usb1="00000000" w:usb2="00000000" w:usb3="00000000" w:csb0="00040001" w:csb1="00000000"/>
    <w:embedRegular r:id="rId3" w:fontKey="{D41ED39A-E4ED-41AF-BF37-A82C117ED14D}"/>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E7CB2E6B-197E-4773-9433-23C283DB7CEC}"/>
  </w:font>
  <w:font w:name="楷体_GB2312">
    <w:panose1 w:val="02010609030101010101"/>
    <w:charset w:val="86"/>
    <w:family w:val="modern"/>
    <w:pitch w:val="default"/>
    <w:sig w:usb0="00000001" w:usb1="080E0000" w:usb2="00000000" w:usb3="00000000" w:csb0="00040000" w:csb1="00000000"/>
    <w:embedRegular r:id="rId5" w:fontKey="{C7CBA1A7-13A5-4904-82A6-019B009605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9F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F252D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AF252D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37B0F"/>
    <w:multiLevelType w:val="singleLevel"/>
    <w:tmpl w:val="93337B0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HorizontalSpacing w:val="280"/>
  <w:drawingGridVerticalSpacing w:val="-794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f0e40085-dac9-420c-a5bf-2893a2427577"/>
  </w:docVars>
  <w:rsids>
    <w:rsidRoot w:val="0AB453A7"/>
    <w:rsid w:val="0AB453A7"/>
    <w:rsid w:val="0BBA22F0"/>
    <w:rsid w:val="0C4A65F8"/>
    <w:rsid w:val="10665EE8"/>
    <w:rsid w:val="19BD1BDB"/>
    <w:rsid w:val="1C4D46DA"/>
    <w:rsid w:val="201A6C0A"/>
    <w:rsid w:val="24CB5B4D"/>
    <w:rsid w:val="25F83CC4"/>
    <w:rsid w:val="289204E9"/>
    <w:rsid w:val="28A125E2"/>
    <w:rsid w:val="2BF10171"/>
    <w:rsid w:val="343619D9"/>
    <w:rsid w:val="35E9233F"/>
    <w:rsid w:val="35F8340D"/>
    <w:rsid w:val="39EC0289"/>
    <w:rsid w:val="3A6A35C8"/>
    <w:rsid w:val="3ACD3B57"/>
    <w:rsid w:val="3C8D5EC2"/>
    <w:rsid w:val="4152716E"/>
    <w:rsid w:val="41736F58"/>
    <w:rsid w:val="448E072E"/>
    <w:rsid w:val="45AB2CE7"/>
    <w:rsid w:val="45CF2331"/>
    <w:rsid w:val="4BF0035E"/>
    <w:rsid w:val="4D467EC5"/>
    <w:rsid w:val="4F7C6AD1"/>
    <w:rsid w:val="536479B5"/>
    <w:rsid w:val="54DD1891"/>
    <w:rsid w:val="55C6466C"/>
    <w:rsid w:val="58AD4469"/>
    <w:rsid w:val="593B695E"/>
    <w:rsid w:val="59B212B6"/>
    <w:rsid w:val="5AA325F6"/>
    <w:rsid w:val="5F90700F"/>
    <w:rsid w:val="62857AB0"/>
    <w:rsid w:val="628B6F08"/>
    <w:rsid w:val="64AD519B"/>
    <w:rsid w:val="673B1B2B"/>
    <w:rsid w:val="67F2375A"/>
    <w:rsid w:val="72A92083"/>
    <w:rsid w:val="73581FC5"/>
    <w:rsid w:val="74097201"/>
    <w:rsid w:val="74F87553"/>
    <w:rsid w:val="79326416"/>
    <w:rsid w:val="7CA403EE"/>
    <w:rsid w:val="7DA22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annotation text"/>
    <w:basedOn w:val="1"/>
    <w:qFormat/>
    <w:uiPriority w:val="0"/>
    <w:pPr>
      <w:jc w:val="left"/>
    </w:pPr>
  </w:style>
  <w:style w:type="paragraph" w:styleId="4">
    <w:name w:val="Body Text"/>
    <w:basedOn w:val="1"/>
    <w:link w:val="9"/>
    <w:qFormat/>
    <w:uiPriority w:val="0"/>
    <w:pPr>
      <w:spacing w:after="120" w:afterLines="0" w:afterAutospacing="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val="0"/>
      <w:suppressLineNumbers w:val="0"/>
      <w:spacing w:before="100" w:beforeAutospacing="1" w:after="100" w:afterAutospacing="1"/>
      <w:ind w:left="0" w:right="0"/>
      <w:jc w:val="left"/>
    </w:pPr>
    <w:rPr>
      <w:rFonts w:hint="eastAsia" w:ascii="仿宋" w:hAnsi="仿宋" w:eastAsia="宋体" w:cs="Times New Roman"/>
      <w:kern w:val="0"/>
      <w:sz w:val="24"/>
      <w:szCs w:val="24"/>
      <w:lang w:val="en-US" w:eastAsia="zh-CN" w:bidi="ar"/>
    </w:rPr>
  </w:style>
  <w:style w:type="character" w:customStyle="1" w:styleId="9">
    <w:name w:val="正文文本 字符"/>
    <w:basedOn w:val="8"/>
    <w:link w:val="4"/>
    <w:qFormat/>
    <w:uiPriority w:val="0"/>
    <w:rPr>
      <w:rFonts w:hint="eastAsia" w:ascii="仿宋" w:hAnsi="仿宋" w:eastAsia="仿宋" w:cs="仿宋"/>
      <w:sz w:val="28"/>
      <w:szCs w:val="24"/>
    </w:rPr>
  </w:style>
  <w:style w:type="paragraph" w:customStyle="1" w:styleId="10">
    <w:name w:val="正文文字"/>
    <w:next w:val="1"/>
    <w:qFormat/>
    <w:uiPriority w:val="0"/>
    <w:pPr>
      <w:widowControl w:val="0"/>
      <w:spacing w:after="120"/>
      <w:jc w:val="both"/>
    </w:pPr>
    <w:rPr>
      <w:rFonts w:ascii="Times New Roman" w:hAnsi="Times New Roman" w:eastAsia="宋体" w:cs="Times New Roman"/>
      <w:kern w:val="2"/>
      <w:sz w:val="30"/>
      <w:szCs w:val="30"/>
      <w:lang w:val="en-US" w:eastAsia="zh-CN" w:bidi="ar-SA"/>
    </w:rPr>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0"/>
      <w:sz w:val="28"/>
      <w:szCs w:val="22"/>
      <w:lang w:val="en-US" w:eastAsia="zh-CN" w:bidi="ar"/>
    </w:rPr>
  </w:style>
  <w:style w:type="paragraph" w:customStyle="1" w:styleId="13">
    <w:name w:val="BodyText1I2"/>
    <w:basedOn w:val="14"/>
    <w:qFormat/>
    <w:uiPriority w:val="0"/>
    <w:pPr>
      <w:spacing w:line="360" w:lineRule="auto"/>
      <w:ind w:firstLine="420" w:firstLineChars="200"/>
      <w:textAlignment w:val="baseline"/>
    </w:pPr>
    <w:rPr>
      <w:rFonts w:ascii="方正仿宋_GBK" w:eastAsia="方正仿宋_GBK"/>
      <w:sz w:val="30"/>
    </w:rPr>
  </w:style>
  <w:style w:type="paragraph" w:customStyle="1" w:styleId="14">
    <w:name w:val="BodyText1I"/>
    <w:basedOn w:val="15"/>
    <w:qFormat/>
    <w:uiPriority w:val="0"/>
    <w:pPr>
      <w:spacing w:after="120"/>
      <w:ind w:firstLine="420" w:firstLineChars="100"/>
      <w:jc w:val="both"/>
      <w:textAlignment w:val="baseline"/>
    </w:pPr>
    <w:rPr>
      <w:rFonts w:ascii="Times New Roman" w:hAnsi="Times New Roman" w:eastAsia="宋体" w:cs="Times New Roman"/>
    </w:rPr>
  </w:style>
  <w:style w:type="paragraph" w:customStyle="1" w:styleId="15">
    <w:name w:val="BodyText"/>
    <w:basedOn w:val="1"/>
    <w:qFormat/>
    <w:uiPriority w:val="0"/>
    <w:pPr>
      <w:spacing w:after="120"/>
      <w:jc w:val="both"/>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5873</Words>
  <Characters>6102</Characters>
  <Lines>0</Lines>
  <Paragraphs>0</Paragraphs>
  <TotalTime>0</TotalTime>
  <ScaleCrop>false</ScaleCrop>
  <LinksUpToDate>false</LinksUpToDate>
  <CharactersWithSpaces>6182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2024-10-18T03:41:00Z</dcterms:created>
  <dc:creator>wlepff</dc:creator>
  <cp:lastModifiedBy>Ming</cp:lastModifiedBy>
  <dcterms:modified xsi:type="dcterms:W3CDTF">2024-12-16T07:36:50Z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31DD05BDBA06438496313479105833BF_13</vt:lpwstr>
  </property>
</Properties>
</file>