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6B1A3">
      <w:pPr>
        <w:tabs>
          <w:tab w:val="left" w:pos="7560"/>
        </w:tabs>
        <w:adjustRightInd w:val="0"/>
        <w:snapToGrid w:val="0"/>
        <w:spacing w:line="560" w:lineRule="exact"/>
        <w:jc w:val="left"/>
        <w:rPr>
          <w:rFonts w:hint="eastAsia"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附件1</w:t>
      </w:r>
    </w:p>
    <w:p w14:paraId="125CF7F7">
      <w:pPr>
        <w:tabs>
          <w:tab w:val="left" w:pos="7560"/>
        </w:tabs>
        <w:adjustRightInd w:val="0"/>
        <w:snapToGrid w:val="0"/>
        <w:spacing w:line="560" w:lineRule="exact"/>
        <w:jc w:val="left"/>
        <w:rPr>
          <w:rFonts w:ascii="Times New Roman" w:hAnsi="Times New Roman" w:eastAsia="黑体" w:cs="Times New Roman"/>
          <w:sz w:val="32"/>
          <w:szCs w:val="32"/>
        </w:rPr>
      </w:pPr>
    </w:p>
    <w:p w14:paraId="0CADDAE8">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6D48FE84">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380F6296">
      <w:pPr>
        <w:spacing w:line="600" w:lineRule="exact"/>
        <w:ind w:firstLine="3520" w:firstLineChars="1100"/>
        <w:jc w:val="left"/>
        <w:rPr>
          <w:rFonts w:ascii="Times New Roman" w:hAnsi="Times New Roman" w:eastAsia="仿宋_GB2312" w:cs="Times New Roman"/>
          <w:sz w:val="32"/>
          <w:szCs w:val="32"/>
        </w:rPr>
      </w:pPr>
    </w:p>
    <w:p w14:paraId="0E707495">
      <w:pPr>
        <w:jc w:val="center"/>
        <w:rPr>
          <w:rFonts w:ascii="Times New Roman" w:hAnsi="Times New Roman" w:eastAsia="楷体_GB2312" w:cs="Times New Roman"/>
          <w:b/>
          <w:sz w:val="32"/>
          <w:szCs w:val="32"/>
        </w:rPr>
      </w:pPr>
    </w:p>
    <w:p w14:paraId="5B4BDEE5">
      <w:pPr>
        <w:jc w:val="center"/>
        <w:rPr>
          <w:rFonts w:ascii="Times New Roman" w:hAnsi="Times New Roman" w:eastAsia="楷体_GB2312" w:cs="Times New Roman"/>
          <w:b/>
          <w:sz w:val="32"/>
          <w:szCs w:val="32"/>
        </w:rPr>
      </w:pPr>
    </w:p>
    <w:p w14:paraId="64D2E43C">
      <w:pPr>
        <w:jc w:val="center"/>
        <w:rPr>
          <w:rFonts w:ascii="Times New Roman" w:hAnsi="Times New Roman" w:eastAsia="楷体_GB2312" w:cs="Times New Roman"/>
          <w:b/>
          <w:sz w:val="32"/>
          <w:szCs w:val="32"/>
        </w:rPr>
      </w:pPr>
    </w:p>
    <w:p w14:paraId="666D943B">
      <w:pPr>
        <w:jc w:val="center"/>
        <w:rPr>
          <w:rFonts w:ascii="Times New Roman" w:hAnsi="Times New Roman" w:eastAsia="楷体_GB2312" w:cs="Times New Roman"/>
          <w:b/>
          <w:sz w:val="32"/>
          <w:szCs w:val="32"/>
        </w:rPr>
      </w:pPr>
    </w:p>
    <w:p w14:paraId="4ABDA4D8">
      <w:pPr>
        <w:jc w:val="center"/>
        <w:rPr>
          <w:rFonts w:ascii="Times New Roman" w:hAnsi="Times New Roman" w:eastAsia="楷体_GB2312" w:cs="Times New Roman"/>
          <w:b/>
          <w:sz w:val="32"/>
          <w:szCs w:val="32"/>
        </w:rPr>
      </w:pPr>
    </w:p>
    <w:p w14:paraId="3A9A9C25">
      <w:pPr>
        <w:jc w:val="center"/>
        <w:rPr>
          <w:rFonts w:ascii="Times New Roman" w:hAnsi="Times New Roman" w:eastAsia="楷体_GB2312" w:cs="Times New Roman"/>
          <w:b/>
          <w:sz w:val="32"/>
          <w:szCs w:val="32"/>
        </w:rPr>
      </w:pPr>
    </w:p>
    <w:p w14:paraId="5FA3B377">
      <w:pPr>
        <w:jc w:val="center"/>
        <w:rPr>
          <w:rFonts w:ascii="Times New Roman" w:hAnsi="Times New Roman" w:eastAsia="黑体" w:cs="Times New Roman"/>
          <w:sz w:val="32"/>
          <w:szCs w:val="32"/>
        </w:rPr>
      </w:pPr>
    </w:p>
    <w:p w14:paraId="1967ED53">
      <w:pPr>
        <w:jc w:val="center"/>
        <w:rPr>
          <w:rFonts w:ascii="Times New Roman" w:hAnsi="Times New Roman" w:eastAsia="黑体" w:cs="Times New Roman"/>
          <w:sz w:val="32"/>
          <w:szCs w:val="32"/>
        </w:rPr>
      </w:pPr>
    </w:p>
    <w:p w14:paraId="40DD1E0E">
      <w:pPr>
        <w:jc w:val="center"/>
        <w:rPr>
          <w:rFonts w:ascii="Times New Roman" w:hAnsi="Times New Roman" w:eastAsia="黑体" w:cs="Times New Roman"/>
          <w:sz w:val="32"/>
          <w:szCs w:val="32"/>
        </w:rPr>
      </w:pPr>
    </w:p>
    <w:p w14:paraId="7551CDFC">
      <w:pPr>
        <w:jc w:val="center"/>
        <w:rPr>
          <w:rFonts w:ascii="Times New Roman" w:hAnsi="Times New Roman" w:eastAsia="黑体" w:cs="Times New Roman"/>
          <w:sz w:val="32"/>
          <w:szCs w:val="32"/>
        </w:rPr>
      </w:pPr>
    </w:p>
    <w:p w14:paraId="7F0FA8DE">
      <w:pPr>
        <w:jc w:val="center"/>
        <w:rPr>
          <w:rFonts w:ascii="Times New Roman" w:hAnsi="Times New Roman" w:eastAsia="黑体" w:cs="Times New Roman"/>
          <w:sz w:val="32"/>
          <w:szCs w:val="32"/>
        </w:rPr>
      </w:pPr>
    </w:p>
    <w:p w14:paraId="430F68FC">
      <w:pPr>
        <w:jc w:val="center"/>
        <w:rPr>
          <w:rFonts w:ascii="Times New Roman" w:hAnsi="Times New Roman" w:eastAsia="黑体" w:cs="Times New Roman"/>
          <w:sz w:val="32"/>
          <w:szCs w:val="32"/>
        </w:rPr>
      </w:pPr>
    </w:p>
    <w:p w14:paraId="6F8C7C28">
      <w:pPr>
        <w:jc w:val="center"/>
        <w:rPr>
          <w:rFonts w:ascii="Times New Roman" w:hAnsi="Times New Roman" w:eastAsia="黑体" w:cs="Times New Roman"/>
          <w:sz w:val="32"/>
          <w:szCs w:val="32"/>
        </w:rPr>
      </w:pPr>
    </w:p>
    <w:p w14:paraId="00D16A33">
      <w:pPr>
        <w:jc w:val="center"/>
        <w:rPr>
          <w:rFonts w:ascii="Times New Roman" w:hAnsi="Times New Roman" w:eastAsia="黑体" w:cs="Times New Roman"/>
          <w:sz w:val="32"/>
          <w:szCs w:val="32"/>
        </w:rPr>
      </w:pPr>
    </w:p>
    <w:p w14:paraId="33D563DE">
      <w:pPr>
        <w:jc w:val="center"/>
        <w:rPr>
          <w:rFonts w:ascii="Times New Roman" w:hAnsi="Times New Roman" w:eastAsia="黑体" w:cs="Times New Roman"/>
          <w:sz w:val="32"/>
          <w:szCs w:val="32"/>
        </w:rPr>
      </w:pPr>
    </w:p>
    <w:p w14:paraId="76644289">
      <w:pPr>
        <w:jc w:val="center"/>
        <w:rPr>
          <w:rFonts w:ascii="Times New Roman" w:hAnsi="Times New Roman" w:eastAsia="黑体" w:cs="Times New Roman"/>
          <w:sz w:val="32"/>
          <w:szCs w:val="32"/>
        </w:rPr>
      </w:pPr>
    </w:p>
    <w:p w14:paraId="26CD9C72">
      <w:pPr>
        <w:spacing w:line="600" w:lineRule="exact"/>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株洲市芦淞区退役军人事务局（盖章）</w:t>
      </w:r>
    </w:p>
    <w:p w14:paraId="18C20A07">
      <w:pPr>
        <w:spacing w:line="600" w:lineRule="exact"/>
        <w:ind w:firstLine="3200" w:firstLineChars="10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14:paraId="22F04A96">
      <w:pPr>
        <w:jc w:val="center"/>
        <w:rPr>
          <w:rFonts w:hint="eastAsia" w:ascii="Times New Roman" w:hAnsi="Times New Roman" w:eastAsia="仿宋_GB2312" w:cs="Times New Roman"/>
          <w:sz w:val="32"/>
          <w:szCs w:val="32"/>
        </w:rPr>
      </w:pPr>
    </w:p>
    <w:p w14:paraId="1D082B5C">
      <w:pPr>
        <w:ind w:firstLine="2880" w:firstLineChars="900"/>
        <w:rPr>
          <w:rFonts w:hint="eastAsia" w:ascii="Times New Roman" w:hAnsi="Times New Roman" w:eastAsia="仿宋_GB2312" w:cs="Times New Roman"/>
          <w:sz w:val="32"/>
          <w:szCs w:val="32"/>
        </w:rPr>
      </w:pPr>
    </w:p>
    <w:p w14:paraId="05CE5DA5">
      <w:pPr>
        <w:ind w:firstLine="2880" w:firstLineChars="900"/>
        <w:rPr>
          <w:rFonts w:hint="eastAsia" w:ascii="Times New Roman" w:hAnsi="Times New Roman" w:eastAsia="仿宋_GB2312" w:cs="Times New Roman"/>
          <w:sz w:val="32"/>
          <w:szCs w:val="32"/>
        </w:rPr>
      </w:pPr>
    </w:p>
    <w:p w14:paraId="5AADEC5E">
      <w:pPr>
        <w:ind w:firstLine="2880" w:firstLineChars="900"/>
        <w:rPr>
          <w:rFonts w:hint="eastAsia" w:ascii="Times New Roman" w:hAnsi="Times New Roman" w:eastAsia="仿宋_GB2312" w:cs="Times New Roman"/>
          <w:sz w:val="32"/>
          <w:szCs w:val="32"/>
        </w:rPr>
      </w:pPr>
    </w:p>
    <w:p w14:paraId="06829A3F">
      <w:pPr>
        <w:ind w:firstLine="2880" w:firstLineChars="900"/>
        <w:rPr>
          <w:rFonts w:hint="eastAsia" w:ascii="Times New Roman" w:hAnsi="Times New Roman" w:eastAsia="仿宋_GB2312" w:cs="Times New Roman"/>
          <w:sz w:val="32"/>
          <w:szCs w:val="32"/>
        </w:rPr>
      </w:pPr>
    </w:p>
    <w:p w14:paraId="716A1C2E">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eastAsia="zh-CN"/>
        </w:rPr>
        <w:t>芦淞区退役军人事务局</w:t>
      </w:r>
      <w:r>
        <w:rPr>
          <w:rFonts w:hint="eastAsia" w:ascii="Times New Roman" w:hAnsi="Times New Roman" w:eastAsia="方正小标宋简体" w:cs="Times New Roman"/>
          <w:sz w:val="40"/>
          <w:szCs w:val="32"/>
        </w:rPr>
        <w:t>整体支出</w:t>
      </w:r>
    </w:p>
    <w:p w14:paraId="0C55D539">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634E68E0">
      <w:pPr>
        <w:jc w:val="left"/>
        <w:rPr>
          <w:rFonts w:ascii="Times New Roman" w:hAnsi="Times New Roman" w:eastAsia="仿宋_GB2312" w:cs="Times New Roman"/>
          <w:sz w:val="32"/>
          <w:szCs w:val="32"/>
        </w:rPr>
      </w:pPr>
    </w:p>
    <w:p w14:paraId="4D9BB50F">
      <w:pPr>
        <w:jc w:val="left"/>
        <w:rPr>
          <w:rFonts w:ascii="Times New Roman" w:hAnsi="Times New Roman" w:eastAsia="仿宋_GB2312" w:cs="Times New Roman"/>
          <w:sz w:val="32"/>
          <w:szCs w:val="32"/>
        </w:rPr>
      </w:pPr>
    </w:p>
    <w:p w14:paraId="12AD0E4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0E60A4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rPr>
        <w:t>主要职责</w:t>
      </w:r>
    </w:p>
    <w:p w14:paraId="535B6BAD">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rPr>
        <w:t>贯彻执行党和国家关于退役军人思想政治、管理保障和安置优抚等工作政策法规，拟订全区退役军人事务发展规划和政策，并组织实施；褒扬彰显退役军人为党、国家和人民牺牲奉献的精神风范和价值导向。</w:t>
      </w:r>
    </w:p>
    <w:p w14:paraId="775C80D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rPr>
        <w:t>负责全区军队转业干部、复员干部、退役士兵和无军籍退休退职职工的移交安置工作和自主择业、就业退役军人服务管理工作。</w:t>
      </w:r>
    </w:p>
    <w:p w14:paraId="35BEEDC8">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rPr>
        <w:t>组织指导全区退役军人教育培训工作，协调扶持退役军人和随军随调家属就业创业。</w:t>
      </w:r>
    </w:p>
    <w:p w14:paraId="20620062">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贯彻落实国家关于退役军人的特殊保障政策，会同有关部门制定相关政策，并组织实施。</w:t>
      </w:r>
    </w:p>
    <w:p w14:paraId="08BAB58E">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rPr>
        <w:t>组织协调落实全区退役军人医疗保障、社会保险等待遇保障工作；承担全区不适宜继续服役的伤病残军人相关工作。</w:t>
      </w:r>
    </w:p>
    <w:p w14:paraId="65FD8F19">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6.</w:t>
      </w:r>
      <w:r>
        <w:rPr>
          <w:rFonts w:hint="eastAsia" w:ascii="Times New Roman" w:hAnsi="Times New Roman" w:eastAsia="仿宋_GB2312" w:cs="Times New Roman"/>
          <w:color w:val="000000"/>
          <w:kern w:val="0"/>
          <w:sz w:val="32"/>
          <w:szCs w:val="32"/>
        </w:rPr>
        <w:t>组织指导全区拥军优属工作。负责全区现役军人、退役军人、军队文职人员和军属优待、抚恤等工作。</w:t>
      </w:r>
    </w:p>
    <w:p w14:paraId="41A1FC5D">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7.</w:t>
      </w:r>
      <w:r>
        <w:rPr>
          <w:rFonts w:hint="eastAsia" w:ascii="Times New Roman" w:hAnsi="Times New Roman" w:eastAsia="仿宋_GB2312" w:cs="Times New Roman"/>
          <w:color w:val="000000"/>
          <w:kern w:val="0"/>
          <w:sz w:val="32"/>
          <w:szCs w:val="32"/>
        </w:rPr>
        <w:t>负责全区烈士及退役军人荣誉奖励、纪念活动等工作，依法承担英雄烈士保护相关工作，审核拟列入全区重点保护的烈士纪念建筑物名录，总结表彰和宣扬退役军人、退役军人工作单位和个人先进典型事迹。</w:t>
      </w:r>
    </w:p>
    <w:p w14:paraId="389A9A95">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8.</w:t>
      </w:r>
      <w:r>
        <w:rPr>
          <w:rFonts w:hint="eastAsia" w:ascii="Times New Roman" w:hAnsi="Times New Roman" w:eastAsia="仿宋_GB2312" w:cs="Times New Roman"/>
          <w:color w:val="000000"/>
          <w:kern w:val="0"/>
          <w:sz w:val="32"/>
          <w:szCs w:val="32"/>
        </w:rPr>
        <w:t>指导并监督检查退役军人相关法律法规和政策措施的落实；开展全区退役军人权益维护和有关人员的帮扶援助工作。</w:t>
      </w:r>
    </w:p>
    <w:p w14:paraId="15756E62">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9.</w:t>
      </w:r>
      <w:r>
        <w:rPr>
          <w:rFonts w:hint="eastAsia" w:ascii="Times New Roman" w:hAnsi="Times New Roman" w:eastAsia="仿宋_GB2312" w:cs="Times New Roman"/>
          <w:color w:val="000000"/>
          <w:kern w:val="0"/>
          <w:sz w:val="32"/>
          <w:szCs w:val="32"/>
        </w:rPr>
        <w:t>完成区委、区政府交办的其他任务。</w:t>
      </w:r>
    </w:p>
    <w:p w14:paraId="25A5E92E">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10.</w:t>
      </w:r>
      <w:r>
        <w:rPr>
          <w:rFonts w:hint="eastAsia" w:ascii="Times New Roman" w:hAnsi="Times New Roman" w:eastAsia="仿宋_GB2312" w:cs="Times New Roman"/>
          <w:color w:val="000000"/>
          <w:kern w:val="0"/>
          <w:sz w:val="32"/>
          <w:szCs w:val="32"/>
        </w:rPr>
        <w:t>职能转变。区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746C2B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rPr>
        <w:t>机构情况</w:t>
      </w:r>
    </w:p>
    <w:p w14:paraId="0A693C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本单位是直属区政府的、正科级全额拨款行政单位，内设股级单位1个，</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退役军人服务中心。</w:t>
      </w:r>
    </w:p>
    <w:p w14:paraId="6F8AD8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rPr>
        <w:t>人员情况</w:t>
      </w:r>
    </w:p>
    <w:p w14:paraId="0B2E1F74">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株洲市芦淞区退役军人事务局属区一级预算单位，部门共有编制人数7人，实有人数</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人</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其中在编人员</w:t>
      </w:r>
      <w:r>
        <w:rPr>
          <w:rFonts w:hint="default"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人，无固定期限人员</w:t>
      </w: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人</w:t>
      </w:r>
      <w:r>
        <w:rPr>
          <w:rFonts w:hint="eastAsia" w:ascii="Times New Roman" w:hAnsi="Times New Roman" w:eastAsia="仿宋_GB2312" w:cs="Times New Roman"/>
          <w:color w:val="000000"/>
          <w:kern w:val="0"/>
          <w:sz w:val="32"/>
          <w:szCs w:val="32"/>
          <w:lang w:eastAsia="zh-CN"/>
        </w:rPr>
        <w:t>，公益性岗位</w:t>
      </w:r>
      <w:r>
        <w:rPr>
          <w:rFonts w:hint="eastAsia" w:ascii="Times New Roman" w:hAnsi="Times New Roman" w:eastAsia="仿宋_GB2312" w:cs="Times New Roman"/>
          <w:color w:val="000000"/>
          <w:kern w:val="0"/>
          <w:sz w:val="32"/>
          <w:szCs w:val="32"/>
          <w:lang w:val="en-US" w:eastAsia="zh-CN"/>
        </w:rPr>
        <w:t>1人</w:t>
      </w:r>
      <w:r>
        <w:rPr>
          <w:rFonts w:hint="default" w:ascii="Times New Roman" w:hAnsi="Times New Roman" w:eastAsia="仿宋_GB2312" w:cs="Times New Roman"/>
          <w:color w:val="000000"/>
          <w:kern w:val="0"/>
          <w:sz w:val="32"/>
          <w:szCs w:val="32"/>
        </w:rPr>
        <w:t>。</w:t>
      </w:r>
    </w:p>
    <w:p w14:paraId="44516DF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52B8EB80">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74991C57">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ascii="Times New Roman" w:hAnsi="Times New Roman" w:eastAsia="仿宋_GB2312" w:cs="Times New Roman"/>
          <w:color w:val="auto"/>
          <w:sz w:val="32"/>
          <w:szCs w:val="32"/>
          <w:lang w:val="en-US" w:eastAsia="zh-CN"/>
        </w:rPr>
        <w:t>年初</w:t>
      </w:r>
      <w:r>
        <w:rPr>
          <w:rFonts w:hint="default" w:ascii="Times New Roman" w:hAnsi="Times New Roman" w:eastAsia="仿宋_GB2312" w:cs="Times New Roman"/>
          <w:sz w:val="32"/>
          <w:szCs w:val="32"/>
        </w:rPr>
        <w:t>预算资金</w:t>
      </w:r>
      <w:r>
        <w:rPr>
          <w:rFonts w:hint="eastAsia" w:ascii="Times New Roman" w:hAnsi="Times New Roman" w:eastAsia="仿宋_GB2312" w:cs="Times New Roman"/>
          <w:sz w:val="32"/>
          <w:szCs w:val="32"/>
          <w:lang w:val="en-US" w:eastAsia="zh-CN"/>
        </w:rPr>
        <w:t>2372.7</w:t>
      </w:r>
      <w:r>
        <w:rPr>
          <w:rFonts w:hint="default" w:ascii="Times New Roman" w:hAnsi="Times New Roman" w:eastAsia="仿宋_GB2312" w:cs="Times New Roman"/>
          <w:sz w:val="32"/>
          <w:szCs w:val="32"/>
        </w:rPr>
        <w:t>万元。</w:t>
      </w:r>
    </w:p>
    <w:p w14:paraId="54A2A45D">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年度单位一般公共预算财政拨款收入</w:t>
      </w:r>
      <w:r>
        <w:rPr>
          <w:rFonts w:hint="eastAsia" w:ascii="Times New Roman" w:hAnsi="Times New Roman" w:eastAsia="仿宋_GB2312" w:cs="Times New Roman"/>
          <w:sz w:val="32"/>
          <w:szCs w:val="32"/>
          <w:lang w:val="en-US" w:eastAsia="zh-CN"/>
        </w:rPr>
        <w:t>2214.5</w:t>
      </w:r>
      <w:r>
        <w:rPr>
          <w:rFonts w:hint="default" w:ascii="Times New Roman" w:hAnsi="Times New Roman" w:eastAsia="仿宋_GB2312" w:cs="Times New Roman"/>
          <w:sz w:val="32"/>
          <w:szCs w:val="32"/>
        </w:rPr>
        <w:t>万元。</w:t>
      </w:r>
    </w:p>
    <w:p w14:paraId="6993E4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年度单位一般公共预算财政拨款支出</w:t>
      </w:r>
      <w:r>
        <w:rPr>
          <w:rFonts w:hint="eastAsia" w:ascii="Times New Roman" w:hAnsi="Times New Roman" w:eastAsia="仿宋_GB2312" w:cs="Times New Roman"/>
          <w:sz w:val="32"/>
          <w:szCs w:val="32"/>
          <w:lang w:val="en-US" w:eastAsia="zh-CN"/>
        </w:rPr>
        <w:t>2214.5</w:t>
      </w:r>
      <w:r>
        <w:rPr>
          <w:rFonts w:hint="default" w:ascii="Times New Roman" w:hAnsi="Times New Roman" w:eastAsia="仿宋_GB2312" w:cs="Times New Roman"/>
          <w:sz w:val="32"/>
          <w:szCs w:val="32"/>
        </w:rPr>
        <w:t>万元，其中：项目支出</w:t>
      </w:r>
      <w:r>
        <w:rPr>
          <w:rFonts w:hint="eastAsia" w:ascii="Times New Roman" w:hAnsi="Times New Roman" w:eastAsia="仿宋_GB2312" w:cs="Times New Roman"/>
          <w:sz w:val="32"/>
          <w:szCs w:val="32"/>
          <w:lang w:val="en-US" w:eastAsia="zh-CN"/>
        </w:rPr>
        <w:t>2071.33</w:t>
      </w:r>
      <w:r>
        <w:rPr>
          <w:rFonts w:hint="default" w:ascii="Times New Roman" w:hAnsi="Times New Roman" w:eastAsia="仿宋_GB2312" w:cs="Times New Roman"/>
          <w:sz w:val="32"/>
          <w:szCs w:val="32"/>
        </w:rPr>
        <w:t>万元，基本支出</w:t>
      </w:r>
      <w:r>
        <w:rPr>
          <w:rFonts w:hint="eastAsia" w:ascii="Times New Roman" w:hAnsi="Times New Roman" w:eastAsia="仿宋_GB2312" w:cs="Times New Roman"/>
          <w:sz w:val="32"/>
          <w:szCs w:val="32"/>
          <w:lang w:val="en-US" w:eastAsia="zh-CN"/>
        </w:rPr>
        <w:t>143.17</w:t>
      </w:r>
      <w:r>
        <w:rPr>
          <w:rFonts w:hint="default" w:ascii="Times New Roman" w:hAnsi="Times New Roman" w:eastAsia="仿宋_GB2312" w:cs="Times New Roman"/>
          <w:sz w:val="32"/>
          <w:szCs w:val="32"/>
        </w:rPr>
        <w:t>万元，其中：人员经费</w:t>
      </w:r>
      <w:r>
        <w:rPr>
          <w:rFonts w:hint="eastAsia" w:ascii="Times New Roman" w:hAnsi="Times New Roman" w:eastAsia="仿宋_GB2312" w:cs="Times New Roman"/>
          <w:sz w:val="32"/>
          <w:szCs w:val="32"/>
          <w:lang w:val="en-US" w:eastAsia="zh-CN"/>
        </w:rPr>
        <w:t>133.77</w:t>
      </w:r>
      <w:r>
        <w:rPr>
          <w:rFonts w:hint="default" w:ascii="Times New Roman" w:hAnsi="Times New Roman" w:eastAsia="仿宋_GB2312" w:cs="Times New Roman"/>
          <w:sz w:val="32"/>
          <w:szCs w:val="32"/>
        </w:rPr>
        <w:t>万元，公用经费</w:t>
      </w:r>
      <w:r>
        <w:rPr>
          <w:rFonts w:hint="eastAsia" w:ascii="Times New Roman" w:hAnsi="Times New Roman" w:eastAsia="仿宋_GB2312" w:cs="Times New Roman"/>
          <w:sz w:val="32"/>
          <w:szCs w:val="32"/>
          <w:lang w:val="en-US" w:eastAsia="zh-CN"/>
        </w:rPr>
        <w:t>9.4</w:t>
      </w:r>
      <w:r>
        <w:rPr>
          <w:rFonts w:hint="default" w:ascii="Times New Roman" w:hAnsi="Times New Roman" w:eastAsia="仿宋_GB2312" w:cs="Times New Roman"/>
          <w:sz w:val="32"/>
          <w:szCs w:val="32"/>
        </w:rPr>
        <w:t>万元。</w:t>
      </w:r>
    </w:p>
    <w:p w14:paraId="4AD19D6A">
      <w:pPr>
        <w:keepNext w:val="0"/>
        <w:keepLines w:val="0"/>
        <w:pageBreakBefore w:val="0"/>
        <w:widowControl w:val="0"/>
        <w:numPr>
          <w:ilvl w:val="0"/>
          <w:numId w:val="1"/>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rPr>
        <w:t>支出情况</w:t>
      </w:r>
    </w:p>
    <w:p w14:paraId="4B281B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优抚经费</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1816.67</w:t>
      </w:r>
      <w:r>
        <w:rPr>
          <w:rFonts w:hint="default" w:ascii="Times New Roman" w:hAnsi="Times New Roman" w:eastAsia="仿宋_GB2312" w:cs="Times New Roman"/>
          <w:sz w:val="32"/>
          <w:szCs w:val="32"/>
        </w:rPr>
        <w:t>万元。</w:t>
      </w:r>
    </w:p>
    <w:p w14:paraId="5AB57A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安置</w:t>
      </w:r>
      <w:r>
        <w:rPr>
          <w:rFonts w:hint="eastAsia" w:ascii="Times New Roman" w:hAnsi="Times New Roman" w:eastAsia="仿宋_GB2312" w:cs="Times New Roman"/>
          <w:sz w:val="32"/>
          <w:szCs w:val="32"/>
        </w:rPr>
        <w:t>经费</w:t>
      </w:r>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211.14</w:t>
      </w:r>
      <w:r>
        <w:rPr>
          <w:rFonts w:hint="default" w:ascii="Times New Roman" w:hAnsi="Times New Roman" w:eastAsia="仿宋_GB2312" w:cs="Times New Roman"/>
          <w:sz w:val="32"/>
          <w:szCs w:val="32"/>
        </w:rPr>
        <w:t>万元。</w:t>
      </w:r>
    </w:p>
    <w:p w14:paraId="4251D6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退役军人事务管理支出</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26.51</w:t>
      </w:r>
      <w:r>
        <w:rPr>
          <w:rFonts w:hint="default" w:ascii="Times New Roman" w:hAnsi="Times New Roman" w:eastAsia="仿宋_GB2312" w:cs="Times New Roman"/>
          <w:sz w:val="32"/>
          <w:szCs w:val="32"/>
        </w:rPr>
        <w:t>万元。</w:t>
      </w:r>
    </w:p>
    <w:p w14:paraId="2DACEE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退役军人信访维稳经费</w:t>
      </w:r>
      <w:r>
        <w:rPr>
          <w:rFonts w:hint="eastAsia" w:ascii="Times New Roman" w:hAnsi="Times New Roman" w:eastAsia="仿宋_GB2312" w:cs="Times New Roman"/>
          <w:sz w:val="32"/>
          <w:szCs w:val="32"/>
          <w:lang w:val="en-US" w:eastAsia="zh-CN"/>
        </w:rPr>
        <w:t>项目支出17.01万元。</w:t>
      </w:r>
    </w:p>
    <w:p w14:paraId="646A2A2B">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政府性基金预算支出情况</w:t>
      </w:r>
    </w:p>
    <w:p w14:paraId="7149461B">
      <w:pPr>
        <w:pStyle w:val="5"/>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无。</w:t>
      </w:r>
    </w:p>
    <w:p w14:paraId="3A8F0F0D">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国有资本经营预算支出情况</w:t>
      </w:r>
    </w:p>
    <w:p w14:paraId="7356C12C">
      <w:pPr>
        <w:pStyle w:val="5"/>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无。</w:t>
      </w:r>
    </w:p>
    <w:p w14:paraId="296FA0D3">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社会保险基金预算支出情况</w:t>
      </w:r>
    </w:p>
    <w:p w14:paraId="0FD78C89">
      <w:pPr>
        <w:pStyle w:val="5"/>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无。</w:t>
      </w:r>
    </w:p>
    <w:p w14:paraId="1ED69F8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hint="eastAsia" w:ascii="Times New Roman" w:hAnsi="Times New Roman" w:eastAsia="黑体" w:cs="Times New Roman"/>
          <w:sz w:val="32"/>
          <w:szCs w:val="32"/>
          <w:shd w:val="clear" w:color="auto" w:fill="auto"/>
        </w:rPr>
        <w:t>、资金使用及绩效情况</w:t>
      </w:r>
      <w:r>
        <w:rPr>
          <w:rFonts w:hint="eastAsia" w:ascii="Times New Roman" w:hAnsi="Times New Roman" w:eastAsia="黑体" w:cs="Times New Roman"/>
          <w:sz w:val="32"/>
          <w:szCs w:val="32"/>
        </w:rPr>
        <w:t>（包含单位管理的公共专项）</w:t>
      </w:r>
    </w:p>
    <w:p w14:paraId="5FD848EE">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5E737FC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i w:val="0"/>
          <w:iCs w:val="0"/>
          <w:caps w:val="0"/>
          <w:color w:val="303030"/>
          <w:spacing w:val="0"/>
          <w:sz w:val="32"/>
          <w:szCs w:val="32"/>
          <w:lang w:eastAsia="zh-CN"/>
        </w:rPr>
      </w:pPr>
      <w:r>
        <w:rPr>
          <w:rFonts w:hint="eastAsia"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eastAsia="zh-CN"/>
        </w:rPr>
        <w:t>坚持政治引领，夯实思想基础。</w:t>
      </w:r>
      <w:r>
        <w:rPr>
          <w:rFonts w:hint="default" w:ascii="Times New Roman" w:hAnsi="Times New Roman" w:eastAsia="仿宋_GB2312" w:cs="Times New Roman"/>
          <w:b/>
          <w:bCs/>
          <w:sz w:val="32"/>
          <w:szCs w:val="32"/>
          <w:highlight w:val="none"/>
        </w:rPr>
        <w:t>一是抓好理论</w:t>
      </w:r>
      <w:r>
        <w:rPr>
          <w:rFonts w:hint="default" w:ascii="Times New Roman" w:hAnsi="Times New Roman" w:eastAsia="仿宋_GB2312" w:cs="Times New Roman"/>
          <w:b/>
          <w:bCs/>
          <w:sz w:val="32"/>
          <w:szCs w:val="32"/>
          <w:highlight w:val="none"/>
          <w:lang w:eastAsia="zh-CN"/>
        </w:rPr>
        <w:t>武装</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lang w:val="en-US" w:eastAsia="zh-CN"/>
        </w:rPr>
        <w:t>把学习贯彻党的二十大精神作为首要政治任务，</w:t>
      </w:r>
      <w:r>
        <w:rPr>
          <w:rFonts w:hint="default" w:ascii="Times New Roman" w:hAnsi="Times New Roman" w:eastAsia="仿宋_GB2312" w:cs="Times New Roman"/>
          <w:sz w:val="32"/>
          <w:szCs w:val="32"/>
          <w:highlight w:val="none"/>
        </w:rPr>
        <w:t>开展中心组理论学习</w:t>
      </w:r>
      <w:r>
        <w:rPr>
          <w:rFonts w:hint="default" w:ascii="Times New Roman" w:hAnsi="Times New Roman" w:eastAsia="仿宋_GB2312" w:cs="Times New Roman"/>
          <w:sz w:val="32"/>
          <w:szCs w:val="32"/>
          <w:highlight w:val="none"/>
          <w:lang w:val="en" w:eastAsia="zh-CN"/>
        </w:rPr>
        <w:t>1</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专题党课</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次</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第一议题</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 w:eastAsia="zh-CN"/>
        </w:rPr>
        <w:t>1</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次，党的二十大集中学习研讨</w:t>
      </w:r>
      <w:r>
        <w:rPr>
          <w:rFonts w:hint="default" w:ascii="Times New Roman" w:hAnsi="Times New Roman" w:eastAsia="仿宋_GB2312" w:cs="Times New Roman"/>
          <w:sz w:val="32"/>
          <w:szCs w:val="32"/>
          <w:highlight w:val="none"/>
          <w:lang w:eastAsia="zh-CN"/>
        </w:rPr>
        <w:t>交流</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二是坚持全面从严治党。</w:t>
      </w:r>
      <w:r>
        <w:rPr>
          <w:rFonts w:hint="default" w:ascii="Times New Roman" w:hAnsi="Times New Roman" w:eastAsia="仿宋_GB2312" w:cs="Times New Roman"/>
          <w:sz w:val="32"/>
          <w:szCs w:val="32"/>
          <w:highlight w:val="none"/>
          <w:lang w:val="en-US" w:eastAsia="zh-CN"/>
        </w:rPr>
        <w:t>结合</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镜鉴</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以案促改专项行动</w:t>
      </w:r>
      <w:r>
        <w:rPr>
          <w:rFonts w:hint="default" w:ascii="Times New Roman" w:hAnsi="Times New Roman" w:eastAsia="仿宋_GB2312" w:cs="Times New Roman"/>
          <w:sz w:val="32"/>
          <w:szCs w:val="32"/>
          <w:highlight w:val="none"/>
          <w:lang w:val="en-US" w:eastAsia="zh-CN"/>
        </w:rPr>
        <w:t>深入开展警示教育</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召开2022年民主生活会、巡察整改专题民主生活会，深入查摆问题40个，目前整改落实</w:t>
      </w:r>
      <w:r>
        <w:rPr>
          <w:rFonts w:hint="eastAsia" w:ascii="Times New Roman" w:hAnsi="Times New Roman" w:eastAsia="仿宋_GB2312" w:cs="Times New Roman"/>
          <w:sz w:val="32"/>
          <w:szCs w:val="32"/>
          <w:highlight w:val="none"/>
          <w:lang w:val="en-US" w:eastAsia="zh-CN"/>
        </w:rPr>
        <w:t>35</w:t>
      </w:r>
      <w:r>
        <w:rPr>
          <w:rFonts w:hint="default" w:ascii="Times New Roman" w:hAnsi="Times New Roman" w:eastAsia="仿宋_GB2312" w:cs="Times New Roman"/>
          <w:sz w:val="32"/>
          <w:szCs w:val="32"/>
          <w:highlight w:val="none"/>
          <w:lang w:val="en-US" w:eastAsia="zh-CN"/>
        </w:rPr>
        <w:t>个。</w:t>
      </w:r>
      <w:r>
        <w:rPr>
          <w:rFonts w:hint="default" w:ascii="Times New Roman" w:hAnsi="Times New Roman" w:eastAsia="仿宋_GB2312" w:cs="Times New Roman"/>
          <w:b/>
          <w:bCs/>
          <w:sz w:val="32"/>
          <w:szCs w:val="32"/>
          <w:highlight w:val="none"/>
          <w:lang w:val="en-US" w:eastAsia="zh-CN"/>
        </w:rPr>
        <w:t>三是狠抓作风纪律建设。</w:t>
      </w:r>
      <w:r>
        <w:rPr>
          <w:rFonts w:hint="default" w:ascii="Times New Roman" w:hAnsi="Times New Roman" w:eastAsia="仿宋_GB2312" w:cs="Times New Roman"/>
          <w:sz w:val="32"/>
          <w:szCs w:val="32"/>
          <w:highlight w:val="none"/>
          <w:lang w:val="en-US" w:eastAsia="zh-CN"/>
        </w:rPr>
        <w:t>深入开展</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作风建设年</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活动，</w:t>
      </w:r>
      <w:r>
        <w:rPr>
          <w:rFonts w:hint="eastAsia" w:ascii="Times New Roman" w:hAnsi="Times New Roman" w:eastAsia="仿宋_GB2312" w:cs="Times New Roman"/>
          <w:sz w:val="32"/>
          <w:szCs w:val="32"/>
          <w:highlight w:val="none"/>
          <w:lang w:val="en-US" w:eastAsia="zh-CN"/>
        </w:rPr>
        <w:t>围绕全区转业士官安置情况深入调研；落实</w:t>
      </w:r>
      <w:r>
        <w:rPr>
          <w:rFonts w:hint="default" w:ascii="Times New Roman" w:hAnsi="Times New Roman" w:eastAsia="仿宋_GB2312" w:cs="Times New Roman"/>
          <w:sz w:val="32"/>
          <w:szCs w:val="32"/>
          <w:highlight w:val="none"/>
          <w:lang w:val="en-US" w:eastAsia="zh-CN"/>
        </w:rPr>
        <w:t>预安销号制度，向区委办报告</w:t>
      </w:r>
      <w:r>
        <w:rPr>
          <w:rFonts w:hint="eastAsia" w:ascii="Times New Roman" w:hAnsi="Times New Roman" w:eastAsia="仿宋_GB2312" w:cs="Times New Roman"/>
          <w:sz w:val="32"/>
          <w:szCs w:val="32"/>
          <w:highlight w:val="none"/>
          <w:lang w:val="en-US" w:eastAsia="zh-CN"/>
        </w:rPr>
        <w:t>及销号</w:t>
      </w:r>
      <w:r>
        <w:rPr>
          <w:rFonts w:hint="default" w:ascii="Times New Roman" w:hAnsi="Times New Roman" w:eastAsia="仿宋_GB2312" w:cs="Times New Roman"/>
          <w:sz w:val="32"/>
          <w:szCs w:val="32"/>
          <w:highlight w:val="none"/>
          <w:lang w:val="en-US" w:eastAsia="zh-CN"/>
        </w:rPr>
        <w:t>事项4</w:t>
      </w:r>
      <w:r>
        <w:rPr>
          <w:rFonts w:hint="eastAsia" w:ascii="Times New Roman" w:hAnsi="Times New Roman" w:eastAsia="仿宋_GB2312" w:cs="Times New Roman"/>
          <w:sz w:val="32"/>
          <w:szCs w:val="32"/>
          <w:highlight w:val="none"/>
          <w:lang w:val="en-US" w:eastAsia="zh-CN"/>
        </w:rPr>
        <w:t>件</w:t>
      </w:r>
      <w:r>
        <w:rPr>
          <w:rFonts w:hint="default" w:ascii="Times New Roman" w:hAnsi="Times New Roman" w:eastAsia="仿宋_GB2312" w:cs="Times New Roman"/>
          <w:sz w:val="32"/>
          <w:szCs w:val="32"/>
          <w:highlight w:val="none"/>
          <w:lang w:val="en-US" w:eastAsia="zh-CN"/>
        </w:rPr>
        <w:t>；严格开展</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两带头五整治工作</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，各节假日期间认真组织节前教育</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四是扎实开展主题教育工作</w:t>
      </w:r>
      <w:r>
        <w:rPr>
          <w:rFonts w:hint="default" w:ascii="Times New Roman" w:hAnsi="Times New Roman" w:eastAsia="仿宋_GB2312" w:cs="Times New Roman"/>
          <w:sz w:val="32"/>
          <w:szCs w:val="32"/>
          <w:highlight w:val="none"/>
          <w:lang w:val="en-US" w:eastAsia="zh-CN"/>
        </w:rPr>
        <w:t>。党组会专题研究部署主题教育工作，制定了支部学习计划，以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三会一课</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为载体，开展学原文悟原理学习讨论活动</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五是从严从实抓好巡察整改工作。</w:t>
      </w:r>
      <w:r>
        <w:rPr>
          <w:rFonts w:hint="default" w:ascii="Times New Roman" w:hAnsi="Times New Roman" w:eastAsia="仿宋_GB2312" w:cs="Times New Roman"/>
          <w:b w:val="0"/>
          <w:bCs w:val="0"/>
          <w:sz w:val="32"/>
          <w:szCs w:val="32"/>
          <w:highlight w:val="none"/>
          <w:lang w:val="en-US" w:eastAsia="zh-CN"/>
        </w:rPr>
        <w:t>迎接</w:t>
      </w:r>
      <w:r>
        <w:rPr>
          <w:rFonts w:hint="default" w:ascii="Times New Roman" w:hAnsi="Times New Roman" w:eastAsia="仿宋_GB2312" w:cs="Times New Roman"/>
          <w:sz w:val="32"/>
          <w:szCs w:val="32"/>
        </w:rPr>
        <w:t>区委第四轮第三巡察组</w:t>
      </w:r>
      <w:r>
        <w:rPr>
          <w:rFonts w:hint="default" w:ascii="Times New Roman" w:hAnsi="Times New Roman" w:eastAsia="仿宋_GB2312" w:cs="Times New Roman"/>
          <w:sz w:val="32"/>
          <w:szCs w:val="32"/>
          <w:lang w:eastAsia="zh-CN"/>
        </w:rPr>
        <w:t>政治</w:t>
      </w:r>
      <w:r>
        <w:rPr>
          <w:rFonts w:hint="default" w:ascii="Times New Roman" w:hAnsi="Times New Roman" w:eastAsia="仿宋_GB2312" w:cs="Times New Roman"/>
          <w:sz w:val="32"/>
          <w:szCs w:val="32"/>
        </w:rPr>
        <w:t>巡察</w:t>
      </w:r>
      <w:r>
        <w:rPr>
          <w:rFonts w:hint="default" w:ascii="Times New Roman" w:hAnsi="Times New Roman" w:eastAsia="仿宋_GB2312" w:cs="Times New Roman"/>
          <w:sz w:val="32"/>
          <w:szCs w:val="32"/>
          <w:lang w:eastAsia="zh-CN"/>
        </w:rPr>
        <w:t>，对于巡察反馈的问题，认真梳理分类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研究整改措施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明确责任人，制定整改方案，确保整改问题件件有着落。</w:t>
      </w:r>
    </w:p>
    <w:p w14:paraId="1E34D31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pPr>
      <w:r>
        <w:rPr>
          <w:rFonts w:hint="eastAsia" w:ascii="Times New Roman" w:hAnsi="Times New Roman" w:eastAsia="仿宋_GB2312" w:cs="Times New Roman"/>
          <w:b/>
          <w:bCs/>
          <w:color w:val="000000"/>
          <w:sz w:val="32"/>
          <w:szCs w:val="32"/>
          <w:lang w:val="en-US" w:eastAsia="zh-CN"/>
        </w:rPr>
        <w:t>2.坚持服务发展，聚焦中心工作。</w:t>
      </w:r>
      <w:r>
        <w:rPr>
          <w:rFonts w:hint="default" w:ascii="Times New Roman" w:hAnsi="Times New Roman" w:eastAsia="仿宋_GB2312" w:cs="Times New Roman"/>
          <w:b w:val="0"/>
          <w:bCs w:val="0"/>
          <w:sz w:val="32"/>
          <w:szCs w:val="32"/>
          <w:lang w:val="en-US" w:eastAsia="zh-CN"/>
        </w:rPr>
        <w:t>选派3人</w:t>
      </w:r>
      <w:r>
        <w:rPr>
          <w:rFonts w:hint="eastAsia" w:ascii="Times New Roman" w:hAnsi="Times New Roman" w:eastAsia="仿宋_GB2312" w:cs="Times New Roman"/>
          <w:b w:val="0"/>
          <w:bCs w:val="0"/>
          <w:sz w:val="32"/>
          <w:szCs w:val="32"/>
          <w:lang w:val="en-US" w:eastAsia="zh-CN"/>
        </w:rPr>
        <w:t>参与</w:t>
      </w:r>
      <w:r>
        <w:rPr>
          <w:rFonts w:hint="default" w:ascii="Times New Roman" w:hAnsi="Times New Roman" w:eastAsia="仿宋_GB2312" w:cs="Times New Roman"/>
          <w:b w:val="0"/>
          <w:bCs w:val="0"/>
          <w:sz w:val="32"/>
          <w:szCs w:val="32"/>
          <w:lang w:val="en-US" w:eastAsia="zh-CN"/>
        </w:rPr>
        <w:t>龙泉地区自建房整治，上户督促整改28余次，完成两批19户自建房</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四性</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隐患整治销号。</w:t>
      </w:r>
    </w:p>
    <w:p w14:paraId="15EF01B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b/>
          <w:bCs/>
          <w:kern w:val="2"/>
          <w:sz w:val="32"/>
          <w:szCs w:val="32"/>
          <w:highlight w:val="none"/>
          <w:lang w:val="en-US" w:eastAsia="zh-CN" w:bidi="ar-SA"/>
        </w:rPr>
        <w:t>3</w:t>
      </w:r>
      <w:r>
        <w:rPr>
          <w:rFonts w:hint="default" w:ascii="Times New Roman" w:hAnsi="Times New Roman" w:eastAsia="仿宋_GB2312" w:cs="Times New Roman"/>
          <w:b/>
          <w:bCs/>
          <w:kern w:val="2"/>
          <w:sz w:val="32"/>
          <w:szCs w:val="32"/>
          <w:highlight w:val="none"/>
          <w:lang w:val="en-US" w:eastAsia="zh-CN" w:bidi="ar-SA"/>
        </w:rPr>
        <w:t>.坚持用心用情，提升保障水平。一</w:t>
      </w:r>
      <w:r>
        <w:rPr>
          <w:rFonts w:hint="default" w:ascii="Times New Roman" w:hAnsi="Times New Roman" w:eastAsia="仿宋_GB2312" w:cs="Times New Roman"/>
          <w:b/>
          <w:bCs/>
          <w:sz w:val="32"/>
          <w:szCs w:val="32"/>
          <w:highlight w:val="none"/>
          <w:lang w:eastAsia="zh-CN"/>
        </w:rPr>
        <w:t>是</w:t>
      </w:r>
      <w:r>
        <w:rPr>
          <w:rFonts w:hint="default" w:ascii="Times New Roman" w:hAnsi="Times New Roman" w:eastAsia="仿宋_GB2312" w:cs="Times New Roman"/>
          <w:b/>
          <w:bCs/>
          <w:sz w:val="32"/>
          <w:szCs w:val="32"/>
          <w:highlight w:val="none"/>
        </w:rPr>
        <w:t>持续推进基层服务保障体系建设</w:t>
      </w:r>
      <w:r>
        <w:rPr>
          <w:rFonts w:hint="default"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sz w:val="32"/>
          <w:szCs w:val="32"/>
          <w:highlight w:val="none"/>
          <w:lang w:val="en-US" w:eastAsia="zh-CN"/>
        </w:rPr>
        <w:t>推动“</w:t>
      </w:r>
      <w:r>
        <w:rPr>
          <w:rFonts w:hint="default" w:ascii="Times New Roman" w:hAnsi="Times New Roman" w:eastAsia="仿宋_GB2312" w:cs="Times New Roman"/>
          <w:sz w:val="32"/>
          <w:szCs w:val="32"/>
          <w:highlight w:val="none"/>
          <w:lang w:val="en-US" w:eastAsia="zh-CN"/>
        </w:rPr>
        <w:t>一部一站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融合建设在龙泉街道开展试点建设</w:t>
      </w:r>
      <w:r>
        <w:rPr>
          <w:rFonts w:hint="default"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Times New Roman"/>
          <w:b/>
          <w:bCs/>
          <w:sz w:val="32"/>
          <w:szCs w:val="32"/>
          <w:highlight w:val="none"/>
          <w:lang w:val="en-US" w:eastAsia="zh-CN"/>
        </w:rPr>
        <w:t>二</w:t>
      </w:r>
      <w:r>
        <w:rPr>
          <w:rFonts w:hint="default" w:ascii="Times New Roman" w:hAnsi="Times New Roman" w:eastAsia="仿宋_GB2312" w:cs="Times New Roman"/>
          <w:b/>
          <w:bCs/>
          <w:sz w:val="32"/>
          <w:szCs w:val="32"/>
          <w:highlight w:val="none"/>
          <w:lang w:val="en-US" w:eastAsia="zh-CN"/>
        </w:rPr>
        <w:t>是刚性</w:t>
      </w:r>
      <w:r>
        <w:rPr>
          <w:rFonts w:hint="default" w:ascii="Times New Roman" w:hAnsi="Times New Roman" w:eastAsia="仿宋_GB2312" w:cs="Times New Roman"/>
          <w:b/>
          <w:bCs/>
          <w:sz w:val="32"/>
          <w:szCs w:val="32"/>
          <w:highlight w:val="none"/>
          <w:lang w:eastAsia="zh-CN"/>
        </w:rPr>
        <w:t>落实优抚优待政策。</w:t>
      </w:r>
      <w:r>
        <w:rPr>
          <w:rFonts w:hint="eastAsia" w:ascii="Times New Roman" w:hAnsi="Times New Roman" w:eastAsia="仿宋_GB2312" w:cs="Times New Roman"/>
          <w:color w:val="000000"/>
          <w:sz w:val="32"/>
          <w:szCs w:val="32"/>
          <w:highlight w:val="none"/>
          <w:lang w:eastAsia="zh-CN"/>
        </w:rPr>
        <w:t>本年</w:t>
      </w:r>
      <w:r>
        <w:rPr>
          <w:rFonts w:hint="default" w:ascii="Times New Roman" w:hAnsi="Times New Roman" w:eastAsia="仿宋_GB2312" w:cs="Times New Roman"/>
          <w:color w:val="000000"/>
          <w:sz w:val="32"/>
          <w:szCs w:val="32"/>
          <w:highlight w:val="none"/>
          <w:lang w:eastAsia="zh-CN"/>
        </w:rPr>
        <w:t>发放</w:t>
      </w:r>
      <w:r>
        <w:rPr>
          <w:rFonts w:hint="default" w:ascii="Times New Roman" w:hAnsi="Times New Roman" w:eastAsia="仿宋_GB2312" w:cs="Times New Roman"/>
          <w:color w:val="000000"/>
          <w:sz w:val="32"/>
          <w:szCs w:val="32"/>
          <w:highlight w:val="none"/>
        </w:rPr>
        <w:t>定期优抚资金</w:t>
      </w:r>
      <w:r>
        <w:rPr>
          <w:rFonts w:hint="default" w:ascii="Times New Roman" w:hAnsi="Times New Roman" w:eastAsia="仿宋_GB2312" w:cs="Times New Roman"/>
          <w:color w:val="000000"/>
          <w:sz w:val="32"/>
          <w:szCs w:val="32"/>
          <w:highlight w:val="none"/>
          <w:lang w:val="en-US" w:eastAsia="zh-CN"/>
        </w:rPr>
        <w:t>990余万元</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义务兵优待金和入伍一次性奖励资金等446.1</w:t>
      </w:r>
      <w:r>
        <w:rPr>
          <w:rFonts w:hint="default"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sz w:val="32"/>
          <w:szCs w:val="32"/>
          <w:highlight w:val="none"/>
          <w:lang w:val="en-US" w:eastAsia="zh-CN"/>
        </w:rPr>
        <w:t>退役军人优待证建档立卡</w:t>
      </w:r>
      <w:r>
        <w:rPr>
          <w:rFonts w:hint="eastAsia" w:ascii="Times New Roman" w:hAnsi="Times New Roman" w:eastAsia="仿宋_GB2312" w:cs="Times New Roman"/>
          <w:sz w:val="32"/>
          <w:szCs w:val="32"/>
          <w:highlight w:val="none"/>
          <w:lang w:val="en-US" w:eastAsia="zh-CN"/>
        </w:rPr>
        <w:t>8077</w:t>
      </w:r>
      <w:r>
        <w:rPr>
          <w:rFonts w:hint="default" w:ascii="Times New Roman" w:hAnsi="Times New Roman" w:eastAsia="仿宋_GB2312" w:cs="Times New Roman"/>
          <w:sz w:val="32"/>
          <w:szCs w:val="32"/>
          <w:highlight w:val="none"/>
          <w:lang w:val="en-US" w:eastAsia="zh-CN"/>
        </w:rPr>
        <w:t>人，发放优待证7</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32张，发放率</w:t>
      </w:r>
      <w:r>
        <w:rPr>
          <w:rFonts w:hint="eastAsia" w:ascii="Times New Roman" w:hAnsi="Times New Roman" w:eastAsia="仿宋_GB2312" w:cs="Times New Roman"/>
          <w:sz w:val="32"/>
          <w:szCs w:val="32"/>
          <w:highlight w:val="none"/>
          <w:lang w:val="en-US" w:eastAsia="zh-CN"/>
        </w:rPr>
        <w:t>达到91%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en-US" w:eastAsia="zh-CN"/>
        </w:rPr>
        <w:t>是大力开展双拥活动。</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春节</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八一</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期间，</w:t>
      </w:r>
      <w:r>
        <w:rPr>
          <w:rFonts w:hint="default" w:ascii="Times New Roman" w:hAnsi="Times New Roman" w:eastAsia="仿宋_GB2312" w:cs="Times New Roman"/>
          <w:color w:val="000000"/>
          <w:sz w:val="32"/>
          <w:szCs w:val="32"/>
          <w:highlight w:val="none"/>
          <w:lang w:val="en-US" w:eastAsia="zh-CN"/>
        </w:rPr>
        <w:t>对14支驻区部队、全区退役军人和</w:t>
      </w:r>
      <w:r>
        <w:rPr>
          <w:rFonts w:hint="default" w:ascii="Times New Roman" w:hAnsi="Times New Roman" w:eastAsia="仿宋_GB2312" w:cs="Times New Roman"/>
          <w:color w:val="000000"/>
          <w:sz w:val="32"/>
          <w:szCs w:val="32"/>
          <w:highlight w:val="none"/>
        </w:rPr>
        <w:t>优抚优待对象</w:t>
      </w:r>
      <w:r>
        <w:rPr>
          <w:rFonts w:hint="default" w:ascii="Times New Roman" w:hAnsi="Times New Roman" w:eastAsia="仿宋_GB2312" w:cs="Times New Roman"/>
          <w:color w:val="000000"/>
          <w:sz w:val="32"/>
          <w:szCs w:val="32"/>
          <w:highlight w:val="none"/>
          <w:lang w:eastAsia="zh-CN"/>
        </w:rPr>
        <w:t>慰问</w:t>
      </w:r>
      <w:r>
        <w:rPr>
          <w:rFonts w:hint="default" w:ascii="Times New Roman" w:hAnsi="Times New Roman" w:eastAsia="仿宋_GB2312" w:cs="Times New Roman"/>
          <w:color w:val="000000"/>
          <w:sz w:val="32"/>
          <w:szCs w:val="32"/>
          <w:highlight w:val="none"/>
          <w:lang w:val="en-US" w:eastAsia="zh-CN"/>
        </w:rPr>
        <w:t>。组织一场</w:t>
      </w:r>
      <w:r>
        <w:rPr>
          <w:rFonts w:hint="default" w:ascii="Times New Roman" w:hAnsi="Times New Roman" w:eastAsia="仿宋_GB2312" w:cs="Times New Roman"/>
          <w:b w:val="0"/>
          <w:bCs/>
          <w:color w:val="000000"/>
          <w:sz w:val="32"/>
          <w:szCs w:val="32"/>
          <w:highlight w:val="none"/>
          <w:lang w:val="en-US" w:eastAsia="zh-CN"/>
        </w:rPr>
        <w:t>军地联谊活动</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获得社会强烈反响。</w:t>
      </w:r>
      <w:r>
        <w:rPr>
          <w:rFonts w:hint="eastAsia" w:ascii="Times New Roman" w:hAnsi="Times New Roman" w:eastAsia="仿宋_GB2312" w:cs="Times New Roman"/>
          <w:b/>
          <w:bCs/>
          <w:sz w:val="32"/>
          <w:szCs w:val="32"/>
          <w:highlight w:val="none"/>
          <w:lang w:val="en-US" w:eastAsia="zh-CN"/>
        </w:rPr>
        <w:t>四</w:t>
      </w:r>
      <w:r>
        <w:rPr>
          <w:rFonts w:hint="default" w:ascii="Times New Roman" w:hAnsi="Times New Roman" w:eastAsia="仿宋_GB2312" w:cs="Times New Roman"/>
          <w:b/>
          <w:bCs/>
          <w:sz w:val="32"/>
          <w:szCs w:val="32"/>
          <w:highlight w:val="none"/>
          <w:lang w:val="en-US" w:eastAsia="zh-CN"/>
        </w:rPr>
        <w:t>是努力提升服务质量。</w:t>
      </w:r>
      <w:r>
        <w:rPr>
          <w:rFonts w:hint="default" w:ascii="Times New Roman" w:hAnsi="Times New Roman" w:eastAsia="仿宋_GB2312" w:cs="Times New Roman"/>
          <w:color w:val="000000"/>
          <w:sz w:val="32"/>
          <w:szCs w:val="32"/>
          <w:highlight w:val="none"/>
          <w:lang w:val="en-US" w:eastAsia="zh-CN"/>
        </w:rPr>
        <w:t>组织29名退役军人开展健康体检</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30名退役军人进行短期疗养</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为7名荣立三等功的军人家庭</w:t>
      </w:r>
      <w:r>
        <w:rPr>
          <w:rFonts w:hint="eastAsia"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000000"/>
          <w:sz w:val="32"/>
          <w:szCs w:val="32"/>
          <w:highlight w:val="none"/>
          <w:lang w:val="en-US" w:eastAsia="zh-CN"/>
        </w:rPr>
        <w:t>18名</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四有</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士兵</w:t>
      </w:r>
      <w:r>
        <w:rPr>
          <w:rFonts w:hint="eastAsia" w:ascii="Times New Roman" w:hAnsi="Times New Roman" w:eastAsia="仿宋_GB2312" w:cs="Times New Roman"/>
          <w:color w:val="000000"/>
          <w:sz w:val="32"/>
          <w:szCs w:val="32"/>
          <w:highlight w:val="none"/>
          <w:lang w:val="en-US" w:eastAsia="zh-CN"/>
        </w:rPr>
        <w:t>送喜报；</w:t>
      </w:r>
      <w:r>
        <w:rPr>
          <w:rFonts w:hint="default" w:ascii="Times New Roman" w:hAnsi="Times New Roman" w:eastAsia="仿宋_GB2312" w:cs="Times New Roman"/>
          <w:color w:val="000000"/>
          <w:sz w:val="32"/>
          <w:szCs w:val="32"/>
          <w:highlight w:val="none"/>
          <w:lang w:val="en-US" w:eastAsia="zh-CN"/>
        </w:rPr>
        <w:t>为</w:t>
      </w:r>
      <w:r>
        <w:rPr>
          <w:rFonts w:hint="eastAsia" w:ascii="Times New Roman" w:hAnsi="Times New Roman" w:eastAsia="仿宋_GB2312" w:cs="Times New Roman"/>
          <w:color w:val="000000"/>
          <w:sz w:val="32"/>
          <w:szCs w:val="32"/>
          <w:highlight w:val="none"/>
          <w:lang w:val="en-US" w:eastAsia="zh-CN"/>
        </w:rPr>
        <w:t>53</w:t>
      </w:r>
      <w:r>
        <w:rPr>
          <w:rFonts w:hint="default" w:ascii="Times New Roman" w:hAnsi="Times New Roman" w:eastAsia="仿宋_GB2312" w:cs="Times New Roman"/>
          <w:color w:val="000000"/>
          <w:sz w:val="32"/>
          <w:szCs w:val="32"/>
          <w:highlight w:val="none"/>
          <w:lang w:val="en-US" w:eastAsia="zh-CN"/>
        </w:rPr>
        <w:t>名退役士兵</w:t>
      </w:r>
      <w:r>
        <w:rPr>
          <w:rFonts w:hint="default" w:ascii="Times New Roman" w:hAnsi="Times New Roman" w:eastAsia="仿宋_GB2312" w:cs="Times New Roman"/>
          <w:color w:val="000000"/>
          <w:sz w:val="32"/>
          <w:szCs w:val="32"/>
          <w:highlight w:val="none"/>
        </w:rPr>
        <w:t>举办欢迎仪式</w:t>
      </w:r>
      <w:r>
        <w:rPr>
          <w:rFonts w:hint="default" w:ascii="Times New Roman" w:hAnsi="Times New Roman" w:eastAsia="仿宋_GB2312" w:cs="Times New Roman"/>
          <w:color w:val="000000"/>
          <w:sz w:val="32"/>
          <w:szCs w:val="32"/>
          <w:highlight w:val="none"/>
          <w:lang w:eastAsia="zh-CN"/>
        </w:rPr>
        <w:t>和适应性培训，组织退役士兵参加</w:t>
      </w:r>
      <w:r>
        <w:rPr>
          <w:rFonts w:hint="default" w:ascii="Times New Roman" w:hAnsi="Times New Roman" w:eastAsia="仿宋_GB2312" w:cs="Times New Roman"/>
          <w:color w:val="000000"/>
          <w:sz w:val="32"/>
          <w:szCs w:val="32"/>
          <w:highlight w:val="none"/>
        </w:rPr>
        <w:t>招聘会</w:t>
      </w:r>
      <w:r>
        <w:rPr>
          <w:rFonts w:hint="default" w:ascii="Times New Roman" w:hAnsi="Times New Roman" w:eastAsia="仿宋_GB2312" w:cs="Times New Roman"/>
          <w:color w:val="000000"/>
          <w:sz w:val="32"/>
          <w:szCs w:val="32"/>
          <w:highlight w:val="none"/>
          <w:lang w:val="en-US" w:eastAsia="zh-CN"/>
        </w:rPr>
        <w:t>4场</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推荐就业</w:t>
      </w:r>
      <w:r>
        <w:rPr>
          <w:rFonts w:hint="default" w:ascii="Times New Roman" w:hAnsi="Times New Roman" w:eastAsia="仿宋_GB2312" w:cs="Times New Roman"/>
          <w:color w:val="000000"/>
          <w:sz w:val="32"/>
          <w:szCs w:val="32"/>
          <w:highlight w:val="none"/>
          <w:lang w:val="en-US" w:eastAsia="zh-CN"/>
        </w:rPr>
        <w:t>28人，</w:t>
      </w:r>
      <w:r>
        <w:rPr>
          <w:rFonts w:hint="default" w:ascii="Times New Roman" w:hAnsi="Times New Roman" w:eastAsia="仿宋_GB2312" w:cs="Times New Roman"/>
          <w:color w:val="000000"/>
          <w:sz w:val="32"/>
          <w:szCs w:val="32"/>
          <w:highlight w:val="none"/>
        </w:rPr>
        <w:t>培育退役军人市场主体</w:t>
      </w:r>
      <w:r>
        <w:rPr>
          <w:rFonts w:hint="eastAsia" w:ascii="Times New Roman" w:hAnsi="Times New Roman" w:eastAsia="仿宋_GB2312" w:cs="Times New Roman"/>
          <w:color w:val="000000"/>
          <w:sz w:val="32"/>
          <w:szCs w:val="32"/>
          <w:highlight w:val="none"/>
          <w:lang w:val="en-US" w:eastAsia="zh-CN"/>
        </w:rPr>
        <w:t>13</w:t>
      </w:r>
      <w:r>
        <w:rPr>
          <w:rFonts w:hint="default" w:ascii="Times New Roman" w:hAnsi="Times New Roman" w:eastAsia="仿宋_GB2312" w:cs="Times New Roman"/>
          <w:color w:val="000000"/>
          <w:sz w:val="32"/>
          <w:szCs w:val="32"/>
          <w:highlight w:val="none"/>
        </w:rPr>
        <w:t>家</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接收</w:t>
      </w:r>
      <w:r>
        <w:rPr>
          <w:rFonts w:hint="eastAsia" w:ascii="Times New Roman" w:hAnsi="Times New Roman" w:eastAsia="仿宋_GB2312" w:cs="Times New Roman"/>
          <w:color w:val="000000"/>
          <w:sz w:val="32"/>
          <w:szCs w:val="32"/>
          <w:highlight w:val="none"/>
          <w:lang w:eastAsia="zh-CN"/>
        </w:rPr>
        <w:t>安置</w:t>
      </w:r>
      <w:r>
        <w:rPr>
          <w:rFonts w:hint="default" w:ascii="Times New Roman" w:hAnsi="Times New Roman" w:eastAsia="仿宋_GB2312" w:cs="Times New Roman"/>
          <w:color w:val="000000"/>
          <w:sz w:val="32"/>
          <w:szCs w:val="32"/>
          <w:highlight w:val="none"/>
        </w:rPr>
        <w:t>转业士官</w:t>
      </w:r>
      <w:r>
        <w:rPr>
          <w:rFonts w:hint="eastAsia" w:ascii="Times New Roman" w:hAnsi="Times New Roman" w:eastAsia="仿宋_GB2312" w:cs="Times New Roman"/>
          <w:color w:val="000000"/>
          <w:sz w:val="32"/>
          <w:szCs w:val="32"/>
          <w:highlight w:val="none"/>
          <w:lang w:val="en-US" w:eastAsia="zh-CN"/>
        </w:rPr>
        <w:t>4人，转业干部1人</w:t>
      </w:r>
      <w:r>
        <w:rPr>
          <w:rFonts w:hint="default" w:ascii="Times New Roman" w:hAnsi="Times New Roman" w:eastAsia="仿宋_GB2312" w:cs="Times New Roman"/>
          <w:color w:val="000000"/>
          <w:sz w:val="32"/>
          <w:szCs w:val="32"/>
          <w:highlight w:val="none"/>
          <w:shd w:val="clear" w:color="auto" w:fill="FFFFFF"/>
        </w:rPr>
        <w:t>。</w:t>
      </w:r>
    </w:p>
    <w:p w14:paraId="5EB39A0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bCs/>
          <w:sz w:val="32"/>
          <w:szCs w:val="32"/>
          <w:highlight w:val="none"/>
          <w:lang w:eastAsia="zh-CN"/>
        </w:rPr>
        <w:t>坚持权益维护，确保群体稳定。</w:t>
      </w:r>
      <w:r>
        <w:rPr>
          <w:rFonts w:hint="default" w:ascii="Times New Roman" w:hAnsi="Times New Roman" w:eastAsia="仿宋_GB2312" w:cs="Times New Roman"/>
          <w:color w:val="000000"/>
          <w:sz w:val="32"/>
          <w:szCs w:val="32"/>
          <w:highlight w:val="none"/>
          <w:shd w:val="clear" w:color="auto" w:fill="FFFFFF"/>
          <w:lang w:eastAsia="zh-CN"/>
        </w:rPr>
        <w:t>一</w:t>
      </w:r>
      <w:r>
        <w:rPr>
          <w:rFonts w:hint="default" w:ascii="Times New Roman" w:hAnsi="Times New Roman" w:eastAsia="仿宋_GB2312" w:cs="Times New Roman"/>
          <w:b/>
          <w:bCs/>
          <w:sz w:val="32"/>
          <w:szCs w:val="32"/>
          <w:highlight w:val="none"/>
          <w:lang w:val="en-US" w:eastAsia="zh-CN"/>
        </w:rPr>
        <w:t>是积极畅通信访渠道。</w:t>
      </w:r>
      <w:r>
        <w:rPr>
          <w:rFonts w:hint="eastAsia" w:ascii="Times New Roman" w:hAnsi="Times New Roman" w:eastAsia="仿宋_GB2312" w:cs="Times New Roman"/>
          <w:sz w:val="32"/>
          <w:szCs w:val="32"/>
          <w:highlight w:val="none"/>
          <w:lang w:val="en-US" w:eastAsia="zh-CN"/>
        </w:rPr>
        <w:t>坚持</w:t>
      </w:r>
      <w:r>
        <w:rPr>
          <w:rFonts w:hint="default" w:ascii="Times New Roman" w:hAnsi="Times New Roman" w:eastAsia="仿宋_GB2312" w:cs="Times New Roman"/>
          <w:sz w:val="32"/>
          <w:szCs w:val="32"/>
          <w:highlight w:val="none"/>
          <w:lang w:val="en-US" w:eastAsia="zh-CN"/>
        </w:rPr>
        <w:t>领导坐班接访、全员接访和信访代办制度，共接待来访群众167人次，处理网上信访件7起</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省委巡视组交办件1起</w:t>
      </w:r>
      <w:r>
        <w:rPr>
          <w:rFonts w:hint="eastAsia" w:ascii="Times New Roman" w:hAnsi="Times New Roman" w:eastAsia="仿宋_GB2312" w:cs="Times New Roman"/>
          <w:sz w:val="32"/>
          <w:szCs w:val="32"/>
          <w:highlight w:val="none"/>
          <w:lang w:val="en-US" w:eastAsia="zh-CN"/>
        </w:rPr>
        <w:t>，市长热线13起</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color w:val="000000"/>
          <w:sz w:val="32"/>
          <w:szCs w:val="32"/>
          <w:highlight w:val="none"/>
          <w:shd w:val="clear" w:color="auto" w:fill="FFFFFF"/>
          <w:lang w:val="en-US" w:eastAsia="zh-CN"/>
        </w:rPr>
        <w:t>二是积极开展帮扶解困。</w:t>
      </w:r>
      <w:r>
        <w:rPr>
          <w:rFonts w:hint="default" w:ascii="Times New Roman" w:hAnsi="Times New Roman" w:eastAsia="仿宋_GB2312" w:cs="Times New Roman"/>
          <w:color w:val="000000"/>
          <w:sz w:val="32"/>
          <w:szCs w:val="32"/>
          <w:highlight w:val="none"/>
          <w:lang w:eastAsia="zh-CN"/>
        </w:rPr>
        <w:t>帮扶困难</w:t>
      </w:r>
      <w:r>
        <w:rPr>
          <w:rFonts w:hint="default" w:ascii="Times New Roman" w:hAnsi="Times New Roman" w:eastAsia="仿宋_GB2312" w:cs="Times New Roman"/>
          <w:color w:val="000000"/>
          <w:sz w:val="32"/>
          <w:szCs w:val="32"/>
          <w:highlight w:val="none"/>
        </w:rPr>
        <w:t>退役军人</w:t>
      </w:r>
      <w:r>
        <w:rPr>
          <w:rFonts w:hint="eastAsia" w:ascii="Times New Roman" w:hAnsi="Times New Roman" w:eastAsia="仿宋_GB2312" w:cs="Times New Roman"/>
          <w:color w:val="000000"/>
          <w:sz w:val="32"/>
          <w:szCs w:val="32"/>
          <w:highlight w:val="none"/>
          <w:lang w:val="en-US" w:eastAsia="zh-CN"/>
        </w:rPr>
        <w:t>34人次、</w:t>
      </w:r>
      <w:r>
        <w:rPr>
          <w:rFonts w:hint="default" w:ascii="Times New Roman" w:hAnsi="Times New Roman" w:eastAsia="仿宋_GB2312" w:cs="Times New Roman"/>
          <w:color w:val="000000"/>
          <w:sz w:val="32"/>
          <w:szCs w:val="32"/>
          <w:highlight w:val="none"/>
          <w:lang w:val="en-US" w:eastAsia="zh-CN"/>
        </w:rPr>
        <w:t>慈善救助</w:t>
      </w:r>
      <w:r>
        <w:rPr>
          <w:rFonts w:hint="eastAsia" w:ascii="Times New Roman" w:hAnsi="Times New Roman" w:eastAsia="仿宋_GB2312" w:cs="Times New Roman"/>
          <w:color w:val="000000"/>
          <w:sz w:val="32"/>
          <w:szCs w:val="32"/>
          <w:highlight w:val="none"/>
          <w:lang w:val="en-US" w:eastAsia="zh-CN"/>
        </w:rPr>
        <w:t>46人次</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三是全力做好重要敏感时期涉退役军人的信访稳定工作。</w:t>
      </w:r>
      <w:r>
        <w:rPr>
          <w:rFonts w:hint="default" w:ascii="Times New Roman" w:hAnsi="Times New Roman" w:eastAsia="仿宋_GB2312" w:cs="Times New Roman"/>
          <w:kern w:val="2"/>
          <w:sz w:val="32"/>
          <w:szCs w:val="32"/>
          <w:highlight w:val="none"/>
          <w:lang w:val="en-US" w:eastAsia="zh-CN" w:bidi="ar-SA"/>
        </w:rPr>
        <w:t>严格落实</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五包一</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工作措施，确保了</w:t>
      </w:r>
      <w:r>
        <w:rPr>
          <w:rFonts w:hint="eastAsia" w:ascii="Times New Roman" w:hAnsi="Times New Roman" w:eastAsia="仿宋_GB2312" w:cs="Times New Roman"/>
          <w:kern w:val="2"/>
          <w:sz w:val="32"/>
          <w:szCs w:val="32"/>
          <w:highlight w:val="none"/>
          <w:lang w:val="en-US" w:eastAsia="zh-CN" w:bidi="ar-SA"/>
        </w:rPr>
        <w:t>特护期</w:t>
      </w:r>
      <w:r>
        <w:rPr>
          <w:rFonts w:hint="default" w:ascii="Times New Roman" w:hAnsi="Times New Roman" w:eastAsia="仿宋_GB2312" w:cs="Times New Roman"/>
          <w:kern w:val="2"/>
          <w:sz w:val="32"/>
          <w:szCs w:val="32"/>
          <w:highlight w:val="none"/>
          <w:lang w:val="en-US" w:eastAsia="zh-CN" w:bidi="ar-SA"/>
        </w:rPr>
        <w:t>涉退役群体的安全稳定。为前往云南麻栗坡方向省内16批78人次祭扫人员提供服务，成功劝阻18名有意愿赴广西、云南进行祭扫的人员。</w:t>
      </w:r>
    </w:p>
    <w:p w14:paraId="27E105A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7B073D6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rPr>
        <w:t>1.年初预算项目涉退役军人群体就业援助专项资金，</w:t>
      </w:r>
      <w:r>
        <w:rPr>
          <w:rFonts w:hint="eastAsia" w:ascii="Times New Roman" w:hAnsi="Times New Roman" w:eastAsia="仿宋_GB2312" w:cs="Times New Roman"/>
          <w:b w:val="0"/>
          <w:bCs w:val="0"/>
          <w:sz w:val="32"/>
          <w:szCs w:val="32"/>
          <w:highlight w:val="none"/>
          <w:lang w:eastAsia="zh-CN"/>
        </w:rPr>
        <w:t>预算</w:t>
      </w:r>
      <w:r>
        <w:rPr>
          <w:rFonts w:hint="eastAsia" w:ascii="Times New Roman" w:hAnsi="Times New Roman" w:eastAsia="仿宋_GB2312" w:cs="Times New Roman"/>
          <w:b w:val="0"/>
          <w:bCs w:val="0"/>
          <w:sz w:val="32"/>
          <w:szCs w:val="32"/>
          <w:highlight w:val="none"/>
          <w:lang w:val="en-US" w:eastAsia="zh-CN"/>
        </w:rPr>
        <w:t>320万元，因直拨街道支付，在我局无决算数据</w:t>
      </w:r>
      <w:r>
        <w:rPr>
          <w:rFonts w:hint="eastAsia" w:ascii="Times New Roman" w:hAnsi="Times New Roman" w:eastAsia="仿宋_GB2312" w:cs="Times New Roman"/>
          <w:b w:val="0"/>
          <w:bCs w:val="0"/>
          <w:sz w:val="32"/>
          <w:szCs w:val="32"/>
          <w:highlight w:val="none"/>
        </w:rPr>
        <w:t>。项目实施及绩效情况如下：</w:t>
      </w:r>
    </w:p>
    <w:p w14:paraId="22DE4829">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根据区五届政府第74次政府常务会议，发放涉退役军人就业援助专项资金，维护辖区涉军群体稳定。</w:t>
      </w:r>
    </w:p>
    <w:p w14:paraId="0EB0EC7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2.</w:t>
      </w:r>
      <w:r>
        <w:rPr>
          <w:rFonts w:hint="eastAsia" w:ascii="Times New Roman" w:hAnsi="Times New Roman" w:eastAsia="仿宋_GB2312" w:cs="Times New Roman"/>
          <w:b w:val="0"/>
          <w:bCs w:val="0"/>
          <w:sz w:val="32"/>
          <w:szCs w:val="32"/>
          <w:highlight w:val="none"/>
        </w:rPr>
        <w:t>年初预算项目优抚经费，</w:t>
      </w:r>
      <w:r>
        <w:rPr>
          <w:rFonts w:hint="eastAsia" w:ascii="Times New Roman" w:hAnsi="Times New Roman" w:eastAsia="仿宋_GB2312" w:cs="Times New Roman"/>
          <w:b w:val="0"/>
          <w:bCs w:val="0"/>
          <w:sz w:val="32"/>
          <w:szCs w:val="32"/>
          <w:highlight w:val="none"/>
          <w:lang w:eastAsia="zh-CN"/>
        </w:rPr>
        <w:t>预算</w:t>
      </w:r>
      <w:r>
        <w:rPr>
          <w:rFonts w:hint="eastAsia" w:ascii="Times New Roman" w:hAnsi="Times New Roman" w:eastAsia="仿宋_GB2312" w:cs="Times New Roman"/>
          <w:b w:val="0"/>
          <w:bCs w:val="0"/>
          <w:sz w:val="32"/>
          <w:szCs w:val="32"/>
          <w:highlight w:val="none"/>
          <w:lang w:val="en-US" w:eastAsia="zh-CN"/>
        </w:rPr>
        <w:t>1667.9万元，年中调增160.24万元，实际支出1828.14万元</w:t>
      </w:r>
      <w:r>
        <w:rPr>
          <w:rFonts w:hint="eastAsia" w:ascii="Times New Roman" w:hAnsi="Times New Roman" w:eastAsia="仿宋_GB2312" w:cs="Times New Roman"/>
          <w:b w:val="0"/>
          <w:bCs w:val="0"/>
          <w:sz w:val="32"/>
          <w:szCs w:val="32"/>
          <w:highlight w:val="none"/>
        </w:rPr>
        <w:t>，结余结转</w:t>
      </w:r>
      <w:r>
        <w:rPr>
          <w:rFonts w:hint="eastAsia" w:ascii="Times New Roman" w:hAnsi="Times New Roman" w:eastAsia="仿宋_GB2312" w:cs="Times New Roman"/>
          <w:b w:val="0"/>
          <w:bCs w:val="0"/>
          <w:sz w:val="32"/>
          <w:szCs w:val="32"/>
          <w:highlight w:val="none"/>
          <w:lang w:val="en-US" w:eastAsia="zh-CN"/>
        </w:rPr>
        <w:t>0.21</w:t>
      </w:r>
      <w:r>
        <w:rPr>
          <w:rFonts w:hint="eastAsia" w:ascii="Times New Roman" w:hAnsi="Times New Roman" w:eastAsia="仿宋_GB2312" w:cs="Times New Roman"/>
          <w:b w:val="0"/>
          <w:bCs w:val="0"/>
          <w:sz w:val="32"/>
          <w:szCs w:val="32"/>
          <w:highlight w:val="none"/>
        </w:rPr>
        <w:t>万元。项目实施及绩效情况如下：</w:t>
      </w:r>
    </w:p>
    <w:p w14:paraId="0FCA693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通过发放优抚对象医疗补助资金、优抚对象抚恤补助资金、开展双拥慰问工作，使优抚对象等人员的基本生活得到有效保障，包含死亡抚恤、伤残定期抚恤、在乡复原军人退伍补助、义务兵优待金、农村籍退役士兵老年生活补助、优抚医疗资金、其他优抚支出。及时、足额保障全区优抚对象抚恤补助发放到位，对优抚对象参加基本医疗保险缴费、住院和门诊费用进行补助，有效帮助解决优抚对象医疗难问题，</w:t>
      </w:r>
      <w:r>
        <w:rPr>
          <w:rFonts w:hint="default" w:ascii="Times New Roman" w:hAnsi="Times New Roman" w:eastAsia="仿宋_GB2312" w:cs="Times New Roman"/>
          <w:b w:val="0"/>
          <w:bCs w:val="0"/>
          <w:color w:val="000000"/>
          <w:kern w:val="2"/>
          <w:sz w:val="32"/>
          <w:szCs w:val="32"/>
          <w:highlight w:val="none"/>
          <w:lang w:val="en-US" w:eastAsia="zh-CN" w:bidi="ar-SA"/>
        </w:rPr>
        <w:t>进一步改善困难</w:t>
      </w:r>
      <w:r>
        <w:rPr>
          <w:rFonts w:hint="eastAsia" w:ascii="Times New Roman" w:hAnsi="Times New Roman" w:eastAsia="仿宋_GB2312" w:cs="Times New Roman"/>
          <w:b w:val="0"/>
          <w:bCs w:val="0"/>
          <w:color w:val="000000"/>
          <w:kern w:val="2"/>
          <w:sz w:val="32"/>
          <w:szCs w:val="32"/>
          <w:highlight w:val="none"/>
          <w:lang w:val="en-US" w:eastAsia="zh-CN" w:bidi="ar-SA"/>
        </w:rPr>
        <w:t>退役军人</w:t>
      </w:r>
      <w:r>
        <w:rPr>
          <w:rFonts w:hint="default" w:ascii="Times New Roman" w:hAnsi="Times New Roman" w:eastAsia="仿宋_GB2312" w:cs="Times New Roman"/>
          <w:b w:val="0"/>
          <w:bCs w:val="0"/>
          <w:color w:val="000000"/>
          <w:kern w:val="2"/>
          <w:sz w:val="32"/>
          <w:szCs w:val="32"/>
          <w:highlight w:val="none"/>
          <w:lang w:val="en-US" w:eastAsia="zh-CN" w:bidi="ar-SA"/>
        </w:rPr>
        <w:t>的生活和健康状况，使</w:t>
      </w:r>
      <w:r>
        <w:rPr>
          <w:rFonts w:hint="eastAsia" w:ascii="Times New Roman" w:hAnsi="Times New Roman" w:eastAsia="仿宋_GB2312" w:cs="Times New Roman"/>
          <w:b w:val="0"/>
          <w:bCs w:val="0"/>
          <w:color w:val="000000"/>
          <w:kern w:val="2"/>
          <w:sz w:val="32"/>
          <w:szCs w:val="32"/>
          <w:highlight w:val="none"/>
          <w:lang w:val="en-US" w:eastAsia="zh-CN" w:bidi="ar-SA"/>
        </w:rPr>
        <w:t>优抚对象</w:t>
      </w:r>
      <w:r>
        <w:rPr>
          <w:rFonts w:hint="default" w:ascii="Times New Roman" w:hAnsi="Times New Roman" w:eastAsia="仿宋_GB2312" w:cs="Times New Roman"/>
          <w:b w:val="0"/>
          <w:bCs w:val="0"/>
          <w:color w:val="000000"/>
          <w:kern w:val="2"/>
          <w:sz w:val="32"/>
          <w:szCs w:val="32"/>
          <w:highlight w:val="none"/>
          <w:lang w:val="en-US" w:eastAsia="zh-CN" w:bidi="ar-SA"/>
        </w:rPr>
        <w:t>更直接地感受到党和政府的温暖，不断增强他们的幸福感、获得感和荣誉感。</w:t>
      </w:r>
    </w:p>
    <w:p w14:paraId="3B51C96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3.</w:t>
      </w:r>
      <w:r>
        <w:rPr>
          <w:rFonts w:hint="eastAsia" w:ascii="Times New Roman" w:hAnsi="Times New Roman" w:eastAsia="仿宋_GB2312" w:cs="Times New Roman"/>
          <w:b w:val="0"/>
          <w:bCs w:val="0"/>
          <w:sz w:val="32"/>
          <w:szCs w:val="32"/>
          <w:highlight w:val="none"/>
        </w:rPr>
        <w:t>年初预算项目</w:t>
      </w:r>
      <w:r>
        <w:rPr>
          <w:rFonts w:hint="eastAsia" w:ascii="Times New Roman" w:hAnsi="Times New Roman" w:eastAsia="仿宋_GB2312" w:cs="Times New Roman"/>
          <w:b w:val="0"/>
          <w:bCs w:val="0"/>
          <w:sz w:val="32"/>
          <w:szCs w:val="32"/>
          <w:highlight w:val="none"/>
          <w:lang w:eastAsia="zh-CN"/>
        </w:rPr>
        <w:t>“安置</w:t>
      </w:r>
      <w:r>
        <w:rPr>
          <w:rFonts w:hint="eastAsia" w:ascii="Times New Roman" w:hAnsi="Times New Roman" w:eastAsia="仿宋_GB2312" w:cs="Times New Roman"/>
          <w:b w:val="0"/>
          <w:bCs w:val="0"/>
          <w:sz w:val="32"/>
          <w:szCs w:val="32"/>
          <w:highlight w:val="none"/>
        </w:rPr>
        <w:t>经费</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eastAsia="zh-CN"/>
        </w:rPr>
        <w:t>年初预算</w:t>
      </w:r>
      <w:r>
        <w:rPr>
          <w:rFonts w:hint="eastAsia" w:ascii="Times New Roman" w:hAnsi="Times New Roman" w:eastAsia="仿宋_GB2312" w:cs="Times New Roman"/>
          <w:b w:val="0"/>
          <w:bCs w:val="0"/>
          <w:sz w:val="32"/>
          <w:szCs w:val="32"/>
          <w:highlight w:val="none"/>
          <w:lang w:val="en-US" w:eastAsia="zh-CN"/>
        </w:rPr>
        <w:t>257.75万元，年中调减46.61万元，实际支出211.14万元</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eastAsia="zh-CN"/>
        </w:rPr>
        <w:t>无结转结余</w:t>
      </w:r>
      <w:r>
        <w:rPr>
          <w:rFonts w:hint="eastAsia" w:ascii="Times New Roman" w:hAnsi="Times New Roman" w:eastAsia="仿宋_GB2312" w:cs="Times New Roman"/>
          <w:b w:val="0"/>
          <w:bCs w:val="0"/>
          <w:sz w:val="32"/>
          <w:szCs w:val="32"/>
          <w:highlight w:val="none"/>
        </w:rPr>
        <w:t>。项目实施及绩效情况如下：</w:t>
      </w:r>
    </w:p>
    <w:p w14:paraId="1D18F51D">
      <w:pPr>
        <w:keepNext w:val="0"/>
        <w:keepLines w:val="0"/>
        <w:pageBreakBefore w:val="0"/>
        <w:widowControl w:val="0"/>
        <w:tabs>
          <w:tab w:val="left" w:pos="756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2"/>
          <w:sz w:val="32"/>
          <w:szCs w:val="32"/>
          <w:highlight w:val="none"/>
          <w:lang w:val="en-US" w:eastAsia="zh-CN" w:bidi="ar-SA"/>
        </w:rPr>
        <w:t>用于发放自主就业士兵一次性经济补助、军队移交政府的离退休人员安置</w:t>
      </w:r>
      <w:r>
        <w:rPr>
          <w:rFonts w:hint="eastAsia" w:ascii="Times New Roman" w:hAnsi="Times New Roman" w:eastAsia="仿宋_GB2312" w:cs="Times New Roman"/>
          <w:b w:val="0"/>
          <w:bCs w:val="0"/>
          <w:color w:val="000000"/>
          <w:kern w:val="2"/>
          <w:sz w:val="32"/>
          <w:szCs w:val="32"/>
          <w:highlight w:val="none"/>
          <w:lang w:val="en-US" w:eastAsia="zh-CN" w:bidi="ar-SA"/>
        </w:rPr>
        <w:t>、军队转业干部安置、其他退役安置支出</w:t>
      </w:r>
      <w:r>
        <w:rPr>
          <w:rFonts w:hint="default" w:ascii="Times New Roman" w:hAnsi="Times New Roman" w:eastAsia="仿宋_GB2312" w:cs="Times New Roman"/>
          <w:b w:val="0"/>
          <w:bCs w:val="0"/>
          <w:color w:val="000000"/>
          <w:kern w:val="2"/>
          <w:sz w:val="32"/>
          <w:szCs w:val="32"/>
          <w:highlight w:val="none"/>
          <w:lang w:val="en-US" w:eastAsia="zh-CN" w:bidi="ar-SA"/>
        </w:rPr>
        <w:t>。大力推行阳光安置，202</w:t>
      </w:r>
      <w:r>
        <w:rPr>
          <w:rFonts w:hint="eastAsia" w:ascii="Times New Roman" w:hAnsi="Times New Roman" w:eastAsia="仿宋_GB2312" w:cs="Times New Roman"/>
          <w:b w:val="0"/>
          <w:bCs w:val="0"/>
          <w:color w:val="000000"/>
          <w:kern w:val="2"/>
          <w:sz w:val="32"/>
          <w:szCs w:val="32"/>
          <w:highlight w:val="none"/>
          <w:lang w:val="en-US" w:eastAsia="zh-CN" w:bidi="ar-SA"/>
        </w:rPr>
        <w:t>3</w:t>
      </w:r>
      <w:r>
        <w:rPr>
          <w:rFonts w:hint="default" w:ascii="Times New Roman" w:hAnsi="Times New Roman" w:eastAsia="仿宋_GB2312" w:cs="Times New Roman"/>
          <w:b w:val="0"/>
          <w:bCs w:val="0"/>
          <w:color w:val="000000"/>
          <w:kern w:val="2"/>
          <w:sz w:val="32"/>
          <w:szCs w:val="32"/>
          <w:highlight w:val="none"/>
          <w:lang w:val="en-US" w:eastAsia="zh-CN" w:bidi="ar-SA"/>
        </w:rPr>
        <w:t>年全</w:t>
      </w:r>
      <w:r>
        <w:rPr>
          <w:rFonts w:hint="eastAsia" w:ascii="Times New Roman" w:hAnsi="Times New Roman" w:eastAsia="仿宋_GB2312" w:cs="Times New Roman"/>
          <w:b w:val="0"/>
          <w:bCs w:val="0"/>
          <w:color w:val="000000"/>
          <w:kern w:val="2"/>
          <w:sz w:val="32"/>
          <w:szCs w:val="32"/>
          <w:highlight w:val="none"/>
          <w:lang w:val="en-US" w:eastAsia="zh-CN" w:bidi="ar-SA"/>
        </w:rPr>
        <w:t>区</w:t>
      </w:r>
      <w:r>
        <w:rPr>
          <w:rFonts w:hint="default" w:ascii="Times New Roman" w:hAnsi="Times New Roman" w:eastAsia="仿宋_GB2312" w:cs="Times New Roman"/>
          <w:b w:val="0"/>
          <w:bCs w:val="0"/>
          <w:color w:val="000000"/>
          <w:kern w:val="2"/>
          <w:sz w:val="32"/>
          <w:szCs w:val="32"/>
          <w:highlight w:val="none"/>
          <w:lang w:val="en-US" w:eastAsia="zh-CN" w:bidi="ar-SA"/>
        </w:rPr>
        <w:t>退役士官全部安置到位。通过对符合政府安排工作条件而选择自主就业的退役士兵发给一次性就业补助金，提高了退役士兵的获得感、荣誉感。保障军队无军籍退休退职职工移交地方安置后，享受安置地财政全额拨款事业单位同职级退休人员同等津贴补贴待遇。</w:t>
      </w:r>
    </w:p>
    <w:p w14:paraId="2DA5F87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4.</w:t>
      </w:r>
      <w:r>
        <w:rPr>
          <w:rFonts w:hint="eastAsia" w:ascii="Times New Roman" w:hAnsi="Times New Roman" w:eastAsia="仿宋_GB2312" w:cs="Times New Roman"/>
          <w:b w:val="0"/>
          <w:bCs w:val="0"/>
          <w:sz w:val="32"/>
          <w:szCs w:val="32"/>
          <w:highlight w:val="none"/>
        </w:rPr>
        <w:t>年初预算项目</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rPr>
        <w:t>退役军人事务管理支出</w:t>
      </w:r>
      <w:r>
        <w:rPr>
          <w:rFonts w:hint="eastAsia" w:ascii="Times New Roman" w:hAnsi="Times New Roman" w:eastAsia="仿宋_GB2312" w:cs="Times New Roman"/>
          <w:b w:val="0"/>
          <w:bCs w:val="0"/>
          <w:sz w:val="32"/>
          <w:szCs w:val="32"/>
          <w:highlight w:val="none"/>
          <w:lang w:eastAsia="zh-CN"/>
        </w:rPr>
        <w:t>”，年初预算</w:t>
      </w:r>
      <w:r>
        <w:rPr>
          <w:rFonts w:hint="eastAsia" w:ascii="Times New Roman" w:hAnsi="Times New Roman" w:eastAsia="仿宋_GB2312" w:cs="Times New Roman"/>
          <w:b w:val="0"/>
          <w:bCs w:val="0"/>
          <w:sz w:val="32"/>
          <w:szCs w:val="32"/>
          <w:highlight w:val="none"/>
          <w:lang w:val="en-US" w:eastAsia="zh-CN"/>
        </w:rPr>
        <w:t>3万元，年中调增23.51万元，实际支出26.51万元</w:t>
      </w:r>
      <w:r>
        <w:rPr>
          <w:rFonts w:hint="eastAsia" w:ascii="Times New Roman" w:hAnsi="Times New Roman" w:eastAsia="仿宋_GB2312" w:cs="Times New Roman"/>
          <w:b w:val="0"/>
          <w:bCs w:val="0"/>
          <w:sz w:val="32"/>
          <w:szCs w:val="32"/>
          <w:highlight w:val="none"/>
        </w:rPr>
        <w:t>，结余结转</w:t>
      </w:r>
      <w:r>
        <w:rPr>
          <w:rFonts w:hint="eastAsia" w:ascii="Times New Roman" w:hAnsi="Times New Roman" w:eastAsia="仿宋_GB2312" w:cs="Times New Roman"/>
          <w:b w:val="0"/>
          <w:bCs w:val="0"/>
          <w:sz w:val="32"/>
          <w:szCs w:val="32"/>
          <w:highlight w:val="none"/>
          <w:lang w:val="en-US" w:eastAsia="zh-CN"/>
        </w:rPr>
        <w:t>1.56</w:t>
      </w:r>
      <w:r>
        <w:rPr>
          <w:rFonts w:hint="eastAsia" w:ascii="Times New Roman" w:hAnsi="Times New Roman" w:eastAsia="仿宋_GB2312" w:cs="Times New Roman"/>
          <w:b w:val="0"/>
          <w:bCs w:val="0"/>
          <w:sz w:val="32"/>
          <w:szCs w:val="32"/>
          <w:highlight w:val="none"/>
        </w:rPr>
        <w:t>万元。项目实施及绩效情况如下：</w:t>
      </w:r>
    </w:p>
    <w:p w14:paraId="69B8605D">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支付2023年度</w:t>
      </w:r>
      <w:r>
        <w:rPr>
          <w:rFonts w:hint="default" w:ascii="Times New Roman" w:hAnsi="Times New Roman" w:eastAsia="仿宋_GB2312" w:cs="Times New Roman"/>
          <w:b w:val="0"/>
          <w:bCs w:val="0"/>
          <w:color w:val="000000"/>
          <w:kern w:val="2"/>
          <w:sz w:val="32"/>
          <w:szCs w:val="32"/>
          <w:highlight w:val="none"/>
          <w:lang w:val="en-US" w:eastAsia="zh-CN" w:bidi="ar-SA"/>
        </w:rPr>
        <w:t>单位水电费</w:t>
      </w:r>
      <w:r>
        <w:rPr>
          <w:rFonts w:hint="eastAsia" w:ascii="Times New Roman" w:hAnsi="Times New Roman" w:eastAsia="仿宋_GB2312" w:cs="Times New Roman"/>
          <w:b w:val="0"/>
          <w:bCs w:val="0"/>
          <w:color w:val="000000"/>
          <w:kern w:val="2"/>
          <w:sz w:val="32"/>
          <w:szCs w:val="32"/>
          <w:highlight w:val="none"/>
          <w:lang w:val="en-US" w:eastAsia="zh-CN" w:bidi="ar-SA"/>
        </w:rPr>
        <w:t>、物业费</w:t>
      </w:r>
      <w:r>
        <w:rPr>
          <w:rFonts w:hint="default" w:ascii="Times New Roman" w:hAnsi="Times New Roman" w:eastAsia="仿宋_GB2312" w:cs="Times New Roman"/>
          <w:b w:val="0"/>
          <w:bCs w:val="0"/>
          <w:color w:val="000000"/>
          <w:kern w:val="2"/>
          <w:sz w:val="32"/>
          <w:szCs w:val="32"/>
          <w:highlight w:val="none"/>
          <w:lang w:val="en-US" w:eastAsia="zh-CN" w:bidi="ar-SA"/>
        </w:rPr>
        <w:t>等</w:t>
      </w:r>
      <w:r>
        <w:rPr>
          <w:rFonts w:hint="eastAsia" w:ascii="Times New Roman" w:hAnsi="Times New Roman" w:eastAsia="仿宋_GB2312" w:cs="Times New Roman"/>
          <w:b w:val="0"/>
          <w:bCs w:val="0"/>
          <w:color w:val="000000"/>
          <w:kern w:val="2"/>
          <w:sz w:val="32"/>
          <w:szCs w:val="32"/>
          <w:highlight w:val="none"/>
          <w:lang w:val="en-US" w:eastAsia="zh-CN" w:bidi="ar-SA"/>
        </w:rPr>
        <w:t>机关日常维护费用</w:t>
      </w:r>
      <w:r>
        <w:rPr>
          <w:rFonts w:hint="default" w:ascii="Times New Roman" w:hAnsi="Times New Roman" w:eastAsia="仿宋_GB2312" w:cs="Times New Roman"/>
          <w:b w:val="0"/>
          <w:bCs w:val="0"/>
          <w:color w:val="000000"/>
          <w:kern w:val="2"/>
          <w:sz w:val="32"/>
          <w:szCs w:val="32"/>
          <w:highlight w:val="none"/>
          <w:lang w:val="en-US" w:eastAsia="zh-CN" w:bidi="ar-SA"/>
        </w:rPr>
        <w:t>，确保单位正常运行。保障单位职工办公</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确保单位职工正常开展各项工</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为做好各项服务工作提供重要保障</w:t>
      </w:r>
      <w:r>
        <w:rPr>
          <w:rFonts w:hint="eastAsia" w:ascii="Times New Roman" w:hAnsi="Times New Roman" w:eastAsia="仿宋_GB2312" w:cs="Times New Roman"/>
          <w:b w:val="0"/>
          <w:bCs w:val="0"/>
          <w:color w:val="000000"/>
          <w:kern w:val="2"/>
          <w:sz w:val="32"/>
          <w:szCs w:val="32"/>
          <w:highlight w:val="none"/>
          <w:lang w:val="en-US" w:eastAsia="zh-CN" w:bidi="ar-SA"/>
        </w:rPr>
        <w:t>。</w:t>
      </w:r>
    </w:p>
    <w:p w14:paraId="6E903F0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5</w:t>
      </w:r>
      <w:r>
        <w:rPr>
          <w:rFonts w:hint="eastAsia" w:ascii="Times New Roman" w:hAnsi="Times New Roman" w:eastAsia="仿宋_GB2312" w:cs="Times New Roman"/>
          <w:b w:val="0"/>
          <w:bCs w:val="0"/>
          <w:sz w:val="32"/>
          <w:szCs w:val="32"/>
          <w:highlight w:val="none"/>
        </w:rPr>
        <w:t>.年中追加项目</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rPr>
        <w:t>退役军人信访维稳经费</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rPr>
        <w:t>，金额</w:t>
      </w:r>
      <w:r>
        <w:rPr>
          <w:rFonts w:hint="eastAsia" w:ascii="Times New Roman" w:hAnsi="Times New Roman" w:eastAsia="仿宋_GB2312" w:cs="Times New Roman"/>
          <w:b w:val="0"/>
          <w:bCs w:val="0"/>
          <w:sz w:val="32"/>
          <w:szCs w:val="32"/>
          <w:highlight w:val="none"/>
          <w:lang w:val="en-US" w:eastAsia="zh-CN"/>
        </w:rPr>
        <w:t>17.01</w:t>
      </w:r>
      <w:r>
        <w:rPr>
          <w:rFonts w:hint="eastAsia" w:ascii="Times New Roman" w:hAnsi="Times New Roman" w:eastAsia="仿宋_GB2312" w:cs="Times New Roman"/>
          <w:b w:val="0"/>
          <w:bCs w:val="0"/>
          <w:sz w:val="32"/>
          <w:szCs w:val="32"/>
          <w:highlight w:val="none"/>
        </w:rPr>
        <w:t>万元，实际支出</w:t>
      </w:r>
      <w:r>
        <w:rPr>
          <w:rFonts w:hint="eastAsia" w:ascii="Times New Roman" w:hAnsi="Times New Roman" w:eastAsia="仿宋_GB2312" w:cs="Times New Roman"/>
          <w:b w:val="0"/>
          <w:bCs w:val="0"/>
          <w:sz w:val="32"/>
          <w:szCs w:val="32"/>
          <w:highlight w:val="none"/>
          <w:lang w:val="en-US" w:eastAsia="zh-CN"/>
        </w:rPr>
        <w:t>17.01</w:t>
      </w:r>
      <w:r>
        <w:rPr>
          <w:rFonts w:hint="eastAsia" w:ascii="Times New Roman" w:hAnsi="Times New Roman" w:eastAsia="仿宋_GB2312" w:cs="Times New Roman"/>
          <w:b w:val="0"/>
          <w:bCs w:val="0"/>
          <w:sz w:val="32"/>
          <w:szCs w:val="32"/>
          <w:highlight w:val="none"/>
        </w:rPr>
        <w:t>万元，</w:t>
      </w:r>
      <w:r>
        <w:rPr>
          <w:rFonts w:hint="eastAsia" w:ascii="Times New Roman" w:hAnsi="Times New Roman" w:eastAsia="仿宋_GB2312" w:cs="Times New Roman"/>
          <w:b w:val="0"/>
          <w:bCs w:val="0"/>
          <w:sz w:val="32"/>
          <w:szCs w:val="32"/>
          <w:highlight w:val="none"/>
          <w:lang w:val="en-US" w:eastAsia="zh-CN"/>
        </w:rPr>
        <w:t>无</w:t>
      </w:r>
      <w:r>
        <w:rPr>
          <w:rFonts w:hint="eastAsia" w:ascii="Times New Roman" w:hAnsi="Times New Roman" w:eastAsia="仿宋_GB2312" w:cs="Times New Roman"/>
          <w:b w:val="0"/>
          <w:bCs w:val="0"/>
          <w:sz w:val="32"/>
          <w:szCs w:val="32"/>
          <w:highlight w:val="none"/>
        </w:rPr>
        <w:t>结余结转。项目实施及绩效情况如下：</w:t>
      </w:r>
    </w:p>
    <w:p w14:paraId="3E4328D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用于</w:t>
      </w:r>
      <w:r>
        <w:rPr>
          <w:rFonts w:hint="eastAsia" w:ascii="Times New Roman" w:hAnsi="Times New Roman" w:eastAsia="仿宋_GB2312" w:cs="Times New Roman"/>
          <w:b w:val="0"/>
          <w:bCs w:val="0"/>
          <w:color w:val="000000"/>
          <w:kern w:val="2"/>
          <w:sz w:val="32"/>
          <w:szCs w:val="32"/>
          <w:highlight w:val="none"/>
          <w:lang w:val="en-US" w:eastAsia="zh-CN" w:bidi="ar-SA"/>
        </w:rPr>
        <w:t>涉退役军人群体</w:t>
      </w:r>
      <w:r>
        <w:rPr>
          <w:rFonts w:hint="default" w:ascii="Times New Roman" w:hAnsi="Times New Roman" w:eastAsia="仿宋_GB2312" w:cs="Times New Roman"/>
          <w:b w:val="0"/>
          <w:bCs w:val="0"/>
          <w:color w:val="000000"/>
          <w:kern w:val="2"/>
          <w:sz w:val="32"/>
          <w:szCs w:val="32"/>
          <w:highlight w:val="none"/>
          <w:lang w:val="en-US" w:eastAsia="zh-CN" w:bidi="ar-SA"/>
        </w:rPr>
        <w:t>信访维稳工作</w:t>
      </w:r>
      <w:r>
        <w:rPr>
          <w:rFonts w:hint="eastAsia" w:ascii="Times New Roman" w:hAnsi="Times New Roman" w:eastAsia="仿宋_GB2312" w:cs="Times New Roman"/>
          <w:b w:val="0"/>
          <w:bCs w:val="0"/>
          <w:color w:val="000000"/>
          <w:kern w:val="2"/>
          <w:sz w:val="32"/>
          <w:szCs w:val="32"/>
          <w:highlight w:val="none"/>
          <w:lang w:val="en-US" w:eastAsia="zh-CN" w:bidi="ar-SA"/>
        </w:rPr>
        <w:t>、解决历史遗留问题等</w:t>
      </w:r>
      <w:r>
        <w:rPr>
          <w:rFonts w:hint="default" w:ascii="Times New Roman" w:hAnsi="Times New Roman" w:eastAsia="仿宋_GB2312" w:cs="Times New Roman"/>
          <w:b w:val="0"/>
          <w:bCs w:val="0"/>
          <w:color w:val="000000"/>
          <w:kern w:val="2"/>
          <w:sz w:val="32"/>
          <w:szCs w:val="32"/>
          <w:highlight w:val="none"/>
          <w:lang w:val="en-US" w:eastAsia="zh-CN" w:bidi="ar-SA"/>
        </w:rPr>
        <w:t>。坚持领导坐班接访、全员接访和信访代办制度，共接待来访群众167人次，处理网上信访件7起、省委巡视组交办件1起，市长热线13起。做好重要敏感时期涉退役军人的信访稳定工作。严格落实</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五包一</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工作措施，确保了特护期涉退役群体的安全稳定。为前往云南麻栗坡方向省内16批78人次祭扫人员提供服务，成功劝阻18名有意愿赴广西、云南进行祭扫的人员。</w:t>
      </w:r>
    </w:p>
    <w:p w14:paraId="7D1751F1">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eastAsia="zh-CN"/>
        </w:rPr>
        <w:t>七、</w:t>
      </w:r>
      <w:r>
        <w:rPr>
          <w:rFonts w:hint="eastAsia" w:ascii="Times New Roman" w:hAnsi="Times New Roman" w:eastAsia="黑体" w:cs="Times New Roman"/>
          <w:sz w:val="32"/>
          <w:szCs w:val="32"/>
        </w:rPr>
        <w:t>存在的问题及原因分析</w:t>
      </w:r>
    </w:p>
    <w:p w14:paraId="216E6B2E">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预算数与决算数存在一定差异，其主要原因是一是2023年有项目资金直拨镇（街道），年底直接在镇（街道）核算资金；二是削减部分人员经费项目；三是部门预算绩效管理工作观念和认识有待提高，增强业务部门的预算绩效意识。</w:t>
      </w:r>
      <w:r>
        <w:rPr>
          <w:rFonts w:hint="default" w:ascii="Times New Roman" w:hAnsi="Times New Roman" w:eastAsia="仿宋_GB2312" w:cs="Times New Roman"/>
          <w:sz w:val="32"/>
          <w:szCs w:val="32"/>
          <w:lang w:val="en-US" w:eastAsia="zh-CN"/>
        </w:rPr>
        <w:t>在绩效评价工作中，支出子项目多，多个子项目合并为一个主项目时存在一定困难，有些项目绩效评价存在困难。</w:t>
      </w:r>
    </w:p>
    <w:p w14:paraId="6C87E071">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14:paraId="533A8E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高度重视绩效管理工作，成立绩效评价工作机构，有计划有步骤的实施绩效评价；二是加强预算执行管理，定期通报项目资金使用进度和预算执行进度，并对做好预算管理工作提出具体要求；三是加强督促跟踪问效，定期对项目、资金管理情况进行跟踪检查，督促按时、按质、按量完成项目建设。</w:t>
      </w:r>
      <w:r>
        <w:rPr>
          <w:rFonts w:hint="eastAsia" w:ascii="Times New Roman" w:hAnsi="Times New Roman" w:eastAsia="仿宋_GB2312" w:cs="Times New Roman"/>
          <w:sz w:val="32"/>
          <w:szCs w:val="32"/>
          <w:lang w:val="en-US" w:eastAsia="zh-CN"/>
        </w:rPr>
        <w:t>四是加强争取上级资金，保证资金及时拨付发放到位。</w:t>
      </w:r>
    </w:p>
    <w:p w14:paraId="160E170B">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九、绩效自评结果拟应用和公开情况</w:t>
      </w:r>
    </w:p>
    <w:p w14:paraId="0DB0936C">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本单位没有独立网站，因此只在芦淞区政府信息公开专栏中公开。</w:t>
      </w:r>
    </w:p>
    <w:p w14:paraId="4EA27051">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p>
    <w:p w14:paraId="67A8FC9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60D69A1F">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5A679A5A">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16725DF6">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93C6CA7">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6DFB44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453577F0">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8187D64">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A26A9FB">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2DE4874B">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77FF7AA9">
            <w:pPr>
              <w:widowControl/>
              <w:spacing w:line="360" w:lineRule="exact"/>
              <w:jc w:val="center"/>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5012798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w:t>
            </w:r>
          </w:p>
        </w:tc>
        <w:tc>
          <w:tcPr>
            <w:tcW w:w="2240" w:type="dxa"/>
            <w:gridSpan w:val="2"/>
            <w:tcBorders>
              <w:top w:val="single" w:color="auto" w:sz="4" w:space="0"/>
              <w:left w:val="nil"/>
              <w:bottom w:val="single" w:color="auto" w:sz="4" w:space="0"/>
              <w:right w:val="single" w:color="auto" w:sz="4" w:space="0"/>
            </w:tcBorders>
            <w:noWrap w:val="0"/>
            <w:vAlign w:val="center"/>
          </w:tcPr>
          <w:p w14:paraId="5D3BC10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w:t>
            </w:r>
          </w:p>
        </w:tc>
        <w:tc>
          <w:tcPr>
            <w:tcW w:w="2041" w:type="dxa"/>
            <w:gridSpan w:val="2"/>
            <w:tcBorders>
              <w:top w:val="single" w:color="auto" w:sz="4" w:space="0"/>
              <w:left w:val="nil"/>
              <w:bottom w:val="single" w:color="auto" w:sz="4" w:space="0"/>
              <w:right w:val="single" w:color="auto" w:sz="4" w:space="0"/>
            </w:tcBorders>
            <w:noWrap w:val="0"/>
            <w:vAlign w:val="center"/>
          </w:tcPr>
          <w:p w14:paraId="707FBB94">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100%</w:t>
            </w:r>
          </w:p>
        </w:tc>
      </w:tr>
      <w:tr w14:paraId="02ADB55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AE0C7B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3ABFB605">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7054D6F">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AC76774">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47797E0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83878D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8192107">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B57583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80291BF">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3EB7B9F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4C0FF4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462CAB0">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D2426CA">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8D4CA61">
            <w:pPr>
              <w:widowControl/>
              <w:spacing w:line="360" w:lineRule="exact"/>
              <w:jc w:val="center"/>
              <w:rPr>
                <w:rFonts w:hint="eastAsia" w:ascii="Times New Roman" w:hAnsi="Times New Roman" w:eastAsia="仿宋_GB2312" w:cs="Times New Roman"/>
                <w:sz w:val="20"/>
                <w:szCs w:val="20"/>
              </w:rPr>
            </w:pPr>
          </w:p>
        </w:tc>
      </w:tr>
      <w:tr w14:paraId="76710C9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E22918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770AEAA">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01F085C">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D4B9DDC">
            <w:pPr>
              <w:widowControl/>
              <w:spacing w:line="360" w:lineRule="exact"/>
              <w:jc w:val="center"/>
              <w:rPr>
                <w:rFonts w:hint="eastAsia" w:ascii="Times New Roman" w:hAnsi="Times New Roman" w:eastAsia="仿宋_GB2312" w:cs="Times New Roman"/>
                <w:sz w:val="20"/>
                <w:szCs w:val="20"/>
              </w:rPr>
            </w:pPr>
          </w:p>
        </w:tc>
      </w:tr>
      <w:tr w14:paraId="197DF45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E172F7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1ED13EC2">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515DA52">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DE85E62">
            <w:pPr>
              <w:widowControl/>
              <w:spacing w:line="360" w:lineRule="exact"/>
              <w:jc w:val="center"/>
              <w:rPr>
                <w:rFonts w:hint="eastAsia" w:ascii="Times New Roman" w:hAnsi="Times New Roman" w:eastAsia="仿宋_GB2312" w:cs="Times New Roman"/>
                <w:sz w:val="20"/>
                <w:szCs w:val="20"/>
              </w:rPr>
            </w:pPr>
          </w:p>
        </w:tc>
      </w:tr>
      <w:tr w14:paraId="51A98F5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2F4695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0BC5233">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7A9FBBA">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6FF2193">
            <w:pPr>
              <w:widowControl/>
              <w:spacing w:line="360" w:lineRule="exact"/>
              <w:jc w:val="center"/>
              <w:rPr>
                <w:rFonts w:hint="eastAsia" w:ascii="Times New Roman" w:hAnsi="Times New Roman" w:eastAsia="仿宋_GB2312" w:cs="Times New Roman"/>
                <w:sz w:val="20"/>
                <w:szCs w:val="20"/>
              </w:rPr>
            </w:pPr>
          </w:p>
        </w:tc>
      </w:tr>
      <w:tr w14:paraId="0FFA077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1A6D29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0EC2B35">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C3AC8E1">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C7FE9FC">
            <w:pPr>
              <w:widowControl/>
              <w:spacing w:line="360" w:lineRule="exact"/>
              <w:jc w:val="center"/>
              <w:rPr>
                <w:rFonts w:hint="eastAsia" w:ascii="Times New Roman" w:hAnsi="Times New Roman" w:eastAsia="仿宋_GB2312" w:cs="Times New Roman"/>
                <w:sz w:val="20"/>
                <w:szCs w:val="20"/>
              </w:rPr>
            </w:pPr>
          </w:p>
        </w:tc>
      </w:tr>
      <w:tr w14:paraId="36345F9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D5D15B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7FC1B3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1829.33</w:t>
            </w:r>
          </w:p>
        </w:tc>
        <w:tc>
          <w:tcPr>
            <w:tcW w:w="2240" w:type="dxa"/>
            <w:gridSpan w:val="2"/>
            <w:tcBorders>
              <w:top w:val="single" w:color="auto" w:sz="4" w:space="0"/>
              <w:left w:val="nil"/>
              <w:bottom w:val="single" w:color="auto" w:sz="4" w:space="0"/>
              <w:right w:val="single" w:color="000000" w:sz="4" w:space="0"/>
            </w:tcBorders>
            <w:noWrap w:val="0"/>
            <w:vAlign w:val="center"/>
          </w:tcPr>
          <w:p w14:paraId="3B2B777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2248.65</w:t>
            </w:r>
          </w:p>
        </w:tc>
        <w:tc>
          <w:tcPr>
            <w:tcW w:w="2041" w:type="dxa"/>
            <w:gridSpan w:val="2"/>
            <w:tcBorders>
              <w:top w:val="single" w:color="auto" w:sz="4" w:space="0"/>
              <w:left w:val="nil"/>
              <w:bottom w:val="single" w:color="auto" w:sz="4" w:space="0"/>
              <w:right w:val="single" w:color="000000" w:sz="4" w:space="0"/>
            </w:tcBorders>
            <w:noWrap w:val="0"/>
            <w:vAlign w:val="center"/>
          </w:tcPr>
          <w:p w14:paraId="00ACDBC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2082.80</w:t>
            </w:r>
          </w:p>
        </w:tc>
      </w:tr>
      <w:tr w14:paraId="2CB0B18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A631D68">
            <w:pPr>
              <w:widowControl/>
              <w:tabs>
                <w:tab w:val="left" w:pos="1032"/>
              </w:tabs>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涉退役军人群体就业援助专项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73609671">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D9CF78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320</w:t>
            </w:r>
          </w:p>
        </w:tc>
        <w:tc>
          <w:tcPr>
            <w:tcW w:w="2041" w:type="dxa"/>
            <w:gridSpan w:val="2"/>
            <w:tcBorders>
              <w:top w:val="single" w:color="auto" w:sz="4" w:space="0"/>
              <w:left w:val="nil"/>
              <w:bottom w:val="single" w:color="auto" w:sz="4" w:space="0"/>
              <w:right w:val="single" w:color="000000" w:sz="4" w:space="0"/>
            </w:tcBorders>
            <w:noWrap w:val="0"/>
            <w:vAlign w:val="center"/>
          </w:tcPr>
          <w:p w14:paraId="1183B21D">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7360CBB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753C35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优抚经费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AADA02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1591.78</w:t>
            </w:r>
          </w:p>
        </w:tc>
        <w:tc>
          <w:tcPr>
            <w:tcW w:w="2240" w:type="dxa"/>
            <w:gridSpan w:val="2"/>
            <w:tcBorders>
              <w:top w:val="single" w:color="auto" w:sz="4" w:space="0"/>
              <w:left w:val="nil"/>
              <w:bottom w:val="single" w:color="auto" w:sz="4" w:space="0"/>
              <w:right w:val="single" w:color="000000" w:sz="4" w:space="0"/>
            </w:tcBorders>
            <w:noWrap w:val="0"/>
            <w:vAlign w:val="center"/>
          </w:tcPr>
          <w:p w14:paraId="30864EB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1667.9</w:t>
            </w:r>
          </w:p>
        </w:tc>
        <w:tc>
          <w:tcPr>
            <w:tcW w:w="2041" w:type="dxa"/>
            <w:gridSpan w:val="2"/>
            <w:tcBorders>
              <w:top w:val="single" w:color="auto" w:sz="4" w:space="0"/>
              <w:left w:val="nil"/>
              <w:bottom w:val="single" w:color="auto" w:sz="4" w:space="0"/>
              <w:right w:val="single" w:color="000000" w:sz="4" w:space="0"/>
            </w:tcBorders>
            <w:noWrap w:val="0"/>
            <w:vAlign w:val="center"/>
          </w:tcPr>
          <w:p w14:paraId="54E0D7EB">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1828.14</w:t>
            </w:r>
          </w:p>
        </w:tc>
      </w:tr>
      <w:tr w14:paraId="09EC9A6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7E9FEB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安置经费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F5849E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174.68</w:t>
            </w:r>
          </w:p>
        </w:tc>
        <w:tc>
          <w:tcPr>
            <w:tcW w:w="2240" w:type="dxa"/>
            <w:gridSpan w:val="2"/>
            <w:tcBorders>
              <w:top w:val="single" w:color="auto" w:sz="4" w:space="0"/>
              <w:left w:val="nil"/>
              <w:bottom w:val="single" w:color="auto" w:sz="4" w:space="0"/>
              <w:right w:val="single" w:color="000000" w:sz="4" w:space="0"/>
            </w:tcBorders>
            <w:noWrap w:val="0"/>
            <w:vAlign w:val="center"/>
          </w:tcPr>
          <w:p w14:paraId="26265A9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257.75</w:t>
            </w:r>
          </w:p>
        </w:tc>
        <w:tc>
          <w:tcPr>
            <w:tcW w:w="2041" w:type="dxa"/>
            <w:gridSpan w:val="2"/>
            <w:tcBorders>
              <w:top w:val="single" w:color="auto" w:sz="4" w:space="0"/>
              <w:left w:val="nil"/>
              <w:bottom w:val="single" w:color="auto" w:sz="4" w:space="0"/>
              <w:right w:val="single" w:color="000000" w:sz="4" w:space="0"/>
            </w:tcBorders>
            <w:noWrap w:val="0"/>
            <w:vAlign w:val="center"/>
          </w:tcPr>
          <w:p w14:paraId="7B9122AE">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211.14</w:t>
            </w:r>
          </w:p>
        </w:tc>
      </w:tr>
      <w:tr w14:paraId="57AA1C8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F40CA25">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退役军人信访维稳经费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52AD9EE">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7.35</w:t>
            </w:r>
          </w:p>
        </w:tc>
        <w:tc>
          <w:tcPr>
            <w:tcW w:w="2240" w:type="dxa"/>
            <w:gridSpan w:val="2"/>
            <w:tcBorders>
              <w:top w:val="single" w:color="auto" w:sz="4" w:space="0"/>
              <w:left w:val="nil"/>
              <w:bottom w:val="single" w:color="auto" w:sz="4" w:space="0"/>
              <w:right w:val="single" w:color="000000" w:sz="4" w:space="0"/>
            </w:tcBorders>
            <w:noWrap w:val="0"/>
            <w:vAlign w:val="center"/>
          </w:tcPr>
          <w:p w14:paraId="3F50378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933334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17.01</w:t>
            </w:r>
          </w:p>
        </w:tc>
      </w:tr>
      <w:tr w14:paraId="7699F7E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092D252">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退役军人事务管理支出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E55CA7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55.52</w:t>
            </w:r>
          </w:p>
        </w:tc>
        <w:tc>
          <w:tcPr>
            <w:tcW w:w="2240" w:type="dxa"/>
            <w:gridSpan w:val="2"/>
            <w:tcBorders>
              <w:top w:val="single" w:color="auto" w:sz="4" w:space="0"/>
              <w:left w:val="nil"/>
              <w:bottom w:val="single" w:color="auto" w:sz="4" w:space="0"/>
              <w:right w:val="single" w:color="000000" w:sz="4" w:space="0"/>
            </w:tcBorders>
            <w:noWrap w:val="0"/>
            <w:vAlign w:val="center"/>
          </w:tcPr>
          <w:p w14:paraId="54D09BA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5FFEFA1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26.51</w:t>
            </w:r>
          </w:p>
        </w:tc>
      </w:tr>
      <w:tr w14:paraId="58EB615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B0F474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72DFF6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12.54</w:t>
            </w:r>
          </w:p>
        </w:tc>
        <w:tc>
          <w:tcPr>
            <w:tcW w:w="2240" w:type="dxa"/>
            <w:gridSpan w:val="2"/>
            <w:tcBorders>
              <w:top w:val="single" w:color="auto" w:sz="4" w:space="0"/>
              <w:left w:val="nil"/>
              <w:bottom w:val="single" w:color="auto" w:sz="4" w:space="0"/>
              <w:right w:val="single" w:color="000000" w:sz="4" w:space="0"/>
            </w:tcBorders>
            <w:noWrap w:val="0"/>
            <w:vAlign w:val="center"/>
          </w:tcPr>
          <w:p w14:paraId="546F62EB">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14.6</w:t>
            </w:r>
          </w:p>
        </w:tc>
        <w:tc>
          <w:tcPr>
            <w:tcW w:w="2041" w:type="dxa"/>
            <w:gridSpan w:val="2"/>
            <w:tcBorders>
              <w:top w:val="single" w:color="auto" w:sz="4" w:space="0"/>
              <w:left w:val="nil"/>
              <w:bottom w:val="single" w:color="auto" w:sz="4" w:space="0"/>
              <w:right w:val="single" w:color="000000" w:sz="4" w:space="0"/>
            </w:tcBorders>
            <w:noWrap w:val="0"/>
            <w:vAlign w:val="center"/>
          </w:tcPr>
          <w:p w14:paraId="7151925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9.4</w:t>
            </w:r>
          </w:p>
        </w:tc>
      </w:tr>
      <w:tr w14:paraId="6EF5D71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2675FB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EEE6FE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2.42</w:t>
            </w:r>
          </w:p>
        </w:tc>
        <w:tc>
          <w:tcPr>
            <w:tcW w:w="2240" w:type="dxa"/>
            <w:gridSpan w:val="2"/>
            <w:tcBorders>
              <w:top w:val="single" w:color="auto" w:sz="4" w:space="0"/>
              <w:left w:val="nil"/>
              <w:bottom w:val="single" w:color="auto" w:sz="4" w:space="0"/>
              <w:right w:val="single" w:color="000000" w:sz="4" w:space="0"/>
            </w:tcBorders>
            <w:noWrap w:val="0"/>
            <w:vAlign w:val="center"/>
          </w:tcPr>
          <w:p w14:paraId="6F3C8968">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4CD4154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0.15</w:t>
            </w:r>
          </w:p>
        </w:tc>
      </w:tr>
      <w:tr w14:paraId="48F4AAC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E1934F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3C75238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0.74</w:t>
            </w:r>
          </w:p>
        </w:tc>
        <w:tc>
          <w:tcPr>
            <w:tcW w:w="2240" w:type="dxa"/>
            <w:gridSpan w:val="2"/>
            <w:tcBorders>
              <w:top w:val="single" w:color="auto" w:sz="4" w:space="0"/>
              <w:left w:val="nil"/>
              <w:bottom w:val="single" w:color="auto" w:sz="4" w:space="0"/>
              <w:right w:val="single" w:color="000000" w:sz="4" w:space="0"/>
            </w:tcBorders>
            <w:noWrap w:val="0"/>
            <w:vAlign w:val="center"/>
          </w:tcPr>
          <w:p w14:paraId="7DCDB511">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0.2</w:t>
            </w:r>
          </w:p>
        </w:tc>
        <w:tc>
          <w:tcPr>
            <w:tcW w:w="2041" w:type="dxa"/>
            <w:gridSpan w:val="2"/>
            <w:tcBorders>
              <w:top w:val="single" w:color="auto" w:sz="4" w:space="0"/>
              <w:left w:val="nil"/>
              <w:bottom w:val="single" w:color="auto" w:sz="4" w:space="0"/>
              <w:right w:val="single" w:color="000000" w:sz="4" w:space="0"/>
            </w:tcBorders>
            <w:noWrap w:val="0"/>
            <w:vAlign w:val="center"/>
          </w:tcPr>
          <w:p w14:paraId="6EF69A5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0.19</w:t>
            </w:r>
          </w:p>
        </w:tc>
      </w:tr>
      <w:tr w14:paraId="1928BFD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1AA7F9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2C3600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0.19</w:t>
            </w:r>
          </w:p>
        </w:tc>
        <w:tc>
          <w:tcPr>
            <w:tcW w:w="2240" w:type="dxa"/>
            <w:gridSpan w:val="2"/>
            <w:tcBorders>
              <w:top w:val="single" w:color="auto" w:sz="4" w:space="0"/>
              <w:left w:val="nil"/>
              <w:bottom w:val="single" w:color="auto" w:sz="4" w:space="0"/>
              <w:right w:val="single" w:color="000000" w:sz="4" w:space="0"/>
            </w:tcBorders>
            <w:noWrap w:val="0"/>
            <w:vAlign w:val="center"/>
          </w:tcPr>
          <w:p w14:paraId="0ABA933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w:t>
            </w:r>
          </w:p>
        </w:tc>
        <w:tc>
          <w:tcPr>
            <w:tcW w:w="2041" w:type="dxa"/>
            <w:gridSpan w:val="2"/>
            <w:tcBorders>
              <w:top w:val="single" w:color="auto" w:sz="4" w:space="0"/>
              <w:left w:val="nil"/>
              <w:bottom w:val="single" w:color="auto" w:sz="4" w:space="0"/>
              <w:right w:val="single" w:color="000000" w:sz="4" w:space="0"/>
            </w:tcBorders>
            <w:noWrap w:val="0"/>
            <w:vAlign w:val="center"/>
          </w:tcPr>
          <w:p w14:paraId="2561D11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0.1</w:t>
            </w:r>
          </w:p>
        </w:tc>
      </w:tr>
      <w:tr w14:paraId="44AE585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04C8E2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180BB65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AAB83D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57.12</w:t>
            </w:r>
          </w:p>
        </w:tc>
        <w:tc>
          <w:tcPr>
            <w:tcW w:w="2041" w:type="dxa"/>
            <w:gridSpan w:val="2"/>
            <w:tcBorders>
              <w:top w:val="single" w:color="auto" w:sz="4" w:space="0"/>
              <w:left w:val="nil"/>
              <w:bottom w:val="single" w:color="auto" w:sz="4" w:space="0"/>
              <w:right w:val="single" w:color="000000" w:sz="4" w:space="0"/>
            </w:tcBorders>
            <w:noWrap w:val="0"/>
            <w:vAlign w:val="center"/>
          </w:tcPr>
          <w:p w14:paraId="2744CF6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57.12</w:t>
            </w:r>
          </w:p>
        </w:tc>
      </w:tr>
      <w:tr w14:paraId="54F5861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DAC8E2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630FE2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8E974E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5C53E4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3A1C26CF">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4D7756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0D1D462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32E2439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0C1A8E6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3429E633">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01AF52AE">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2C75B40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464F87C2">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290880A5">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2F14E535">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7B52CEEF">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7BA37F60">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849" w:type="dxa"/>
            <w:tcBorders>
              <w:top w:val="nil"/>
              <w:left w:val="nil"/>
              <w:bottom w:val="single" w:color="auto" w:sz="4" w:space="0"/>
              <w:right w:val="single" w:color="auto" w:sz="4" w:space="0"/>
            </w:tcBorders>
            <w:noWrap w:val="0"/>
            <w:vAlign w:val="center"/>
          </w:tcPr>
          <w:p w14:paraId="24CB2899">
            <w:pPr>
              <w:widowControl/>
              <w:spacing w:line="360" w:lineRule="exact"/>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14:paraId="796CEF64">
            <w:pPr>
              <w:widowControl/>
              <w:spacing w:line="360" w:lineRule="exact"/>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14:paraId="71B7FB7F">
            <w:pPr>
              <w:widowControl/>
              <w:spacing w:line="360" w:lineRule="exact"/>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14:paraId="1A21BE75">
            <w:pPr>
              <w:widowControl/>
              <w:spacing w:line="360" w:lineRule="exact"/>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14:paraId="0C836BFB">
            <w:pPr>
              <w:widowControl/>
              <w:spacing w:line="360" w:lineRule="exact"/>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r>
      <w:tr w14:paraId="4C62883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B01D9B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7EAF3D2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严控业务工作经费及公用经费开支</w:t>
            </w:r>
            <w:r>
              <w:rPr>
                <w:rFonts w:hint="eastAsia" w:ascii="Times New Roman" w:hAnsi="Times New Roman" w:eastAsia="仿宋_GB2312" w:cs="Times New Roman"/>
                <w:sz w:val="20"/>
                <w:szCs w:val="20"/>
              </w:rPr>
              <w:t>　</w:t>
            </w:r>
          </w:p>
        </w:tc>
      </w:tr>
    </w:tbl>
    <w:p w14:paraId="6B6382D9">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项目支出</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需要填报基本支出以外的所有项目支出情况，</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公用经费</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填报基本支出中的一般商品和服务支出。</w:t>
      </w:r>
    </w:p>
    <w:p w14:paraId="5EAA77DF">
      <w:pPr>
        <w:tabs>
          <w:tab w:val="left" w:pos="7560"/>
        </w:tabs>
        <w:adjustRightInd w:val="0"/>
        <w:snapToGrid w:val="0"/>
        <w:spacing w:line="56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许冰玢</w:t>
      </w:r>
      <w:r>
        <w:rPr>
          <w:rFonts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     </w:t>
      </w:r>
      <w:r>
        <w:rPr>
          <w:rFonts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28580216</w:t>
      </w:r>
      <w:r>
        <w:rPr>
          <w:rFonts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rPr>
        <w:t xml:space="preserve"> </w:t>
      </w:r>
      <w:r>
        <w:rPr>
          <w:rFonts w:ascii="Times New Roman" w:hAnsi="Times New Roman" w:eastAsia="仿宋_GB2312" w:cs="Times New Roman"/>
          <w:sz w:val="22"/>
          <w:szCs w:val="22"/>
        </w:rPr>
        <w:t>单位负责人签字：</w:t>
      </w:r>
      <w:r>
        <w:rPr>
          <w:rFonts w:hint="eastAsia" w:ascii="Times New Roman" w:hAnsi="Times New Roman" w:eastAsia="仿宋_GB2312" w:cs="Times New Roman"/>
          <w:sz w:val="22"/>
          <w:szCs w:val="22"/>
          <w:lang w:eastAsia="zh-CN"/>
        </w:rPr>
        <w:t>朱发运</w:t>
      </w:r>
    </w:p>
    <w:p w14:paraId="4DBE0664">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18577E7D">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8"/>
        <w:tblW w:w="10079" w:type="dxa"/>
        <w:jc w:val="center"/>
        <w:tblLayout w:type="autofit"/>
        <w:tblCellMar>
          <w:top w:w="0" w:type="dxa"/>
          <w:left w:w="108" w:type="dxa"/>
          <w:bottom w:w="0" w:type="dxa"/>
          <w:right w:w="108" w:type="dxa"/>
        </w:tblCellMar>
      </w:tblPr>
      <w:tblGrid>
        <w:gridCol w:w="1080"/>
        <w:gridCol w:w="1080"/>
        <w:gridCol w:w="1034"/>
        <w:gridCol w:w="1270"/>
        <w:gridCol w:w="1311"/>
        <w:gridCol w:w="1335"/>
        <w:gridCol w:w="650"/>
        <w:gridCol w:w="873"/>
        <w:gridCol w:w="1446"/>
      </w:tblGrid>
      <w:tr w14:paraId="52FE891D">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0353D3EE">
            <w:pPr>
              <w:widowControl/>
              <w:spacing w:line="240" w:lineRule="exact"/>
              <w:jc w:val="center"/>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14:paraId="7F34D69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株洲市芦淞区退役军人事务局</w:t>
            </w:r>
          </w:p>
        </w:tc>
      </w:tr>
      <w:tr w14:paraId="50521798">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28893A6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685D71C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5146355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6161BC8A">
            <w:pPr>
              <w:spacing w:line="240" w:lineRule="exact"/>
              <w:jc w:val="center"/>
              <w:rPr>
                <w:rFonts w:hint="eastAsia"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62621E8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5DE98769">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335" w:type="dxa"/>
            <w:tcBorders>
              <w:top w:val="nil"/>
              <w:left w:val="nil"/>
              <w:bottom w:val="single" w:color="auto" w:sz="4" w:space="0"/>
              <w:right w:val="single" w:color="auto" w:sz="4" w:space="0"/>
            </w:tcBorders>
            <w:noWrap w:val="0"/>
            <w:vAlign w:val="center"/>
          </w:tcPr>
          <w:p w14:paraId="61A7937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650" w:type="dxa"/>
            <w:tcBorders>
              <w:top w:val="nil"/>
              <w:left w:val="nil"/>
              <w:bottom w:val="single" w:color="auto" w:sz="4" w:space="0"/>
              <w:right w:val="single" w:color="auto" w:sz="4" w:space="0"/>
            </w:tcBorders>
            <w:noWrap w:val="0"/>
            <w:vAlign w:val="center"/>
          </w:tcPr>
          <w:p w14:paraId="7D6CC5FC">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0B3D9D89">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0851AD69">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4418F131">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1B01B26F">
            <w:pPr>
              <w:widowControl/>
              <w:spacing w:line="240" w:lineRule="exact"/>
              <w:jc w:val="center"/>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046C411B">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2B9892A1">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2372.7</w:t>
            </w:r>
          </w:p>
        </w:tc>
        <w:tc>
          <w:tcPr>
            <w:tcW w:w="1311" w:type="dxa"/>
            <w:tcBorders>
              <w:top w:val="nil"/>
              <w:left w:val="nil"/>
              <w:bottom w:val="single" w:color="auto" w:sz="4" w:space="0"/>
              <w:right w:val="single" w:color="auto" w:sz="4" w:space="0"/>
            </w:tcBorders>
            <w:noWrap w:val="0"/>
            <w:vAlign w:val="center"/>
          </w:tcPr>
          <w:p w14:paraId="6F0BB7C7">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2227.73</w:t>
            </w:r>
          </w:p>
        </w:tc>
        <w:tc>
          <w:tcPr>
            <w:tcW w:w="1335" w:type="dxa"/>
            <w:tcBorders>
              <w:top w:val="nil"/>
              <w:left w:val="nil"/>
              <w:bottom w:val="single" w:color="auto" w:sz="4" w:space="0"/>
              <w:right w:val="single" w:color="auto" w:sz="4" w:space="0"/>
            </w:tcBorders>
            <w:noWrap w:val="0"/>
            <w:vAlign w:val="center"/>
          </w:tcPr>
          <w:p w14:paraId="0B503933">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2225.97</w:t>
            </w:r>
          </w:p>
        </w:tc>
        <w:tc>
          <w:tcPr>
            <w:tcW w:w="650" w:type="dxa"/>
            <w:tcBorders>
              <w:top w:val="nil"/>
              <w:left w:val="nil"/>
              <w:bottom w:val="single" w:color="auto" w:sz="4" w:space="0"/>
              <w:right w:val="single" w:color="auto" w:sz="4" w:space="0"/>
            </w:tcBorders>
            <w:noWrap w:val="0"/>
            <w:vAlign w:val="center"/>
          </w:tcPr>
          <w:p w14:paraId="1481AB8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1A41B0E8">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99.92%</w:t>
            </w:r>
          </w:p>
        </w:tc>
        <w:tc>
          <w:tcPr>
            <w:tcW w:w="1446" w:type="dxa"/>
            <w:tcBorders>
              <w:top w:val="nil"/>
              <w:left w:val="nil"/>
              <w:bottom w:val="single" w:color="auto" w:sz="4" w:space="0"/>
              <w:right w:val="single" w:color="auto" w:sz="4" w:space="0"/>
            </w:tcBorders>
            <w:noWrap w:val="0"/>
            <w:vAlign w:val="center"/>
          </w:tcPr>
          <w:p w14:paraId="72E70B8D">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w:t>
            </w:r>
          </w:p>
        </w:tc>
      </w:tr>
      <w:tr w14:paraId="4063784F">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6F3CCD04">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212D464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07B7BB5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p>
        </w:tc>
      </w:tr>
      <w:tr w14:paraId="3CE4D946">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088CEFBA">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9CFBE0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2227.73</w:t>
            </w:r>
          </w:p>
        </w:tc>
        <w:tc>
          <w:tcPr>
            <w:tcW w:w="4304" w:type="dxa"/>
            <w:gridSpan w:val="4"/>
            <w:tcBorders>
              <w:top w:val="nil"/>
              <w:left w:val="nil"/>
              <w:bottom w:val="single" w:color="auto" w:sz="4" w:space="0"/>
              <w:right w:val="single" w:color="auto" w:sz="4" w:space="0"/>
            </w:tcBorders>
            <w:noWrap w:val="0"/>
            <w:vAlign w:val="center"/>
          </w:tcPr>
          <w:p w14:paraId="07D4FD6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143.17</w:t>
            </w:r>
          </w:p>
        </w:tc>
      </w:tr>
      <w:tr w14:paraId="0A59CF14">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2F886EAB">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663A76F">
            <w:pPr>
              <w:widowControl/>
              <w:spacing w:line="240" w:lineRule="exact"/>
              <w:ind w:firstLine="800" w:firstLineChars="40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政府性基金拨款：</w:t>
            </w:r>
            <w:r>
              <w:rPr>
                <w:rFonts w:hint="eastAsia"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70F14D55">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2084.56</w:t>
            </w:r>
          </w:p>
        </w:tc>
      </w:tr>
      <w:tr w14:paraId="729A847C">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2690E96A">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FB0F75A">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纳入专户管理的非税收入拨款：</w:t>
            </w:r>
            <w:r>
              <w:rPr>
                <w:rFonts w:hint="eastAsia"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74CB269A">
            <w:pPr>
              <w:widowControl/>
              <w:spacing w:line="240" w:lineRule="exact"/>
              <w:jc w:val="left"/>
              <w:rPr>
                <w:rFonts w:hint="eastAsia" w:ascii="Times New Roman" w:hAnsi="Times New Roman" w:eastAsia="仿宋_GB2312" w:cs="Times New Roman"/>
                <w:color w:val="000000"/>
                <w:sz w:val="20"/>
                <w:szCs w:val="20"/>
              </w:rPr>
            </w:pPr>
          </w:p>
        </w:tc>
      </w:tr>
      <w:tr w14:paraId="0B65E77C">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1FD045F5">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B0E3F1B">
            <w:pPr>
              <w:widowControl/>
              <w:spacing w:line="240" w:lineRule="exact"/>
              <w:ind w:firstLine="1400" w:firstLineChars="70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3255AD6B">
            <w:pPr>
              <w:widowControl/>
              <w:spacing w:line="240" w:lineRule="exact"/>
              <w:jc w:val="left"/>
              <w:rPr>
                <w:rFonts w:hint="eastAsia" w:ascii="Times New Roman" w:hAnsi="Times New Roman" w:eastAsia="仿宋_GB2312" w:cs="Times New Roman"/>
                <w:color w:val="000000"/>
                <w:sz w:val="20"/>
                <w:szCs w:val="20"/>
              </w:rPr>
            </w:pPr>
          </w:p>
        </w:tc>
      </w:tr>
      <w:tr w14:paraId="45DB021B">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83D79B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046203C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6ECB902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005D616A">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E091CA6">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40A29A04">
            <w:pPr>
              <w:numPr>
                <w:ilvl w:val="0"/>
                <w:numId w:val="0"/>
              </w:numPr>
              <w:spacing w:line="240" w:lineRule="auto"/>
              <w:ind w:firstLine="400" w:firstLineChars="200"/>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贯彻落实党和国家关于退役军人工作的方针政策、法律法规和决策部署，组织实施全区退役军人服务保障、权益维护、拥军优属、退役安置等工作。</w:t>
            </w:r>
          </w:p>
        </w:tc>
        <w:tc>
          <w:tcPr>
            <w:tcW w:w="4304" w:type="dxa"/>
            <w:gridSpan w:val="4"/>
            <w:tcBorders>
              <w:top w:val="single" w:color="auto" w:sz="4" w:space="0"/>
              <w:left w:val="nil"/>
              <w:bottom w:val="single" w:color="auto" w:sz="4" w:space="0"/>
              <w:right w:val="single" w:color="auto" w:sz="4" w:space="0"/>
            </w:tcBorders>
            <w:noWrap w:val="0"/>
            <w:vAlign w:val="center"/>
          </w:tcPr>
          <w:p w14:paraId="40158C9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加强政治引领，切实维护退役军人合法权益，确保群体稳定。刚性落实政策，进一步提升优抚保障水平，保障全区优抚优待对象待遇落实，促进退役军人就业安置及创业激励。</w:t>
            </w:r>
          </w:p>
        </w:tc>
      </w:tr>
      <w:tr w14:paraId="5114A59D">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4B9686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380B3F5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3E167E9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4E3376F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32513567">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20857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DF1106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507EED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EBDACBC">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A70840A">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4C2298C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20998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16B88D2">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23AEDC0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F38F29">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28AA5C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50C48464">
            <w:pPr>
              <w:widowControl/>
              <w:spacing w:line="240" w:lineRule="exact"/>
              <w:jc w:val="center"/>
              <w:rPr>
                <w:rFonts w:hint="eastAsia" w:ascii="Times New Roman" w:hAnsi="Times New Roman" w:eastAsia="仿宋_GB2312" w:cs="Times New Roman"/>
                <w:color w:val="000000"/>
                <w:sz w:val="20"/>
                <w:szCs w:val="20"/>
              </w:rPr>
            </w:pPr>
          </w:p>
          <w:p w14:paraId="370A809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0C993A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3C6F6E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根据我区优抚对象人数发放</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7F37C3B">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人次</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11DE34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约</w:t>
            </w:r>
            <w:r>
              <w:rPr>
                <w:rFonts w:hint="eastAsia" w:ascii="Times New Roman" w:hAnsi="Times New Roman" w:eastAsia="仿宋_GB2312" w:cs="Times New Roman"/>
                <w:color w:val="000000"/>
                <w:sz w:val="20"/>
                <w:szCs w:val="20"/>
                <w:lang w:val="en-US" w:eastAsia="zh-CN"/>
              </w:rPr>
              <w:t>10000人</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2C92C3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A113B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9929DA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6B3667F7">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BA59B4">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9D6032">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DBBCAE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C63DBB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经费使用符合相关政策规定</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37B95B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E6043A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DF6EAB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2E5E7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07DBB1F">
            <w:pPr>
              <w:widowControl/>
              <w:spacing w:line="240" w:lineRule="exact"/>
              <w:jc w:val="left"/>
              <w:rPr>
                <w:rFonts w:hint="eastAsia" w:ascii="Times New Roman" w:hAnsi="Times New Roman" w:eastAsia="仿宋_GB2312" w:cs="Times New Roman"/>
                <w:color w:val="000000"/>
                <w:sz w:val="20"/>
                <w:szCs w:val="20"/>
              </w:rPr>
            </w:pPr>
          </w:p>
        </w:tc>
      </w:tr>
      <w:tr w14:paraId="06A2D898">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C73A50">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CABFD5">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1DD03E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4490BA8">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资金拨付时间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03D3F3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2023年12月底前</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D86BFE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12月31日前发放到位</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0314E4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3673D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FD15298">
            <w:pPr>
              <w:widowControl/>
              <w:spacing w:line="240" w:lineRule="exact"/>
              <w:jc w:val="left"/>
              <w:rPr>
                <w:rFonts w:hint="eastAsia" w:ascii="Times New Roman" w:hAnsi="Times New Roman" w:eastAsia="仿宋_GB2312" w:cs="Times New Roman"/>
                <w:color w:val="000000"/>
                <w:sz w:val="20"/>
                <w:szCs w:val="20"/>
              </w:rPr>
            </w:pPr>
          </w:p>
        </w:tc>
      </w:tr>
      <w:tr w14:paraId="1D58ADB3">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FC761F">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5CF2FE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12CC8293">
            <w:pPr>
              <w:widowControl/>
              <w:spacing w:line="240" w:lineRule="exact"/>
              <w:jc w:val="left"/>
              <w:rPr>
                <w:rFonts w:hint="eastAsia" w:ascii="Times New Roman" w:hAnsi="Times New Roman" w:eastAsia="仿宋_GB2312" w:cs="Times New Roman"/>
                <w:color w:val="000000"/>
                <w:sz w:val="20"/>
                <w:szCs w:val="20"/>
              </w:rPr>
            </w:pPr>
          </w:p>
          <w:p w14:paraId="3A6FB01E">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00FC652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FA6173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6C25F4B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6066C5F">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无影响社会稳定事件发生</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403C62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维护社会稳定，促进经济发展</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305B753">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无重大群体性事件发生</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4E40288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66F81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E3CC875">
            <w:pPr>
              <w:widowControl/>
              <w:spacing w:line="240" w:lineRule="exact"/>
              <w:jc w:val="left"/>
              <w:rPr>
                <w:rFonts w:hint="eastAsia" w:ascii="Times New Roman" w:hAnsi="Times New Roman" w:eastAsia="仿宋_GB2312" w:cs="Times New Roman"/>
                <w:color w:val="000000"/>
                <w:sz w:val="20"/>
                <w:szCs w:val="20"/>
              </w:rPr>
            </w:pPr>
          </w:p>
        </w:tc>
      </w:tr>
      <w:tr w14:paraId="2FCFE320">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9A2A6D">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8C4ED4">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91A85A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280C8E0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566389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优抚安置政策知晓率达到%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0A414E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80%</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80B8D3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85%</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AD2DD5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97F03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7D591A1">
            <w:pPr>
              <w:widowControl/>
              <w:spacing w:line="240" w:lineRule="exact"/>
              <w:jc w:val="left"/>
              <w:rPr>
                <w:rFonts w:hint="eastAsia" w:ascii="Times New Roman" w:hAnsi="Times New Roman" w:eastAsia="仿宋_GB2312" w:cs="Times New Roman"/>
                <w:color w:val="000000"/>
                <w:sz w:val="20"/>
                <w:szCs w:val="20"/>
              </w:rPr>
            </w:pPr>
          </w:p>
        </w:tc>
      </w:tr>
      <w:tr w14:paraId="42029A6C">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C0A1C9">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7FB660">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657955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1040779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EFEF11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无影响生态安全事件发生</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F35DAC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660900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2F79AD1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15956C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E661F5A">
            <w:pPr>
              <w:widowControl/>
              <w:spacing w:line="240" w:lineRule="exact"/>
              <w:jc w:val="left"/>
              <w:rPr>
                <w:rFonts w:hint="eastAsia" w:ascii="Times New Roman" w:hAnsi="Times New Roman" w:eastAsia="仿宋_GB2312" w:cs="Times New Roman"/>
                <w:color w:val="000000"/>
                <w:sz w:val="20"/>
                <w:szCs w:val="20"/>
              </w:rPr>
            </w:pPr>
          </w:p>
        </w:tc>
      </w:tr>
      <w:tr w14:paraId="1E627021">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B2863D">
            <w:pPr>
              <w:widowControl/>
              <w:spacing w:line="240" w:lineRule="exact"/>
              <w:jc w:val="center"/>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1F815F">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DE5190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78EA0D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可持续影响力</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467637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营造拥军优属良好氛围</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DEA8D9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9A6737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E75493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BAA4FF3">
            <w:pPr>
              <w:widowControl/>
              <w:spacing w:line="240" w:lineRule="exact"/>
              <w:jc w:val="left"/>
              <w:rPr>
                <w:rFonts w:hint="eastAsia" w:ascii="Times New Roman" w:hAnsi="Times New Roman" w:eastAsia="仿宋_GB2312" w:cs="Times New Roman"/>
                <w:color w:val="000000"/>
                <w:sz w:val="20"/>
                <w:szCs w:val="20"/>
              </w:rPr>
            </w:pPr>
          </w:p>
        </w:tc>
      </w:tr>
      <w:tr w14:paraId="2087E704">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E8B2FC">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40E4E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7D2FA09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2067138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653505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2F2F8F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服务对象政策满意率达到%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861A40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80%</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C93ADA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85%</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05F7C5F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943B3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4F86DCD">
            <w:pPr>
              <w:widowControl/>
              <w:spacing w:line="240" w:lineRule="exact"/>
              <w:jc w:val="left"/>
              <w:rPr>
                <w:rFonts w:hint="eastAsia" w:ascii="Times New Roman" w:hAnsi="Times New Roman" w:eastAsia="仿宋_GB2312" w:cs="Times New Roman"/>
                <w:color w:val="000000"/>
                <w:sz w:val="20"/>
                <w:szCs w:val="20"/>
              </w:rPr>
            </w:pPr>
          </w:p>
        </w:tc>
      </w:tr>
      <w:tr w14:paraId="35A08FDA">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5F2440">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C76EC1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1CE5FB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8C134A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完成预算支付资金</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BB33B2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2372.7万元</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43C51D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2227.73万元</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5D0B46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A28D0C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B76800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   </w:t>
            </w:r>
          </w:p>
        </w:tc>
      </w:tr>
      <w:tr w14:paraId="542C01C0">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1F3691">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60C37A">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BFC8B7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269ECCA">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优抚安置政策知晓率达到%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A450F8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80%</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0635A6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85%</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FDB5EC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90EAC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50109C8">
            <w:pPr>
              <w:widowControl/>
              <w:spacing w:line="240" w:lineRule="exact"/>
              <w:jc w:val="left"/>
              <w:rPr>
                <w:rFonts w:hint="eastAsia" w:ascii="Times New Roman" w:hAnsi="Times New Roman" w:eastAsia="仿宋_GB2312" w:cs="Times New Roman"/>
                <w:color w:val="000000"/>
                <w:sz w:val="20"/>
                <w:szCs w:val="20"/>
              </w:rPr>
            </w:pPr>
          </w:p>
        </w:tc>
      </w:tr>
      <w:tr w14:paraId="779D02BF">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C5FCD2">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FD4DF1">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219B8E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11B1A66">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eastAsia="zh-CN"/>
              </w:rPr>
              <w:t>无影响生态安全事件发生</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02967B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小于</w:t>
            </w:r>
            <w:r>
              <w:rPr>
                <w:rFonts w:hint="eastAsia" w:ascii="Times New Roman" w:hAnsi="Times New Roman" w:eastAsia="仿宋_GB2312" w:cs="Times New Roman"/>
                <w:color w:val="000000"/>
                <w:sz w:val="20"/>
                <w:szCs w:val="20"/>
                <w:lang w:val="en-US" w:eastAsia="zh-CN"/>
              </w:rPr>
              <w:t>1件次</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BDB2C5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96C2583">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84E963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D5DCAF7">
            <w:pPr>
              <w:widowControl/>
              <w:spacing w:line="240" w:lineRule="exact"/>
              <w:jc w:val="left"/>
              <w:rPr>
                <w:rFonts w:hint="eastAsia" w:ascii="Times New Roman" w:hAnsi="Times New Roman" w:eastAsia="仿宋_GB2312" w:cs="Times New Roman"/>
                <w:color w:val="000000"/>
                <w:sz w:val="20"/>
                <w:szCs w:val="20"/>
              </w:rPr>
            </w:pPr>
          </w:p>
        </w:tc>
      </w:tr>
      <w:tr w14:paraId="7823ACB2">
        <w:tblPrEx>
          <w:tblCellMar>
            <w:top w:w="0" w:type="dxa"/>
            <w:left w:w="108" w:type="dxa"/>
            <w:bottom w:w="0" w:type="dxa"/>
            <w:right w:w="108" w:type="dxa"/>
          </w:tblCellMar>
        </w:tblPrEx>
        <w:trPr>
          <w:trHeight w:val="270" w:hRule="atLeast"/>
          <w:jc w:val="center"/>
        </w:trPr>
        <w:tc>
          <w:tcPr>
            <w:tcW w:w="7110" w:type="dxa"/>
            <w:gridSpan w:val="6"/>
            <w:tcBorders>
              <w:top w:val="single" w:color="auto" w:sz="4" w:space="0"/>
              <w:left w:val="single" w:color="auto" w:sz="4" w:space="0"/>
              <w:bottom w:val="single" w:color="auto" w:sz="4" w:space="0"/>
              <w:right w:val="single" w:color="000000" w:sz="4" w:space="0"/>
            </w:tcBorders>
            <w:noWrap w:val="0"/>
            <w:vAlign w:val="center"/>
          </w:tcPr>
          <w:p w14:paraId="5C8F2EF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650" w:type="dxa"/>
            <w:tcBorders>
              <w:top w:val="single" w:color="auto" w:sz="4" w:space="0"/>
              <w:left w:val="nil"/>
              <w:bottom w:val="single" w:color="auto" w:sz="4" w:space="0"/>
              <w:right w:val="single" w:color="auto" w:sz="4" w:space="0"/>
            </w:tcBorders>
            <w:noWrap w:val="0"/>
            <w:vAlign w:val="center"/>
          </w:tcPr>
          <w:p w14:paraId="7D3D7E0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58425458">
            <w:pPr>
              <w:widowControl/>
              <w:spacing w:line="24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cs="Times New Roman"/>
                <w:lang w:val="en-US" w:eastAsia="zh-CN"/>
              </w:rPr>
              <w:t>99</w:t>
            </w:r>
          </w:p>
        </w:tc>
        <w:tc>
          <w:tcPr>
            <w:tcW w:w="1446" w:type="dxa"/>
            <w:tcBorders>
              <w:top w:val="single" w:color="auto" w:sz="4" w:space="0"/>
              <w:left w:val="nil"/>
              <w:bottom w:val="single" w:color="auto" w:sz="4" w:space="0"/>
              <w:right w:val="single" w:color="auto" w:sz="4" w:space="0"/>
            </w:tcBorders>
            <w:noWrap w:val="0"/>
            <w:vAlign w:val="center"/>
          </w:tcPr>
          <w:p w14:paraId="0BAFA5A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3F5D9762">
      <w:pPr>
        <w:tabs>
          <w:tab w:val="left" w:pos="7560"/>
        </w:tabs>
        <w:adjustRightInd w:val="0"/>
        <w:snapToGrid w:val="0"/>
        <w:spacing w:line="56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许冰玢</w:t>
      </w:r>
      <w:r>
        <w:rPr>
          <w:rFonts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      </w:t>
      </w:r>
      <w:r>
        <w:rPr>
          <w:rFonts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28580216</w:t>
      </w:r>
      <w:r>
        <w:rPr>
          <w:rFonts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rPr>
        <w:t xml:space="preserve"> </w:t>
      </w:r>
      <w:r>
        <w:rPr>
          <w:rFonts w:ascii="Times New Roman" w:hAnsi="Times New Roman" w:eastAsia="仿宋_GB2312" w:cs="Times New Roman"/>
          <w:sz w:val="22"/>
          <w:szCs w:val="22"/>
        </w:rPr>
        <w:t>单位负责人签字：</w:t>
      </w:r>
      <w:r>
        <w:rPr>
          <w:rFonts w:hint="eastAsia" w:ascii="Times New Roman" w:hAnsi="Times New Roman" w:eastAsia="仿宋_GB2312" w:cs="Times New Roman"/>
          <w:sz w:val="22"/>
          <w:szCs w:val="22"/>
          <w:lang w:eastAsia="zh-CN"/>
        </w:rPr>
        <w:t>朱发运</w:t>
      </w:r>
    </w:p>
    <w:p w14:paraId="6CE519E5">
      <w:pPr>
        <w:rPr>
          <w:rFonts w:ascii="Times New Roman" w:hAnsi="Times New Roman" w:cs="Times New Roman"/>
        </w:rPr>
      </w:pPr>
    </w:p>
    <w:sectPr>
      <w:footerReference r:id="rId3"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B496BA-1AD3-4AEB-85D4-2C4A348F33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2D49C49-3407-4CEF-BBFF-44CCBE2799C5}"/>
  </w:font>
  <w:font w:name="方正小标宋简体">
    <w:panose1 w:val="03000509000000000000"/>
    <w:charset w:val="86"/>
    <w:family w:val="script"/>
    <w:pitch w:val="default"/>
    <w:sig w:usb0="00000001" w:usb1="080E0000" w:usb2="00000000" w:usb3="00000000" w:csb0="00040000" w:csb1="00000000"/>
    <w:embedRegular r:id="rId3" w:fontKey="{4E36BEB9-47C9-428A-80D1-4A73475C5B26}"/>
  </w:font>
  <w:font w:name="方正大标宋简体">
    <w:altName w:val="微软雅黑"/>
    <w:panose1 w:val="03000509000000000000"/>
    <w:charset w:val="86"/>
    <w:family w:val="script"/>
    <w:pitch w:val="default"/>
    <w:sig w:usb0="00000001" w:usb1="080E0000" w:usb2="00000000" w:usb3="00000000" w:csb0="00040000" w:csb1="00000000"/>
    <w:embedRegular r:id="rId4" w:fontKey="{592EAF94-B830-445F-A89C-D10844EF2968}"/>
  </w:font>
  <w:font w:name="仿宋_GB2312">
    <w:panose1 w:val="02010609030101010101"/>
    <w:charset w:val="86"/>
    <w:family w:val="modern"/>
    <w:pitch w:val="default"/>
    <w:sig w:usb0="00000001" w:usb1="080E0000" w:usb2="00000000" w:usb3="00000000" w:csb0="00040000" w:csb1="00000000"/>
    <w:embedRegular r:id="rId5" w:fontKey="{318645ED-A94E-4F6F-9FB1-EEE9A43CDC2B}"/>
  </w:font>
  <w:font w:name="楷体_GB2312">
    <w:panose1 w:val="02010609030101010101"/>
    <w:charset w:val="86"/>
    <w:family w:val="modern"/>
    <w:pitch w:val="default"/>
    <w:sig w:usb0="00000001" w:usb1="080E0000" w:usb2="00000000" w:usb3="00000000" w:csb0="00040000" w:csb1="00000000"/>
    <w:embedRegular r:id="rId6" w:fontKey="{C9498523-257F-480E-87B0-3EFC7EFC4B7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CB9E">
    <w:pPr>
      <w:pStyle w:val="2"/>
      <w:framePr w:wrap="around" w:vAnchor="text" w:hAnchor="margin" w:xAlign="outside" w:y="1"/>
      <w:rPr>
        <w:rStyle w:val="10"/>
        <w:rFonts w:hint="eastAsia"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  </w:instrText>
    </w:r>
    <w:r>
      <w:rPr>
        <w:rStyle w:val="10"/>
        <w:rFonts w:hint="eastAsia" w:ascii="宋体"/>
        <w:sz w:val="28"/>
        <w:szCs w:val="28"/>
      </w:rPr>
      <w:fldChar w:fldCharType="separate"/>
    </w:r>
    <w:r>
      <w:rPr>
        <w:rStyle w:val="10"/>
        <w:rFonts w:ascii="宋体"/>
        <w:sz w:val="28"/>
        <w:szCs w:val="28"/>
      </w:rPr>
      <w:t>9</w:t>
    </w:r>
    <w:r>
      <w:rPr>
        <w:rStyle w:val="10"/>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14:paraId="2B0E2692">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58526"/>
    <w:multiLevelType w:val="singleLevel"/>
    <w:tmpl w:val="B6558526"/>
    <w:lvl w:ilvl="0" w:tentative="0">
      <w:start w:val="3"/>
      <w:numFmt w:val="chineseCounting"/>
      <w:suff w:val="nothing"/>
      <w:lvlText w:val="%1、"/>
      <w:lvlJc w:val="left"/>
      <w:rPr>
        <w:rFonts w:hint="eastAsia"/>
      </w:rPr>
    </w:lvl>
  </w:abstractNum>
  <w:abstractNum w:abstractNumId="1">
    <w:nsid w:val="B7537551"/>
    <w:multiLevelType w:val="singleLevel"/>
    <w:tmpl w:val="B7537551"/>
    <w:lvl w:ilvl="0" w:tentative="0">
      <w:start w:val="8"/>
      <w:numFmt w:val="chineseCounting"/>
      <w:suff w:val="nothing"/>
      <w:lvlText w:val="%1、"/>
      <w:lvlJc w:val="left"/>
      <w:rPr>
        <w:rFonts w:hint="eastAsia"/>
      </w:rPr>
    </w:lvl>
  </w:abstractNum>
  <w:abstractNum w:abstractNumId="2">
    <w:nsid w:val="617015B4"/>
    <w:multiLevelType w:val="singleLevel"/>
    <w:tmpl w:val="617015B4"/>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a613166c-7b1b-491b-bde9-39c98eb12de6"/>
  </w:docVars>
  <w:rsids>
    <w:rsidRoot w:val="3B7EF2ED"/>
    <w:rsid w:val="027619AC"/>
    <w:rsid w:val="0341020B"/>
    <w:rsid w:val="0462447C"/>
    <w:rsid w:val="06500E91"/>
    <w:rsid w:val="0E5203C3"/>
    <w:rsid w:val="11567578"/>
    <w:rsid w:val="16747E6A"/>
    <w:rsid w:val="1C87265B"/>
    <w:rsid w:val="1C915908"/>
    <w:rsid w:val="259B7562"/>
    <w:rsid w:val="2E767899"/>
    <w:rsid w:val="3B7EF2ED"/>
    <w:rsid w:val="3F491516"/>
    <w:rsid w:val="452303E7"/>
    <w:rsid w:val="52466B8B"/>
    <w:rsid w:val="53236DB5"/>
    <w:rsid w:val="534250F7"/>
    <w:rsid w:val="54AC18A1"/>
    <w:rsid w:val="58977827"/>
    <w:rsid w:val="593C6EB7"/>
    <w:rsid w:val="596D67DA"/>
    <w:rsid w:val="5BEB6AF9"/>
    <w:rsid w:val="5E50292A"/>
    <w:rsid w:val="675F191D"/>
    <w:rsid w:val="68384F90"/>
    <w:rsid w:val="6AD53F5B"/>
    <w:rsid w:val="6E4B4EE4"/>
    <w:rsid w:val="71A75454"/>
    <w:rsid w:val="735A1ECE"/>
    <w:rsid w:val="7461732C"/>
    <w:rsid w:val="76BB3D3A"/>
    <w:rsid w:val="77740943"/>
    <w:rsid w:val="781A405C"/>
    <w:rsid w:val="7CDC13FD"/>
    <w:rsid w:val="7E9B7C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unhideWhenUsed/>
    <w:qFormat/>
    <w:uiPriority w:val="99"/>
    <w:pPr>
      <w:ind w:left="800" w:leftChars="800"/>
    </w:pPr>
  </w:style>
  <w:style w:type="paragraph" w:styleId="4">
    <w:name w:val="annotation text"/>
    <w:basedOn w:val="1"/>
    <w:uiPriority w:val="0"/>
    <w:pPr>
      <w:jc w:val="left"/>
    </w:pPr>
  </w:style>
  <w:style w:type="paragraph" w:styleId="5">
    <w:name w:val="Body Text"/>
    <w:basedOn w:val="1"/>
    <w:qFormat/>
    <w:uiPriority w:val="0"/>
    <w:pPr>
      <w:widowControl w:val="0"/>
      <w:jc w:val="center"/>
    </w:pPr>
    <w:rPr>
      <w:rFonts w:ascii="方正小标宋简体" w:hAnsi="方正小标宋简体" w:eastAsia="方正大标宋简体" w:cs="Times New Roman"/>
      <w:kern w:val="2"/>
      <w:sz w:val="44"/>
      <w:szCs w:val="22"/>
      <w:lang w:val="en-US" w:eastAsia="zh-CN" w:bidi="ar-SA"/>
    </w:rPr>
  </w:style>
  <w:style w:type="paragraph" w:styleId="6">
    <w:name w:val="endnote text"/>
    <w:basedOn w:val="1"/>
    <w:qFormat/>
    <w:uiPriority w:val="0"/>
    <w:pPr>
      <w:snapToGrid w:val="0"/>
      <w:jc w:val="left"/>
    </w:pPr>
    <w:rPr>
      <w:rFonts w:ascii="Times New Roman" w:hAnsi="Times New Roman" w:cs="Times New Roman"/>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3">
    <w:name w:val="样式 文字 + 首行缩进:  2 字符3"/>
    <w:basedOn w:val="1"/>
    <w:qFormat/>
    <w:uiPriority w:val="99"/>
    <w:pPr>
      <w:spacing w:line="360" w:lineRule="auto"/>
      <w:jc w:val="left"/>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990</Words>
  <Characters>1062</Characters>
  <Lines>0</Lines>
  <Paragraphs>0</Paragraphs>
  <TotalTime>95</TotalTime>
  <ScaleCrop>false</ScaleCrop>
  <LinksUpToDate>false</LinksUpToDate>
  <CharactersWithSpaces>1066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cp:lastModifiedBy>
  <dcterms:modified xsi:type="dcterms:W3CDTF">2024-12-10T07:42:12Z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55BAE74D88DB4F86BB268FACD62E1499_13</vt:lpwstr>
  </property>
</Properties>
</file>