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E6C9F">
      <w:pPr>
        <w:tabs>
          <w:tab w:val="left" w:pos="7560"/>
        </w:tabs>
        <w:adjustRightInd w:val="0"/>
        <w:snapToGrid w:val="0"/>
        <w:spacing w:line="560" w:lineRule="exact"/>
        <w:jc w:val="left"/>
        <w:rPr>
          <w:rFonts w:hint="eastAsia" w:ascii="Times New Roman" w:hAnsi="Times New Roman" w:eastAsia="黑体" w:cs="Times New Roman"/>
          <w:sz w:val="32"/>
          <w:szCs w:val="32"/>
          <w:highlight w:val="none"/>
        </w:rPr>
      </w:pPr>
      <w:bookmarkStart w:id="0" w:name="_GoBack"/>
      <w:bookmarkEnd w:id="0"/>
      <w:r>
        <w:rPr>
          <w:rFonts w:hint="eastAsia" w:ascii="Times New Roman" w:hAnsi="Times New Roman" w:eastAsia="黑体" w:cs="Times New Roman"/>
          <w:sz w:val="32"/>
          <w:szCs w:val="32"/>
          <w:highlight w:val="none"/>
        </w:rPr>
        <w:t>附件1</w:t>
      </w:r>
    </w:p>
    <w:p w14:paraId="25514805">
      <w:pPr>
        <w:tabs>
          <w:tab w:val="left" w:pos="7560"/>
        </w:tabs>
        <w:adjustRightInd w:val="0"/>
        <w:snapToGrid w:val="0"/>
        <w:spacing w:line="560" w:lineRule="exact"/>
        <w:jc w:val="left"/>
        <w:rPr>
          <w:rFonts w:ascii="Times New Roman" w:hAnsi="Times New Roman" w:eastAsia="黑体" w:cs="Times New Roman"/>
          <w:sz w:val="32"/>
          <w:szCs w:val="32"/>
          <w:highlight w:val="none"/>
        </w:rPr>
      </w:pPr>
    </w:p>
    <w:p w14:paraId="1E7031CE">
      <w:pPr>
        <w:snapToGrid w:val="0"/>
        <w:spacing w:line="560" w:lineRule="exact"/>
        <w:jc w:val="center"/>
        <w:rPr>
          <w:rFonts w:hint="eastAsia" w:ascii="Times New Roman" w:hAnsi="Times New Roman" w:eastAsia="方正小标宋简体" w:cs="Times New Roman"/>
          <w:sz w:val="48"/>
          <w:szCs w:val="44"/>
          <w:highlight w:val="none"/>
        </w:rPr>
      </w:pPr>
      <w:r>
        <w:rPr>
          <w:rFonts w:hint="eastAsia" w:ascii="Times New Roman" w:hAnsi="Times New Roman" w:eastAsia="方正小标宋简体" w:cs="Times New Roman"/>
          <w:sz w:val="48"/>
          <w:szCs w:val="44"/>
          <w:highlight w:val="none"/>
        </w:rPr>
        <w:t>2023年度部门（单位）整体支出</w:t>
      </w:r>
    </w:p>
    <w:p w14:paraId="7E2D3D9B">
      <w:pPr>
        <w:snapToGrid w:val="0"/>
        <w:spacing w:line="560" w:lineRule="exact"/>
        <w:jc w:val="center"/>
        <w:rPr>
          <w:rFonts w:hint="eastAsia" w:ascii="Times New Roman" w:hAnsi="Times New Roman" w:eastAsia="方正大标宋简体" w:cs="Times New Roman"/>
          <w:sz w:val="48"/>
          <w:szCs w:val="52"/>
          <w:highlight w:val="none"/>
        </w:rPr>
      </w:pPr>
      <w:r>
        <w:rPr>
          <w:rFonts w:hint="eastAsia" w:ascii="Times New Roman" w:hAnsi="Times New Roman" w:eastAsia="方正小标宋简体" w:cs="Times New Roman"/>
          <w:sz w:val="48"/>
          <w:szCs w:val="44"/>
          <w:highlight w:val="none"/>
        </w:rPr>
        <w:t>绩效自评报告</w:t>
      </w:r>
    </w:p>
    <w:p w14:paraId="6D1B55FB">
      <w:pPr>
        <w:spacing w:line="600" w:lineRule="exact"/>
        <w:ind w:firstLine="3520" w:firstLineChars="1100"/>
        <w:jc w:val="left"/>
        <w:rPr>
          <w:rFonts w:ascii="Times New Roman" w:hAnsi="Times New Roman" w:eastAsia="仿宋_GB2312" w:cs="Times New Roman"/>
          <w:sz w:val="32"/>
          <w:szCs w:val="32"/>
          <w:highlight w:val="none"/>
        </w:rPr>
      </w:pPr>
    </w:p>
    <w:p w14:paraId="600D0393">
      <w:pPr>
        <w:jc w:val="center"/>
        <w:rPr>
          <w:rFonts w:ascii="Times New Roman" w:hAnsi="Times New Roman" w:eastAsia="楷体_GB2312" w:cs="Times New Roman"/>
          <w:b/>
          <w:sz w:val="32"/>
          <w:szCs w:val="32"/>
          <w:highlight w:val="none"/>
        </w:rPr>
      </w:pPr>
    </w:p>
    <w:p w14:paraId="41E6170F">
      <w:pPr>
        <w:jc w:val="center"/>
        <w:rPr>
          <w:rFonts w:ascii="Times New Roman" w:hAnsi="Times New Roman" w:eastAsia="楷体_GB2312" w:cs="Times New Roman"/>
          <w:b/>
          <w:sz w:val="32"/>
          <w:szCs w:val="32"/>
          <w:highlight w:val="none"/>
        </w:rPr>
      </w:pPr>
    </w:p>
    <w:p w14:paraId="3203E427">
      <w:pPr>
        <w:jc w:val="center"/>
        <w:rPr>
          <w:rFonts w:ascii="Times New Roman" w:hAnsi="Times New Roman" w:eastAsia="楷体_GB2312" w:cs="Times New Roman"/>
          <w:b/>
          <w:sz w:val="32"/>
          <w:szCs w:val="32"/>
          <w:highlight w:val="none"/>
        </w:rPr>
      </w:pPr>
    </w:p>
    <w:p w14:paraId="03DDEFEC">
      <w:pPr>
        <w:jc w:val="center"/>
        <w:rPr>
          <w:rFonts w:ascii="Times New Roman" w:hAnsi="Times New Roman" w:eastAsia="楷体_GB2312" w:cs="Times New Roman"/>
          <w:b/>
          <w:sz w:val="32"/>
          <w:szCs w:val="32"/>
          <w:highlight w:val="none"/>
        </w:rPr>
      </w:pPr>
    </w:p>
    <w:p w14:paraId="04688131">
      <w:pPr>
        <w:jc w:val="center"/>
        <w:rPr>
          <w:rFonts w:ascii="Times New Roman" w:hAnsi="Times New Roman" w:eastAsia="楷体_GB2312" w:cs="Times New Roman"/>
          <w:b/>
          <w:sz w:val="32"/>
          <w:szCs w:val="32"/>
          <w:highlight w:val="none"/>
        </w:rPr>
      </w:pPr>
    </w:p>
    <w:p w14:paraId="03A26ED1">
      <w:pPr>
        <w:jc w:val="center"/>
        <w:rPr>
          <w:rFonts w:ascii="Times New Roman" w:hAnsi="Times New Roman" w:eastAsia="楷体_GB2312" w:cs="Times New Roman"/>
          <w:b/>
          <w:sz w:val="32"/>
          <w:szCs w:val="32"/>
          <w:highlight w:val="none"/>
        </w:rPr>
      </w:pPr>
    </w:p>
    <w:p w14:paraId="64FB8646">
      <w:pPr>
        <w:jc w:val="center"/>
        <w:rPr>
          <w:rFonts w:ascii="Times New Roman" w:hAnsi="Times New Roman" w:eastAsia="黑体" w:cs="Times New Roman"/>
          <w:sz w:val="32"/>
          <w:szCs w:val="32"/>
          <w:highlight w:val="none"/>
        </w:rPr>
      </w:pPr>
    </w:p>
    <w:p w14:paraId="13E3E823">
      <w:pPr>
        <w:jc w:val="center"/>
        <w:rPr>
          <w:rFonts w:ascii="Times New Roman" w:hAnsi="Times New Roman" w:eastAsia="黑体" w:cs="Times New Roman"/>
          <w:sz w:val="32"/>
          <w:szCs w:val="32"/>
          <w:highlight w:val="none"/>
        </w:rPr>
      </w:pPr>
    </w:p>
    <w:p w14:paraId="7D175C3B">
      <w:pPr>
        <w:jc w:val="center"/>
        <w:rPr>
          <w:rFonts w:ascii="Times New Roman" w:hAnsi="Times New Roman" w:eastAsia="黑体" w:cs="Times New Roman"/>
          <w:sz w:val="32"/>
          <w:szCs w:val="32"/>
          <w:highlight w:val="none"/>
        </w:rPr>
      </w:pPr>
    </w:p>
    <w:p w14:paraId="1EADB780">
      <w:pPr>
        <w:jc w:val="center"/>
        <w:rPr>
          <w:rFonts w:ascii="Times New Roman" w:hAnsi="Times New Roman" w:eastAsia="黑体" w:cs="Times New Roman"/>
          <w:sz w:val="32"/>
          <w:szCs w:val="32"/>
          <w:highlight w:val="none"/>
        </w:rPr>
      </w:pPr>
    </w:p>
    <w:p w14:paraId="0B1C3E67">
      <w:pPr>
        <w:jc w:val="center"/>
        <w:rPr>
          <w:rFonts w:ascii="Times New Roman" w:hAnsi="Times New Roman" w:eastAsia="黑体" w:cs="Times New Roman"/>
          <w:sz w:val="32"/>
          <w:szCs w:val="32"/>
          <w:highlight w:val="none"/>
        </w:rPr>
      </w:pPr>
    </w:p>
    <w:p w14:paraId="05C359E1">
      <w:pPr>
        <w:jc w:val="center"/>
        <w:rPr>
          <w:rFonts w:ascii="Times New Roman" w:hAnsi="Times New Roman" w:eastAsia="黑体" w:cs="Times New Roman"/>
          <w:sz w:val="32"/>
          <w:szCs w:val="32"/>
          <w:highlight w:val="none"/>
        </w:rPr>
      </w:pPr>
    </w:p>
    <w:p w14:paraId="60F632ED">
      <w:pPr>
        <w:jc w:val="center"/>
        <w:rPr>
          <w:rFonts w:ascii="Times New Roman" w:hAnsi="Times New Roman" w:eastAsia="黑体" w:cs="Times New Roman"/>
          <w:sz w:val="32"/>
          <w:szCs w:val="32"/>
          <w:highlight w:val="none"/>
        </w:rPr>
      </w:pPr>
    </w:p>
    <w:p w14:paraId="1981C6EA">
      <w:pPr>
        <w:jc w:val="center"/>
        <w:rPr>
          <w:rFonts w:ascii="Times New Roman" w:hAnsi="Times New Roman" w:eastAsia="黑体" w:cs="Times New Roman"/>
          <w:sz w:val="32"/>
          <w:szCs w:val="32"/>
          <w:highlight w:val="none"/>
        </w:rPr>
      </w:pPr>
    </w:p>
    <w:p w14:paraId="54E86373">
      <w:pPr>
        <w:jc w:val="center"/>
        <w:rPr>
          <w:rFonts w:ascii="Times New Roman" w:hAnsi="Times New Roman" w:eastAsia="黑体" w:cs="Times New Roman"/>
          <w:sz w:val="32"/>
          <w:szCs w:val="32"/>
          <w:highlight w:val="none"/>
        </w:rPr>
      </w:pPr>
    </w:p>
    <w:p w14:paraId="7F9BAEA2">
      <w:pPr>
        <w:jc w:val="center"/>
        <w:rPr>
          <w:rFonts w:ascii="Times New Roman" w:hAnsi="Times New Roman" w:eastAsia="黑体" w:cs="Times New Roman"/>
          <w:sz w:val="32"/>
          <w:szCs w:val="32"/>
          <w:highlight w:val="none"/>
        </w:rPr>
      </w:pPr>
    </w:p>
    <w:p w14:paraId="01523F9D">
      <w:pPr>
        <w:spacing w:line="600" w:lineRule="exact"/>
        <w:ind w:firstLine="0" w:firstLineChars="0"/>
        <w:jc w:val="center"/>
        <w:rPr>
          <w:rFonts w:hint="eastAsia"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rPr>
        <w:t>株洲市芦淞区农业农村局（盖章）</w:t>
      </w:r>
    </w:p>
    <w:p w14:paraId="6304FD2F">
      <w:pPr>
        <w:spacing w:line="600" w:lineRule="exact"/>
        <w:jc w:val="center"/>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年  月  日</w:t>
      </w:r>
    </w:p>
    <w:p w14:paraId="023DA50A">
      <w:pPr>
        <w:jc w:val="center"/>
        <w:rPr>
          <w:rFonts w:hint="eastAsia" w:ascii="Times New Roman" w:hAnsi="Times New Roman" w:eastAsia="仿宋_GB2312" w:cs="Times New Roman"/>
          <w:sz w:val="32"/>
          <w:szCs w:val="32"/>
          <w:highlight w:val="none"/>
        </w:rPr>
      </w:pPr>
    </w:p>
    <w:p w14:paraId="309137B5">
      <w:pPr>
        <w:ind w:firstLine="2880" w:firstLineChars="900"/>
        <w:rPr>
          <w:rFonts w:hint="eastAsia" w:ascii="Times New Roman" w:hAnsi="Times New Roman" w:eastAsia="仿宋_GB2312" w:cs="Times New Roman"/>
          <w:sz w:val="32"/>
          <w:szCs w:val="32"/>
          <w:highlight w:val="none"/>
        </w:rPr>
      </w:pPr>
    </w:p>
    <w:p w14:paraId="23DFB2F4">
      <w:pPr>
        <w:ind w:firstLine="2880" w:firstLineChars="900"/>
        <w:rPr>
          <w:rFonts w:hint="eastAsia" w:ascii="Times New Roman" w:hAnsi="Times New Roman" w:eastAsia="仿宋_GB2312" w:cs="Times New Roman"/>
          <w:sz w:val="32"/>
          <w:szCs w:val="32"/>
          <w:highlight w:val="none"/>
        </w:rPr>
      </w:pPr>
    </w:p>
    <w:p w14:paraId="21BB00DD">
      <w:pPr>
        <w:ind w:firstLine="2880" w:firstLineChars="900"/>
        <w:rPr>
          <w:rFonts w:hint="eastAsia" w:ascii="Times New Roman" w:hAnsi="Times New Roman" w:eastAsia="仿宋_GB2312" w:cs="Times New Roman"/>
          <w:sz w:val="32"/>
          <w:szCs w:val="32"/>
          <w:highlight w:val="none"/>
        </w:rPr>
      </w:pPr>
    </w:p>
    <w:p w14:paraId="43533C1A">
      <w:pPr>
        <w:jc w:val="center"/>
        <w:rPr>
          <w:rFonts w:hint="eastAsia" w:ascii="Times New Roman" w:hAnsi="Times New Roman" w:eastAsia="方正小标宋简体" w:cs="Times New Roman"/>
          <w:sz w:val="40"/>
          <w:szCs w:val="32"/>
        </w:rPr>
      </w:pPr>
      <w:r>
        <w:rPr>
          <w:rFonts w:ascii="Times New Roman" w:hAnsi="Times New Roman" w:eastAsia="仿宋_GB2312" w:cs="Times New Roman"/>
          <w:color w:val="000000"/>
          <w:sz w:val="32"/>
          <w:szCs w:val="32"/>
          <w:highlight w:val="none"/>
        </w:rPr>
        <w:br w:type="page"/>
      </w:r>
      <w:r>
        <w:rPr>
          <w:rFonts w:hint="eastAsia" w:ascii="Times New Roman" w:hAnsi="Times New Roman" w:eastAsia="方正小标宋简体" w:cs="Times New Roman"/>
          <w:sz w:val="40"/>
          <w:szCs w:val="32"/>
        </w:rPr>
        <w:t>2023年度株洲市芦淞区农业农村局整体支出</w:t>
      </w:r>
    </w:p>
    <w:p w14:paraId="27232121">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48F836B3">
      <w:pPr>
        <w:jc w:val="left"/>
        <w:rPr>
          <w:rFonts w:ascii="Times New Roman" w:hAnsi="Times New Roman" w:eastAsia="仿宋_GB2312" w:cs="Times New Roman"/>
          <w:sz w:val="32"/>
          <w:szCs w:val="32"/>
        </w:rPr>
      </w:pPr>
    </w:p>
    <w:p w14:paraId="783D3DCF">
      <w:pPr>
        <w:jc w:val="left"/>
        <w:rPr>
          <w:rFonts w:ascii="Times New Roman" w:hAnsi="Times New Roman" w:eastAsia="仿宋_GB2312" w:cs="Times New Roman"/>
          <w:sz w:val="32"/>
          <w:szCs w:val="32"/>
        </w:rPr>
      </w:pPr>
    </w:p>
    <w:p w14:paraId="338A756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一、</w:t>
      </w:r>
      <w:r>
        <w:rPr>
          <w:rFonts w:hint="eastAsia" w:ascii="Times New Roman" w:hAnsi="Times New Roman" w:eastAsia="黑体" w:cs="Times New Roman"/>
          <w:sz w:val="32"/>
          <w:szCs w:val="32"/>
        </w:rPr>
        <w:t>部门（单位）</w:t>
      </w:r>
      <w:r>
        <w:rPr>
          <w:rFonts w:ascii="Times New Roman" w:hAnsi="Times New Roman" w:eastAsia="黑体" w:cs="Times New Roman"/>
          <w:color w:val="000000"/>
          <w:sz w:val="32"/>
          <w:szCs w:val="32"/>
        </w:rPr>
        <w:t>基本情况</w:t>
      </w:r>
    </w:p>
    <w:p w14:paraId="70372BC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（一）部门</w:t>
      </w:r>
      <w:r>
        <w:rPr>
          <w:rFonts w:hint="eastAsia" w:ascii="Times New Roman" w:hAnsi="Times New Roman" w:eastAsia="仿宋_GB2312" w:cs="Times New Roman"/>
          <w:color w:val="auto"/>
          <w:sz w:val="32"/>
          <w:szCs w:val="32"/>
          <w:lang w:val="en-US" w:eastAsia="zh-CN"/>
        </w:rPr>
        <w:t>职责</w:t>
      </w:r>
    </w:p>
    <w:p w14:paraId="4B7B9D1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000000"/>
          <w:sz w:val="32"/>
          <w:szCs w:val="32"/>
        </w:rPr>
        <w:t>贯彻执行党和国家有关</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三农</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工作的方针政策和法律法规。负责拟订全区农业农村发展的配套政策并监督检查相关政策、法规的贯彻执行情况。负责制定全区农业农村中长期发展规划和年度工作目标，并组织实施。</w:t>
      </w:r>
    </w:p>
    <w:p w14:paraId="7EEC565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rPr>
        <w:t>统筹推动发展农村社会事业、农村公共服务、农村文化、农村基础设施和乡村治理。牵头组织改善辖区农村人居环境。指导农村精神文明和优秀农耕文化建设。指导农业行业安全生产工作。</w:t>
      </w:r>
    </w:p>
    <w:p w14:paraId="34AB678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负责农民承包地、农村宅基地改革和管理有关工作。负责农村集体产权制度改革，指导农村集体经济组织发展和集体资产管理工作。指导农民合作经济组织、农业社会化服务体系、新型农业经营主体建设与发展。</w:t>
      </w:r>
    </w:p>
    <w:p w14:paraId="008F1BE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rPr>
        <w:t>指导乡村特色产业、农产品加工业、休闲农业发展</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组织农业龙头企业开展招商引资和对外经济技术合作。</w:t>
      </w:r>
    </w:p>
    <w:p w14:paraId="2522A08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负责种植业、畜牧业、渔业、农业机械化等农业各产业监督管理。指导粮食、蔬菜、畜禽等农产品生产，推广新品种、新技术，优化农业结构调整，推动农业科学技术进步。组织构建现代农业产业体系、生产体系、经营体系，指导农业标准化生产。</w:t>
      </w:r>
    </w:p>
    <w:p w14:paraId="39BB747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组织农业资源区划工作。配合做好水生野生动植物保护、耕地及永久基本农田保护工作。指导农产品产地环境管理和农业清洁生产。指导设施农业、生态循环农业、节水农业发展以及农村可再生能源综合开发利用。负责农田水利基础设施建设和农田整治有关工作。</w:t>
      </w:r>
    </w:p>
    <w:p w14:paraId="0186C08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7.</w:t>
      </w:r>
      <w:r>
        <w:rPr>
          <w:rFonts w:hint="eastAsia" w:ascii="Times New Roman" w:hAnsi="Times New Roman" w:eastAsia="仿宋_GB2312" w:cs="Times New Roman"/>
          <w:color w:val="000000"/>
          <w:sz w:val="32"/>
          <w:szCs w:val="32"/>
        </w:rPr>
        <w:t>负责农产品质量安全、农机安全监督管理，加强农机安全监理执法体系建设，指导农业检验检测体系建设。加强有关农业生产资料和农业投入品的监督管理。负责农业防灾减灾、农作物重大病虫害防治工作。</w:t>
      </w:r>
    </w:p>
    <w:p w14:paraId="52DFD5C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8.</w:t>
      </w:r>
      <w:r>
        <w:rPr>
          <w:rFonts w:hint="eastAsia" w:ascii="Times New Roman" w:hAnsi="Times New Roman" w:eastAsia="仿宋_GB2312" w:cs="Times New Roman"/>
          <w:color w:val="000000"/>
          <w:sz w:val="32"/>
          <w:szCs w:val="32"/>
        </w:rPr>
        <w:t>负责农业投资管理。编制农业投资项目建设规划，提出农业投资规模和方向、扶持农业农村发展财政项目的建议，按规定权限审批农业投资项目，负责农业投资项目资金安排和监督管理。</w:t>
      </w:r>
    </w:p>
    <w:p w14:paraId="41B38A8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9.</w:t>
      </w:r>
      <w:r>
        <w:rPr>
          <w:rFonts w:hint="eastAsia" w:ascii="Times New Roman" w:hAnsi="Times New Roman" w:eastAsia="仿宋_GB2312" w:cs="Times New Roman"/>
          <w:color w:val="000000"/>
          <w:sz w:val="32"/>
          <w:szCs w:val="32"/>
        </w:rPr>
        <w:t>承担区扶贫开发领导小组日常工作。组织、协调、督促落实市委、区委关于扶贫工作的部署和要求。会同有关单位共同负责全区各类扶贫资金的监督管理，规范扶贫资金的使用，做好扶贫队员管理。组织开展扶贫宣传和经验交流工作。</w:t>
      </w:r>
    </w:p>
    <w:p w14:paraId="5838413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10.</w:t>
      </w:r>
      <w:r>
        <w:rPr>
          <w:rFonts w:hint="eastAsia" w:ascii="Times New Roman" w:hAnsi="Times New Roman" w:eastAsia="仿宋_GB2312" w:cs="Times New Roman"/>
          <w:color w:val="000000"/>
          <w:sz w:val="32"/>
          <w:szCs w:val="32"/>
        </w:rPr>
        <w:t>指导农业教育、农民素质教育和农业职业技能开发，指导新型职业农民培育、农业科技人才培养和农村实用人才培训工作。</w:t>
      </w:r>
    </w:p>
    <w:p w14:paraId="375D2C7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11.</w:t>
      </w:r>
      <w:r>
        <w:rPr>
          <w:rFonts w:hint="eastAsia" w:ascii="Times New Roman" w:hAnsi="Times New Roman" w:eastAsia="仿宋_GB2312" w:cs="Times New Roman"/>
          <w:color w:val="000000"/>
          <w:sz w:val="32"/>
          <w:szCs w:val="32"/>
        </w:rPr>
        <w:t>完成区委、区政府交办的其他任务。</w:t>
      </w:r>
    </w:p>
    <w:p w14:paraId="38EC0C5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12.</w:t>
      </w:r>
      <w:r>
        <w:rPr>
          <w:rFonts w:hint="eastAsia" w:ascii="Times New Roman" w:hAnsi="Times New Roman" w:eastAsia="仿宋_GB2312" w:cs="Times New Roman"/>
          <w:color w:val="000000"/>
          <w:sz w:val="32"/>
          <w:szCs w:val="32"/>
        </w:rPr>
        <w:t>职能转变。</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000000"/>
          <w:sz w:val="32"/>
          <w:szCs w:val="32"/>
        </w:rPr>
        <w:t>将原区农村工作局的森林防火、水旱灾害防治相关职责，以及防汛抗旱、森林防火指挥部的相关职责划入区应急管理局。将原区农村工作局的林业管理职责、水资源调查和确权登记管理职责划入区自然资源局。将原区农村工作局的编制水功能区划、排污口设置管理、流域水环境保护、监督指导农业面源污染治理职责划入市生态环境局芦淞分局。将原区农村工作局的水利相关职责（除水旱灾害防治、水资源调查、水功能区划、排污口设置管理、流域水环境保护、农田水利建设之外）划入区水利局。</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000000"/>
          <w:sz w:val="32"/>
          <w:szCs w:val="32"/>
        </w:rPr>
        <w:t>将原区农村工作局保留的其余职责划入区农业农村局。</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000000"/>
          <w:sz w:val="32"/>
          <w:szCs w:val="32"/>
        </w:rPr>
        <w:t>将区发展和改革局的农业投资项目、区财政局的农业综合开发项目、市国土资源局芦淞分局的农田整治项目等管理职责划入区农业农村局。</w:t>
      </w:r>
    </w:p>
    <w:p w14:paraId="4352D2D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13.</w:t>
      </w:r>
      <w:r>
        <w:rPr>
          <w:rFonts w:hint="eastAsia" w:ascii="Times New Roman" w:hAnsi="Times New Roman" w:eastAsia="仿宋_GB2312" w:cs="Times New Roman"/>
          <w:color w:val="000000"/>
          <w:sz w:val="32"/>
          <w:szCs w:val="32"/>
        </w:rPr>
        <w:t>有关职责分工。与区市场监督管理局有关职责分工。区农业农村局负责食用农产品从种植养殖环节到进入批发、零售市场或生产加工企业前的质量安全监督管理。食用农产品进入批发、零售市场或生产加工企业后，由区市场监督管理局监督管理。两部门要建立食品安全产地准出、市场准入和追溯机制，加强协调配合和工作衔接，形成监管合力。</w:t>
      </w:r>
    </w:p>
    <w:p w14:paraId="1AE2C43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rPr>
        <w:t>机构设置</w:t>
      </w:r>
    </w:p>
    <w:p w14:paraId="4303D09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株洲市芦淞区农业农村局内设机构包括：1.内设股室4个：办公室、乡村振兴办、农业产业化办公室（农机办）、项目办；2.事业单位4个：区农村经济管理服务站、区畜牧水产服务中心、区农业技术推广服务中心、区农业综合服务中心。</w:t>
      </w:r>
    </w:p>
    <w:p w14:paraId="1C4C8DF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rPr>
        <w:t>人员情况</w:t>
      </w:r>
    </w:p>
    <w:p w14:paraId="740C5E6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本部门截止202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年12月底实际在岗在编4</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人，退休4</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人，专职防疫员</w:t>
      </w:r>
      <w:r>
        <w:rPr>
          <w:rFonts w:hint="eastAsia" w:ascii="Times New Roman" w:hAnsi="Times New Roman" w:eastAsia="仿宋_GB2312" w:cs="Times New Roman"/>
          <w:color w:val="000000"/>
          <w:sz w:val="32"/>
          <w:szCs w:val="32"/>
          <w:lang w:val="en-US" w:eastAsia="zh-CN"/>
        </w:rPr>
        <w:t>7</w:t>
      </w:r>
      <w:r>
        <w:rPr>
          <w:rFonts w:hint="eastAsia" w:ascii="Times New Roman" w:hAnsi="Times New Roman" w:eastAsia="仿宋_GB2312" w:cs="Times New Roman"/>
          <w:color w:val="000000"/>
          <w:sz w:val="32"/>
          <w:szCs w:val="32"/>
        </w:rPr>
        <w:t>人（聘用制），无固定期限人员1人，抚恤金发放人员3人。</w:t>
      </w:r>
    </w:p>
    <w:p w14:paraId="4E4E9D2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二、一般公共预算支出情况</w:t>
      </w:r>
    </w:p>
    <w:p w14:paraId="52096722">
      <w:pPr>
        <w:pStyle w:val="10"/>
        <w:keepNext w:val="0"/>
        <w:keepLines w:val="0"/>
        <w:pageBreakBefore w:val="0"/>
        <w:widowControl w:val="0"/>
        <w:kinsoku/>
        <w:wordWrap/>
        <w:overflowPunct/>
        <w:topLinePunct w:val="0"/>
        <w:autoSpaceDE/>
        <w:autoSpaceDN/>
        <w:bidi w:val="0"/>
        <w:spacing w:line="560" w:lineRule="exact"/>
        <w:ind w:firstLine="64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（一）基本支出情况</w:t>
      </w:r>
    </w:p>
    <w:p w14:paraId="53911E58">
      <w:pPr>
        <w:pStyle w:val="10"/>
        <w:keepNext w:val="0"/>
        <w:keepLines w:val="0"/>
        <w:pageBreakBefore w:val="0"/>
        <w:widowControl w:val="0"/>
        <w:kinsoku/>
        <w:wordWrap/>
        <w:overflowPunct/>
        <w:topLinePunct w:val="0"/>
        <w:autoSpaceDE/>
        <w:autoSpaceDN/>
        <w:bidi w:val="0"/>
        <w:spacing w:line="560" w:lineRule="exact"/>
        <w:ind w:firstLine="64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w:t>
      </w: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rPr>
        <w:t>年预算资金</w:t>
      </w:r>
      <w:r>
        <w:rPr>
          <w:rFonts w:hint="eastAsia" w:ascii="Times New Roman" w:hAnsi="Times New Roman" w:eastAsia="仿宋_GB2312" w:cs="Times New Roman"/>
          <w:color w:val="000000"/>
          <w:sz w:val="32"/>
          <w:szCs w:val="32"/>
          <w:lang w:val="en-US" w:eastAsia="zh-CN"/>
        </w:rPr>
        <w:t>4158.5</w:t>
      </w:r>
      <w:r>
        <w:rPr>
          <w:rFonts w:hint="eastAsia" w:ascii="Times New Roman" w:hAnsi="Times New Roman" w:eastAsia="仿宋_GB2312" w:cs="Times New Roman"/>
          <w:color w:val="000000"/>
          <w:sz w:val="32"/>
          <w:szCs w:val="32"/>
        </w:rPr>
        <w:t>万元</w:t>
      </w:r>
    </w:p>
    <w:p w14:paraId="2A8DEA9A">
      <w:pPr>
        <w:pStyle w:val="10"/>
        <w:keepNext w:val="0"/>
        <w:keepLines w:val="0"/>
        <w:pageBreakBefore w:val="0"/>
        <w:widowControl w:val="0"/>
        <w:kinsoku/>
        <w:wordWrap/>
        <w:overflowPunct/>
        <w:topLinePunct w:val="0"/>
        <w:autoSpaceDE/>
        <w:autoSpaceDN/>
        <w:bidi w:val="0"/>
        <w:spacing w:line="560" w:lineRule="exact"/>
        <w:ind w:firstLine="64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年度</w:t>
      </w:r>
      <w:r>
        <w:rPr>
          <w:rFonts w:ascii="Times New Roman" w:hAnsi="Times New Roman" w:eastAsia="仿宋_GB2312" w:cs="Times New Roman"/>
          <w:color w:val="000000"/>
          <w:sz w:val="32"/>
          <w:szCs w:val="32"/>
        </w:rPr>
        <w:t>单位</w:t>
      </w:r>
      <w:r>
        <w:rPr>
          <w:rFonts w:hint="eastAsia" w:ascii="Times New Roman" w:hAnsi="Times New Roman" w:eastAsia="仿宋_GB2312" w:cs="Times New Roman"/>
          <w:color w:val="000000"/>
          <w:sz w:val="32"/>
          <w:szCs w:val="32"/>
        </w:rPr>
        <w:t>一般公共预算财政拨款</w:t>
      </w:r>
      <w:r>
        <w:rPr>
          <w:rFonts w:ascii="Times New Roman" w:hAnsi="Times New Roman" w:eastAsia="仿宋_GB2312" w:cs="Times New Roman"/>
          <w:color w:val="000000"/>
          <w:sz w:val="32"/>
          <w:szCs w:val="32"/>
        </w:rPr>
        <w:t>收入</w:t>
      </w:r>
      <w:r>
        <w:rPr>
          <w:rFonts w:hint="eastAsia" w:ascii="Times New Roman" w:hAnsi="Times New Roman" w:eastAsia="仿宋_GB2312" w:cs="Times New Roman"/>
          <w:color w:val="000000"/>
          <w:sz w:val="32"/>
          <w:szCs w:val="32"/>
          <w:lang w:val="en-US" w:eastAsia="zh-CN"/>
        </w:rPr>
        <w:t>415</w:t>
      </w:r>
      <w:r>
        <w:rPr>
          <w:rFonts w:hint="default"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万元</w:t>
      </w:r>
    </w:p>
    <w:p w14:paraId="4BC1573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年度</w:t>
      </w:r>
      <w:r>
        <w:rPr>
          <w:rFonts w:ascii="Times New Roman" w:hAnsi="Times New Roman" w:eastAsia="仿宋_GB2312" w:cs="Times New Roman"/>
          <w:color w:val="000000"/>
          <w:sz w:val="32"/>
          <w:szCs w:val="32"/>
        </w:rPr>
        <w:t>单位</w:t>
      </w:r>
      <w:r>
        <w:rPr>
          <w:rFonts w:hint="eastAsia" w:ascii="Times New Roman" w:hAnsi="Times New Roman" w:eastAsia="仿宋_GB2312" w:cs="Times New Roman"/>
          <w:color w:val="000000"/>
          <w:sz w:val="32"/>
          <w:szCs w:val="32"/>
        </w:rPr>
        <w:t>一般公共预算财政拨款支出</w:t>
      </w:r>
      <w:r>
        <w:rPr>
          <w:rFonts w:hint="eastAsia" w:ascii="Times New Roman" w:hAnsi="Times New Roman" w:eastAsia="仿宋_GB2312" w:cs="Times New Roman"/>
          <w:color w:val="000000"/>
          <w:sz w:val="32"/>
          <w:szCs w:val="32"/>
          <w:lang w:val="en-US" w:eastAsia="zh-CN"/>
        </w:rPr>
        <w:t>415</w:t>
      </w:r>
      <w:r>
        <w:rPr>
          <w:rFonts w:hint="default"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万元，</w:t>
      </w:r>
      <w:r>
        <w:rPr>
          <w:rFonts w:ascii="Times New Roman" w:hAnsi="Times New Roman" w:eastAsia="仿宋_GB2312" w:cs="Times New Roman"/>
          <w:color w:val="000000"/>
          <w:sz w:val="32"/>
          <w:szCs w:val="32"/>
        </w:rPr>
        <w:t>其中：项目支出</w:t>
      </w:r>
      <w:r>
        <w:rPr>
          <w:rFonts w:hint="eastAsia" w:ascii="Times New Roman" w:hAnsi="Times New Roman" w:eastAsia="仿宋_GB2312" w:cs="Times New Roman"/>
          <w:color w:val="000000"/>
          <w:sz w:val="32"/>
          <w:szCs w:val="32"/>
          <w:lang w:val="en-US" w:eastAsia="zh-CN"/>
        </w:rPr>
        <w:t>3276.8</w:t>
      </w:r>
      <w:r>
        <w:rPr>
          <w:rFonts w:ascii="Times New Roman" w:hAnsi="Times New Roman" w:eastAsia="仿宋_GB2312" w:cs="Times New Roman"/>
          <w:color w:val="000000"/>
          <w:sz w:val="32"/>
          <w:szCs w:val="32"/>
        </w:rPr>
        <w:t>万元，基本支出</w:t>
      </w:r>
      <w:r>
        <w:rPr>
          <w:rFonts w:hint="eastAsia" w:ascii="Times New Roman" w:hAnsi="Times New Roman" w:eastAsia="仿宋_GB2312" w:cs="Times New Roman"/>
          <w:color w:val="000000"/>
          <w:sz w:val="32"/>
          <w:szCs w:val="32"/>
          <w:lang w:val="en-US" w:eastAsia="zh-CN"/>
        </w:rPr>
        <w:t>879.7</w:t>
      </w:r>
      <w:r>
        <w:rPr>
          <w:rFonts w:ascii="Times New Roman" w:hAnsi="Times New Roman" w:eastAsia="仿宋_GB2312" w:cs="Times New Roman"/>
          <w:color w:val="000000"/>
          <w:sz w:val="32"/>
          <w:szCs w:val="32"/>
        </w:rPr>
        <w:t>万元，其中：人员经费</w:t>
      </w:r>
      <w:r>
        <w:rPr>
          <w:rFonts w:hint="eastAsia" w:ascii="Times New Roman" w:hAnsi="Times New Roman" w:eastAsia="仿宋_GB2312" w:cs="Times New Roman"/>
          <w:color w:val="000000"/>
          <w:sz w:val="32"/>
          <w:szCs w:val="32"/>
          <w:lang w:val="en-US" w:eastAsia="zh-CN"/>
        </w:rPr>
        <w:t>796.36</w:t>
      </w:r>
      <w:r>
        <w:rPr>
          <w:rFonts w:ascii="Times New Roman" w:hAnsi="Times New Roman" w:eastAsia="仿宋_GB2312" w:cs="Times New Roman"/>
          <w:color w:val="000000"/>
          <w:sz w:val="32"/>
          <w:szCs w:val="32"/>
        </w:rPr>
        <w:t>万元，公用经费</w:t>
      </w:r>
      <w:r>
        <w:rPr>
          <w:rFonts w:hint="eastAsia" w:ascii="Times New Roman" w:hAnsi="Times New Roman" w:eastAsia="仿宋_GB2312" w:cs="Times New Roman"/>
          <w:color w:val="000000"/>
          <w:sz w:val="32"/>
          <w:szCs w:val="32"/>
          <w:lang w:val="en-US" w:eastAsia="zh-CN"/>
        </w:rPr>
        <w:t>83.3</w:t>
      </w:r>
      <w:r>
        <w:rPr>
          <w:rFonts w:hint="eastAsia" w:ascii="Times New Roman" w:hAnsi="Times New Roman" w:eastAsia="仿宋_GB2312" w:cs="Times New Roman"/>
          <w:color w:val="000000"/>
          <w:sz w:val="32"/>
          <w:szCs w:val="32"/>
        </w:rPr>
        <w:t>万</w:t>
      </w:r>
      <w:r>
        <w:rPr>
          <w:rFonts w:ascii="Times New Roman" w:hAnsi="Times New Roman" w:eastAsia="仿宋_GB2312" w:cs="Times New Roman"/>
          <w:color w:val="000000"/>
          <w:sz w:val="32"/>
          <w:szCs w:val="32"/>
        </w:rPr>
        <w:t>元。</w:t>
      </w:r>
    </w:p>
    <w:p w14:paraId="741BB6E2">
      <w:pPr>
        <w:keepNext w:val="0"/>
        <w:keepLines w:val="0"/>
        <w:pageBreakBefore w:val="0"/>
        <w:widowControl w:val="0"/>
        <w:numPr>
          <w:ilvl w:val="0"/>
          <w:numId w:val="0"/>
        </w:numPr>
        <w:tabs>
          <w:tab w:val="left" w:pos="282"/>
        </w:tabs>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（二）</w:t>
      </w:r>
      <w:r>
        <w:rPr>
          <w:rFonts w:ascii="Times New Roman" w:hAnsi="Times New Roman" w:eastAsia="仿宋_GB2312" w:cs="Times New Roman"/>
          <w:color w:val="auto"/>
          <w:sz w:val="32"/>
          <w:szCs w:val="32"/>
        </w:rPr>
        <w:t>项目支出情况</w:t>
      </w:r>
    </w:p>
    <w:p w14:paraId="102D8C85">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rPr>
        <w:t>农业保险保费补贴项目支出</w:t>
      </w:r>
      <w:r>
        <w:rPr>
          <w:rFonts w:hint="eastAsia" w:ascii="Times New Roman" w:hAnsi="Times New Roman" w:eastAsia="仿宋_GB2312" w:cs="Times New Roman"/>
          <w:color w:val="000000"/>
          <w:sz w:val="32"/>
          <w:szCs w:val="32"/>
          <w:lang w:val="en-US" w:eastAsia="zh-CN"/>
        </w:rPr>
        <w:t>187.73</w:t>
      </w:r>
      <w:r>
        <w:rPr>
          <w:rFonts w:hint="eastAsia" w:ascii="Times New Roman" w:hAnsi="Times New Roman" w:eastAsia="仿宋_GB2312" w:cs="Times New Roman"/>
          <w:color w:val="000000"/>
          <w:sz w:val="32"/>
          <w:szCs w:val="32"/>
        </w:rPr>
        <w:t>万元；</w:t>
      </w:r>
    </w:p>
    <w:p w14:paraId="7FE27F44">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rPr>
        <w:t>小型农田水利项目支出</w:t>
      </w:r>
      <w:r>
        <w:rPr>
          <w:rFonts w:hint="eastAsia" w:ascii="Times New Roman" w:hAnsi="Times New Roman" w:eastAsia="仿宋_GB2312" w:cs="Times New Roman"/>
          <w:color w:val="000000"/>
          <w:sz w:val="32"/>
          <w:szCs w:val="32"/>
          <w:lang w:val="en-US" w:eastAsia="zh-CN"/>
        </w:rPr>
        <w:t>44.41</w:t>
      </w:r>
      <w:r>
        <w:rPr>
          <w:rFonts w:hint="eastAsia" w:ascii="Times New Roman" w:hAnsi="Times New Roman" w:eastAsia="仿宋_GB2312" w:cs="Times New Roman"/>
          <w:color w:val="000000"/>
          <w:sz w:val="32"/>
          <w:szCs w:val="32"/>
        </w:rPr>
        <w:t>万元；</w:t>
      </w:r>
    </w:p>
    <w:p w14:paraId="3E451DE1">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3.机耕道</w:t>
      </w:r>
      <w:r>
        <w:rPr>
          <w:rFonts w:hint="eastAsia" w:ascii="Times New Roman" w:hAnsi="Times New Roman" w:eastAsia="仿宋_GB2312" w:cs="Times New Roman"/>
          <w:color w:val="000000"/>
          <w:sz w:val="32"/>
          <w:szCs w:val="32"/>
        </w:rPr>
        <w:t>项目支出</w:t>
      </w:r>
      <w:r>
        <w:rPr>
          <w:rFonts w:hint="eastAsia" w:ascii="Times New Roman" w:hAnsi="Times New Roman" w:eastAsia="仿宋_GB2312" w:cs="Times New Roman"/>
          <w:color w:val="000000"/>
          <w:sz w:val="32"/>
          <w:szCs w:val="32"/>
          <w:lang w:val="en-US" w:eastAsia="zh-CN"/>
        </w:rPr>
        <w:t>20.5</w:t>
      </w:r>
      <w:r>
        <w:rPr>
          <w:rFonts w:hint="eastAsia" w:ascii="Times New Roman" w:hAnsi="Times New Roman" w:eastAsia="仿宋_GB2312" w:cs="Times New Roman"/>
          <w:color w:val="000000"/>
          <w:sz w:val="32"/>
          <w:szCs w:val="32"/>
        </w:rPr>
        <w:t>万元；</w:t>
      </w:r>
    </w:p>
    <w:p w14:paraId="4C3094A9">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rPr>
        <w:t>畜牧水产项目支出</w:t>
      </w:r>
      <w:r>
        <w:rPr>
          <w:rFonts w:hint="eastAsia" w:ascii="Times New Roman" w:hAnsi="Times New Roman" w:eastAsia="仿宋_GB2312" w:cs="Times New Roman"/>
          <w:color w:val="000000"/>
          <w:sz w:val="32"/>
          <w:szCs w:val="32"/>
          <w:lang w:val="en-US" w:eastAsia="zh-CN"/>
        </w:rPr>
        <w:t>309.18</w:t>
      </w:r>
      <w:r>
        <w:rPr>
          <w:rFonts w:hint="eastAsia" w:ascii="Times New Roman" w:hAnsi="Times New Roman" w:eastAsia="仿宋_GB2312" w:cs="Times New Roman"/>
          <w:color w:val="000000"/>
          <w:sz w:val="32"/>
          <w:szCs w:val="32"/>
        </w:rPr>
        <w:t>万元；</w:t>
      </w:r>
    </w:p>
    <w:p w14:paraId="0184D03B">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eastAsia="zh-CN"/>
        </w:rPr>
        <w:t>乡村振兴项目</w:t>
      </w:r>
      <w:r>
        <w:rPr>
          <w:rFonts w:hint="eastAsia" w:ascii="Times New Roman" w:hAnsi="Times New Roman" w:eastAsia="仿宋_GB2312" w:cs="Times New Roman"/>
          <w:color w:val="000000"/>
          <w:sz w:val="32"/>
          <w:szCs w:val="32"/>
        </w:rPr>
        <w:t>支出</w:t>
      </w:r>
      <w:r>
        <w:rPr>
          <w:rFonts w:hint="eastAsia" w:ascii="Times New Roman" w:hAnsi="Times New Roman" w:eastAsia="仿宋_GB2312" w:cs="Times New Roman"/>
          <w:color w:val="000000"/>
          <w:sz w:val="32"/>
          <w:szCs w:val="32"/>
          <w:lang w:val="en-US" w:eastAsia="zh-CN"/>
        </w:rPr>
        <w:t>2017.25</w:t>
      </w:r>
      <w:r>
        <w:rPr>
          <w:rFonts w:hint="eastAsia" w:ascii="Times New Roman" w:hAnsi="Times New Roman" w:eastAsia="仿宋_GB2312" w:cs="Times New Roman"/>
          <w:color w:val="000000"/>
          <w:sz w:val="32"/>
          <w:szCs w:val="32"/>
        </w:rPr>
        <w:t>万元；</w:t>
      </w:r>
    </w:p>
    <w:p w14:paraId="4683F2EF">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eastAsia="zh-CN"/>
        </w:rPr>
        <w:t>农业生产</w:t>
      </w:r>
      <w:r>
        <w:rPr>
          <w:rFonts w:hint="eastAsia" w:ascii="Times New Roman" w:hAnsi="Times New Roman" w:eastAsia="仿宋_GB2312" w:cs="Times New Roman"/>
          <w:color w:val="000000"/>
          <w:sz w:val="32"/>
          <w:szCs w:val="32"/>
        </w:rPr>
        <w:t>项目支出</w:t>
      </w:r>
      <w:r>
        <w:rPr>
          <w:rFonts w:hint="eastAsia" w:ascii="Times New Roman" w:hAnsi="Times New Roman" w:eastAsia="仿宋_GB2312" w:cs="Times New Roman"/>
          <w:color w:val="000000"/>
          <w:sz w:val="32"/>
          <w:szCs w:val="32"/>
          <w:lang w:val="en-US" w:eastAsia="zh-CN"/>
        </w:rPr>
        <w:t>697.73</w:t>
      </w:r>
      <w:r>
        <w:rPr>
          <w:rFonts w:hint="eastAsia"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eastAsia="zh-CN"/>
        </w:rPr>
        <w:t>。</w:t>
      </w:r>
    </w:p>
    <w:p w14:paraId="60A8BB2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三、政府性基金预算支出情况</w:t>
      </w:r>
    </w:p>
    <w:p w14:paraId="567FE6C6">
      <w:pPr>
        <w:pStyle w:val="10"/>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农业土地开发资金</w:t>
      </w:r>
      <w:r>
        <w:rPr>
          <w:rFonts w:hint="eastAsia" w:ascii="Times New Roman" w:hAnsi="Times New Roman" w:eastAsia="仿宋_GB2312" w:cs="Times New Roman"/>
          <w:color w:val="000000"/>
          <w:sz w:val="32"/>
          <w:szCs w:val="32"/>
          <w:lang w:val="en-US" w:eastAsia="zh-CN"/>
        </w:rPr>
        <w:t>2万元。</w:t>
      </w:r>
    </w:p>
    <w:p w14:paraId="702B580C">
      <w:pPr>
        <w:pStyle w:val="10"/>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四、</w:t>
      </w:r>
      <w:r>
        <w:rPr>
          <w:rFonts w:ascii="Times New Roman" w:hAnsi="Times New Roman" w:eastAsia="黑体" w:cs="Times New Roman"/>
          <w:color w:val="000000"/>
          <w:sz w:val="32"/>
          <w:szCs w:val="32"/>
        </w:rPr>
        <w:t>国有资本经营预算支出情况</w:t>
      </w:r>
    </w:p>
    <w:p w14:paraId="598B318C">
      <w:pPr>
        <w:pStyle w:val="10"/>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无</w:t>
      </w:r>
      <w:r>
        <w:rPr>
          <w:rFonts w:hint="eastAsia" w:ascii="Times New Roman" w:hAnsi="Times New Roman" w:eastAsia="仿宋_GB2312" w:cs="Times New Roman"/>
          <w:color w:val="000000"/>
          <w:sz w:val="32"/>
          <w:szCs w:val="32"/>
          <w:lang w:eastAsia="zh-CN"/>
        </w:rPr>
        <w:t>。</w:t>
      </w:r>
    </w:p>
    <w:p w14:paraId="38C6FC0C">
      <w:pPr>
        <w:pStyle w:val="10"/>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五、</w:t>
      </w:r>
      <w:r>
        <w:rPr>
          <w:rFonts w:ascii="Times New Roman" w:hAnsi="Times New Roman" w:eastAsia="黑体" w:cs="Times New Roman"/>
          <w:color w:val="000000"/>
          <w:sz w:val="32"/>
          <w:szCs w:val="32"/>
        </w:rPr>
        <w:t>社会保险基金预算支出情况</w:t>
      </w:r>
    </w:p>
    <w:p w14:paraId="2423889B">
      <w:pPr>
        <w:pStyle w:val="10"/>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rPr>
        <w:t>无</w:t>
      </w:r>
      <w:r>
        <w:rPr>
          <w:rFonts w:hint="eastAsia" w:ascii="Times New Roman" w:hAnsi="Times New Roman" w:eastAsia="仿宋_GB2312" w:cs="Times New Roman"/>
          <w:color w:val="000000"/>
          <w:sz w:val="32"/>
          <w:szCs w:val="32"/>
          <w:lang w:eastAsia="zh-CN"/>
        </w:rPr>
        <w:t>。</w:t>
      </w:r>
    </w:p>
    <w:p w14:paraId="2CB0740B">
      <w:pPr>
        <w:pStyle w:val="10"/>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val="en-US" w:eastAsia="zh-CN"/>
        </w:rPr>
        <w:t>六、</w:t>
      </w:r>
      <w:r>
        <w:rPr>
          <w:rFonts w:hint="eastAsia" w:ascii="Times New Roman" w:hAnsi="Times New Roman" w:eastAsia="黑体" w:cs="Times New Roman"/>
          <w:color w:val="000000"/>
          <w:sz w:val="32"/>
          <w:szCs w:val="32"/>
          <w:lang w:eastAsia="zh-CN"/>
        </w:rPr>
        <w:t>其他收入支出情况</w:t>
      </w:r>
    </w:p>
    <w:p w14:paraId="6919A413">
      <w:pPr>
        <w:pStyle w:val="10"/>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其他收入7.64万元，其中用于基本支出5.56万元、项目支出2.08万元。</w:t>
      </w:r>
    </w:p>
    <w:p w14:paraId="43DB1C0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七</w:t>
      </w:r>
      <w:r>
        <w:rPr>
          <w:rFonts w:ascii="Times New Roman" w:hAnsi="Times New Roman" w:eastAsia="黑体" w:cs="Times New Roman"/>
          <w:color w:val="000000"/>
          <w:sz w:val="32"/>
          <w:szCs w:val="32"/>
        </w:rPr>
        <w:t>、</w:t>
      </w:r>
      <w:r>
        <w:rPr>
          <w:rFonts w:hint="eastAsia" w:ascii="Times New Roman" w:hAnsi="Times New Roman" w:eastAsia="黑体" w:cs="Times New Roman"/>
          <w:color w:val="000000"/>
          <w:sz w:val="32"/>
          <w:szCs w:val="32"/>
        </w:rPr>
        <w:t>资金使用及</w:t>
      </w:r>
      <w:r>
        <w:rPr>
          <w:rFonts w:ascii="Times New Roman" w:hAnsi="Times New Roman" w:eastAsia="黑体" w:cs="Times New Roman"/>
          <w:color w:val="000000"/>
          <w:sz w:val="32"/>
          <w:szCs w:val="32"/>
        </w:rPr>
        <w:t>绩效情况</w:t>
      </w:r>
    </w:p>
    <w:p w14:paraId="53FE04F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（一）</w:t>
      </w:r>
      <w:r>
        <w:rPr>
          <w:rFonts w:hint="eastAsia" w:ascii="Times New Roman" w:hAnsi="Times New Roman" w:eastAsia="仿宋_GB2312" w:cs="Times New Roman"/>
          <w:color w:val="000000"/>
          <w:sz w:val="32"/>
          <w:szCs w:val="32"/>
        </w:rPr>
        <w:t>部门整体支出绩效情况</w:t>
      </w:r>
    </w:p>
    <w:p w14:paraId="34F52A05">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着力确保粮食安全。</w:t>
      </w:r>
      <w:r>
        <w:rPr>
          <w:rFonts w:hint="default" w:ascii="Times New Roman" w:hAnsi="Times New Roman" w:eastAsia="仿宋_GB2312" w:cs="Times New Roman"/>
          <w:color w:val="000000"/>
          <w:sz w:val="32"/>
          <w:szCs w:val="32"/>
        </w:rPr>
        <w:t>一是扛牢粮食安全政治责任</w:t>
      </w:r>
      <w:r>
        <w:rPr>
          <w:rFonts w:hint="default" w:ascii="Times New Roman" w:hAnsi="Times New Roman" w:eastAsia="仿宋_GB2312" w:cs="Times New Roman"/>
          <w:color w:val="000000"/>
          <w:sz w:val="32"/>
          <w:szCs w:val="32"/>
          <w:lang w:eastAsia="zh-CN"/>
        </w:rPr>
        <w:t>。出台</w:t>
      </w:r>
      <w:r>
        <w:rPr>
          <w:rFonts w:hint="default" w:ascii="Times New Roman" w:hAnsi="Times New Roman" w:eastAsia="仿宋_GB2312" w:cs="Times New Roman"/>
          <w:color w:val="000000"/>
          <w:sz w:val="32"/>
          <w:szCs w:val="32"/>
          <w:lang w:val="en-US" w:eastAsia="zh-CN"/>
        </w:rPr>
        <w:t>《株洲市芦淞区稳定发展粮食生产实施意见》《株洲市芦淞区2023年秋冬种生产实施意见》等文件，</w:t>
      </w:r>
      <w:r>
        <w:rPr>
          <w:rFonts w:hint="eastAsia" w:ascii="Times New Roman" w:hAnsi="Times New Roman" w:eastAsia="仿宋_GB2312" w:cs="Times New Roman"/>
          <w:color w:val="000000"/>
          <w:sz w:val="32"/>
          <w:szCs w:val="32"/>
          <w:lang w:val="en-US" w:eastAsia="zh-CN"/>
        </w:rPr>
        <w:t>压实</w:t>
      </w:r>
      <w:r>
        <w:rPr>
          <w:rFonts w:hint="default" w:ascii="Times New Roman" w:hAnsi="Times New Roman" w:eastAsia="仿宋_GB2312" w:cs="Times New Roman"/>
          <w:color w:val="000000"/>
          <w:sz w:val="32"/>
          <w:szCs w:val="32"/>
          <w:lang w:val="en-US" w:eastAsia="zh-CN"/>
        </w:rPr>
        <w:t>工作责任。</w:t>
      </w:r>
      <w:r>
        <w:rPr>
          <w:rFonts w:hint="default" w:ascii="Times New Roman" w:hAnsi="Times New Roman" w:eastAsia="仿宋_GB2312" w:cs="Times New Roman"/>
          <w:color w:val="000000"/>
          <w:sz w:val="32"/>
          <w:szCs w:val="32"/>
          <w:lang w:eastAsia="zh-CN"/>
        </w:rPr>
        <w:t>全区</w:t>
      </w:r>
      <w:r>
        <w:rPr>
          <w:rFonts w:hint="default" w:ascii="Times New Roman" w:hAnsi="Times New Roman" w:eastAsia="仿宋_GB2312" w:cs="Times New Roman"/>
          <w:color w:val="000000"/>
          <w:sz w:val="32"/>
          <w:szCs w:val="32"/>
          <w:lang w:val="en-US" w:eastAsia="zh-CN"/>
        </w:rPr>
        <w:t>完成粮食播种面积5.021万亩，比去年增加0.151万亩，预计产量2.266万吨，比去年增加0.156万吨；经作种植面积6.38万亩。</w:t>
      </w:r>
      <w:r>
        <w:rPr>
          <w:rFonts w:hint="default" w:ascii="Times New Roman" w:hAnsi="Times New Roman" w:eastAsia="仿宋_GB2312" w:cs="Times New Roman"/>
          <w:color w:val="000000"/>
          <w:sz w:val="32"/>
          <w:szCs w:val="32"/>
        </w:rPr>
        <w:t>二是毫不放松抓生猪稳产保供</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生猪</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肉鸡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牛羊</w:t>
      </w:r>
      <w:r>
        <w:rPr>
          <w:rFonts w:hint="default" w:ascii="Times New Roman" w:hAnsi="Times New Roman" w:eastAsia="仿宋_GB2312" w:cs="Times New Roman"/>
          <w:color w:val="000000"/>
          <w:sz w:val="32"/>
          <w:szCs w:val="32"/>
          <w:lang w:eastAsia="zh-CN"/>
        </w:rPr>
        <w:t>存栏增长</w:t>
      </w:r>
      <w:r>
        <w:rPr>
          <w:rFonts w:hint="default" w:ascii="Times New Roman" w:hAnsi="Times New Roman" w:eastAsia="仿宋_GB2312" w:cs="Times New Roman"/>
          <w:color w:val="000000"/>
          <w:sz w:val="32"/>
          <w:szCs w:val="32"/>
          <w:lang w:val="en-US" w:eastAsia="zh-CN"/>
        </w:rPr>
        <w:t>5.8</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出栏生猪</w:t>
      </w:r>
      <w:r>
        <w:rPr>
          <w:rFonts w:hint="default" w:ascii="Times New Roman" w:hAnsi="Times New Roman" w:eastAsia="仿宋_GB2312" w:cs="Times New Roman"/>
          <w:color w:val="000000"/>
          <w:sz w:val="32"/>
          <w:szCs w:val="32"/>
          <w:lang w:eastAsia="zh-CN"/>
        </w:rPr>
        <w:t>增长</w:t>
      </w:r>
      <w:r>
        <w:rPr>
          <w:rFonts w:hint="default" w:ascii="Times New Roman" w:hAnsi="Times New Roman" w:eastAsia="仿宋_GB2312" w:cs="Times New Roman"/>
          <w:color w:val="000000"/>
          <w:sz w:val="32"/>
          <w:szCs w:val="32"/>
          <w:lang w:val="en-US" w:eastAsia="zh-CN"/>
        </w:rPr>
        <w:t>11.5%</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水产养殖产量增长4.46%。</w:t>
      </w:r>
    </w:p>
    <w:p w14:paraId="0C3D22B3">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着力确保不发生规模性返贫。一是积极开展防止返贫监测帮扶集中排查工作。</w:t>
      </w:r>
      <w:r>
        <w:rPr>
          <w:rFonts w:hint="eastAsia" w:ascii="Times New Roman" w:hAnsi="Times New Roman" w:eastAsia="仿宋_GB2312" w:cs="Times New Roman"/>
          <w:color w:val="000000"/>
          <w:sz w:val="32"/>
          <w:szCs w:val="32"/>
          <w:lang w:val="en-US" w:eastAsia="zh-CN"/>
        </w:rPr>
        <w:t>对全区</w:t>
      </w:r>
      <w:r>
        <w:rPr>
          <w:rFonts w:hint="default" w:ascii="Times New Roman" w:hAnsi="Times New Roman" w:eastAsia="仿宋_GB2312" w:cs="Times New Roman"/>
          <w:color w:val="000000"/>
          <w:sz w:val="32"/>
          <w:szCs w:val="32"/>
          <w:lang w:val="en-US" w:eastAsia="zh-CN"/>
        </w:rPr>
        <w:t>监测对象34户</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108人制定针对性帮扶政策，</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两不愁三保障</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和饮水安全得到有效保障。二是落实驻村帮扶工作。全区现有市、区两级驻村工作队4支，</w:t>
      </w:r>
      <w:r>
        <w:rPr>
          <w:rFonts w:hint="eastAsia" w:ascii="Times New Roman" w:hAnsi="Times New Roman" w:eastAsia="仿宋_GB2312" w:cs="Times New Roman"/>
          <w:color w:val="000000"/>
          <w:sz w:val="32"/>
          <w:szCs w:val="32"/>
          <w:lang w:val="en-US" w:eastAsia="zh-CN"/>
        </w:rPr>
        <w:t>严格</w:t>
      </w:r>
      <w:r>
        <w:rPr>
          <w:rFonts w:hint="default" w:ascii="Times New Roman" w:hAnsi="Times New Roman" w:eastAsia="仿宋_GB2312" w:cs="Times New Roman"/>
          <w:color w:val="000000"/>
          <w:sz w:val="32"/>
          <w:szCs w:val="32"/>
          <w:lang w:val="en-US" w:eastAsia="zh-CN"/>
        </w:rPr>
        <w:t>按照《芦淞区关于健全防止返贫动态监测和帮扶机制工作方案》文件精神开展相关帮扶工作</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三是及时监测与处置风险预警信息。截至目前，我区累计出现风险预警信息65条，已签收风险预警信息65条，签收率100%，风险预警信息处置率为100%。</w:t>
      </w:r>
    </w:p>
    <w:p w14:paraId="798ECB85">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着力夯实基础设施。一是继续加强小型农田水利设施建设，争取区级财政小农水建设200万元，对</w:t>
      </w:r>
      <w:r>
        <w:rPr>
          <w:rFonts w:hint="eastAsia" w:ascii="Times New Roman" w:hAnsi="Times New Roman" w:eastAsia="仿宋_GB2312" w:cs="Times New Roman"/>
          <w:color w:val="000000"/>
          <w:sz w:val="32"/>
          <w:szCs w:val="32"/>
          <w:lang w:val="en-US" w:eastAsia="zh-CN"/>
        </w:rPr>
        <w:t>40处</w:t>
      </w:r>
      <w:r>
        <w:rPr>
          <w:rFonts w:hint="default" w:ascii="Times New Roman" w:hAnsi="Times New Roman" w:eastAsia="仿宋_GB2312" w:cs="Times New Roman"/>
          <w:color w:val="000000"/>
          <w:sz w:val="32"/>
          <w:szCs w:val="32"/>
          <w:lang w:val="en-US" w:eastAsia="zh-CN"/>
        </w:rPr>
        <w:t>小水利设施修缮提质，已完成</w:t>
      </w:r>
      <w:r>
        <w:rPr>
          <w:rFonts w:hint="eastAsia" w:ascii="Times New Roman" w:hAnsi="Times New Roman" w:eastAsia="仿宋_GB2312" w:cs="Times New Roman"/>
          <w:color w:val="000000"/>
          <w:sz w:val="32"/>
          <w:szCs w:val="32"/>
          <w:lang w:val="en-US" w:eastAsia="zh-CN"/>
        </w:rPr>
        <w:t>31</w:t>
      </w:r>
      <w:r>
        <w:rPr>
          <w:rFonts w:hint="default" w:ascii="Times New Roman" w:hAnsi="Times New Roman" w:eastAsia="仿宋_GB2312" w:cs="Times New Roman"/>
          <w:color w:val="000000"/>
          <w:sz w:val="32"/>
          <w:szCs w:val="32"/>
          <w:lang w:val="en-US" w:eastAsia="zh-CN"/>
        </w:rPr>
        <w:t>处，</w:t>
      </w:r>
      <w:r>
        <w:rPr>
          <w:rFonts w:hint="eastAsia" w:ascii="Times New Roman" w:hAnsi="Times New Roman" w:eastAsia="仿宋_GB2312" w:cs="Times New Roman"/>
          <w:color w:val="000000"/>
          <w:sz w:val="32"/>
          <w:szCs w:val="32"/>
          <w:lang w:val="en-US" w:eastAsia="zh-CN"/>
        </w:rPr>
        <w:t>其余建设正在推进中</w:t>
      </w:r>
      <w:r>
        <w:rPr>
          <w:rFonts w:hint="default" w:ascii="Times New Roman" w:hAnsi="Times New Roman" w:eastAsia="仿宋_GB2312" w:cs="Times New Roman"/>
          <w:color w:val="000000"/>
          <w:sz w:val="32"/>
          <w:szCs w:val="32"/>
          <w:lang w:val="en-US" w:eastAsia="zh-CN"/>
        </w:rPr>
        <w:t>。二是启动姚家坝丝瓜分拣中心建设，</w:t>
      </w:r>
      <w:r>
        <w:rPr>
          <w:rFonts w:hint="eastAsia" w:ascii="Times New Roman" w:hAnsi="Times New Roman" w:eastAsia="仿宋_GB2312" w:cs="Times New Roman"/>
          <w:color w:val="000000"/>
          <w:sz w:val="32"/>
          <w:szCs w:val="32"/>
          <w:lang w:val="en-US" w:eastAsia="zh-CN"/>
        </w:rPr>
        <w:t>提升</w:t>
      </w:r>
      <w:r>
        <w:rPr>
          <w:rFonts w:hint="default" w:ascii="Times New Roman" w:hAnsi="Times New Roman" w:eastAsia="仿宋_GB2312" w:cs="Times New Roman"/>
          <w:color w:val="000000"/>
          <w:sz w:val="32"/>
          <w:szCs w:val="32"/>
          <w:lang w:val="en-US" w:eastAsia="zh-CN"/>
        </w:rPr>
        <w:t>仓储保鲜冷链设施</w:t>
      </w:r>
      <w:r>
        <w:rPr>
          <w:rFonts w:hint="eastAsia" w:ascii="Times New Roman" w:hAnsi="Times New Roman" w:eastAsia="仿宋_GB2312" w:cs="Times New Roman"/>
          <w:color w:val="000000"/>
          <w:sz w:val="32"/>
          <w:szCs w:val="32"/>
          <w:lang w:val="en-US" w:eastAsia="zh-CN"/>
        </w:rPr>
        <w:t>能力，</w:t>
      </w:r>
      <w:r>
        <w:rPr>
          <w:rFonts w:hint="default" w:ascii="Times New Roman" w:hAnsi="Times New Roman" w:eastAsia="仿宋_GB2312" w:cs="Times New Roman"/>
          <w:color w:val="000000"/>
          <w:sz w:val="32"/>
          <w:szCs w:val="32"/>
          <w:lang w:val="en-US" w:eastAsia="zh-CN"/>
        </w:rPr>
        <w:t>目前建设进入扫尾阶段。</w:t>
      </w:r>
      <w:r>
        <w:rPr>
          <w:rFonts w:hint="eastAsia" w:ascii="Times New Roman" w:hAnsi="Times New Roman" w:eastAsia="仿宋_GB2312" w:cs="Times New Roman"/>
          <w:color w:val="000000"/>
          <w:sz w:val="32"/>
          <w:szCs w:val="32"/>
          <w:lang w:val="en-US" w:eastAsia="zh-CN"/>
        </w:rPr>
        <w:t>三是完成了</w:t>
      </w:r>
      <w:r>
        <w:rPr>
          <w:rFonts w:hint="default" w:ascii="Times New Roman" w:hAnsi="Times New Roman" w:eastAsia="仿宋_GB2312" w:cs="Times New Roman"/>
          <w:color w:val="000000"/>
          <w:sz w:val="32"/>
          <w:szCs w:val="32"/>
          <w:lang w:val="en-US" w:eastAsia="zh-CN"/>
        </w:rPr>
        <w:t>2个幸福屋场、20个秀美庭院</w:t>
      </w:r>
      <w:r>
        <w:rPr>
          <w:rFonts w:hint="eastAsia" w:ascii="Times New Roman" w:hAnsi="Times New Roman" w:eastAsia="仿宋_GB2312" w:cs="Times New Roman"/>
          <w:color w:val="000000"/>
          <w:sz w:val="32"/>
          <w:szCs w:val="32"/>
          <w:lang w:val="en-US" w:eastAsia="zh-CN"/>
        </w:rPr>
        <w:t>建设工作，并已通过市级验收。</w:t>
      </w:r>
    </w:p>
    <w:p w14:paraId="3560183E">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着力发展农业产业。争资引项取得突破。成功申报白关丝瓜优势特色产业项目，争取市级财政资金1000万元。湖南白关阳雀湖白关丝瓜田园综合体项目落户卦石村，一期已建成丝瓜连栋大棚35亩，丝瓜展示中心1座</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映日红田园综合体、钰林田园综合体等项目稳步推进。品牌推广不断深化。白关丝瓜、</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苗妹子豆豆羹</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获第二十四届中国中部（湖南）农业博览会金奖。成功举办株洲市（夏季）乡村文化旅游节暨第3届白关丝瓜节，先后举办白关丝瓜品牌推介北京餐叙会和白关丝瓜上海品牌推介会。推动</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丝瓜出海</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出口创汇</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，2000斤白关丝瓜出口至英国，姚家坝生产基地成为株洲市唯一一家出口创汇农产品生产基地。</w:t>
      </w:r>
      <w:r>
        <w:rPr>
          <w:rFonts w:hint="default" w:ascii="Times New Roman" w:hAnsi="Times New Roman" w:eastAsia="仿宋_GB2312" w:cs="Times New Roman"/>
          <w:color w:val="000000"/>
          <w:sz w:val="32"/>
          <w:szCs w:val="32"/>
          <w:lang w:eastAsia="zh-CN"/>
        </w:rPr>
        <w:t>产业帮扶持续发力。</w:t>
      </w:r>
      <w:r>
        <w:rPr>
          <w:rFonts w:hint="default" w:ascii="Times New Roman" w:hAnsi="Times New Roman" w:eastAsia="仿宋_GB2312" w:cs="Times New Roman"/>
          <w:color w:val="000000"/>
          <w:sz w:val="32"/>
          <w:szCs w:val="32"/>
          <w:lang w:val="en-US" w:eastAsia="zh-CN"/>
        </w:rPr>
        <w:t>指导华升雪松、博豪农牧等10家经营主体申报贷款贴息项目，获贴息资金54.26万元，为华亿、东方四季、苗妹子等企业落实相关惠企政策，兑现项目资金420余万，有效缓解企业经营压力。食品安全管理体系持续改进。今年共5个产品获得了绿色食品认证。认真落实省农产品</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身份证</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管理工作要求，全区共有24家企业已经入驻国家农产品质量安全溯源管理系统</w:t>
      </w:r>
      <w:r>
        <w:rPr>
          <w:rFonts w:hint="eastAsia" w:ascii="Times New Roman" w:hAnsi="Times New Roman" w:eastAsia="仿宋_GB2312" w:cs="Times New Roman"/>
          <w:color w:val="000000"/>
          <w:sz w:val="32"/>
          <w:szCs w:val="32"/>
          <w:lang w:val="en-US" w:eastAsia="zh-CN"/>
        </w:rPr>
        <w:t>等</w:t>
      </w:r>
      <w:r>
        <w:rPr>
          <w:rFonts w:hint="default" w:ascii="Times New Roman" w:hAnsi="Times New Roman" w:eastAsia="仿宋_GB2312" w:cs="Times New Roman"/>
          <w:color w:val="000000"/>
          <w:sz w:val="32"/>
          <w:szCs w:val="32"/>
          <w:lang w:val="en-US" w:eastAsia="zh-CN"/>
        </w:rPr>
        <w:t>平台。</w:t>
      </w:r>
    </w:p>
    <w:p w14:paraId="28BEFA2E">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着力推进农村人居环境整治。农业面源污染治理方面。指导120多家养殖场配套建设防污设施，我区粪污资源化综合利用率达到95%。加强农作物秸秆回收利用技术指导，防止秸秆焚烧，秸秆回收利用率达到87%。农村改厕方面。今年6月以来，按照省、市关于开展农村户厕问题摸排整改再</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回头看</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工作要求，我区对白关镇、3个涉农街道2013年以来政府组织实施改造的5416个农村厕所进行摸排，举办专题培训8次，现已摸排问题厕所3585个，</w:t>
      </w:r>
      <w:r>
        <w:rPr>
          <w:rFonts w:hint="eastAsia" w:ascii="Times New Roman" w:hAnsi="Times New Roman" w:eastAsia="仿宋_GB2312" w:cs="Times New Roman"/>
          <w:color w:val="000000"/>
          <w:sz w:val="32"/>
          <w:szCs w:val="32"/>
          <w:lang w:val="en-US" w:eastAsia="zh-CN"/>
        </w:rPr>
        <w:t>目前已</w:t>
      </w:r>
      <w:r>
        <w:rPr>
          <w:rFonts w:hint="default" w:ascii="Times New Roman" w:hAnsi="Times New Roman" w:eastAsia="仿宋_GB2312" w:cs="Times New Roman"/>
          <w:color w:val="000000"/>
          <w:sz w:val="32"/>
          <w:szCs w:val="32"/>
          <w:lang w:val="en-US" w:eastAsia="zh-CN"/>
        </w:rPr>
        <w:t>全部整改完成。</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四好农村路</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发展方面。</w:t>
      </w:r>
      <w:r>
        <w:rPr>
          <w:rFonts w:hint="default" w:ascii="Times New Roman" w:hAnsi="Times New Roman" w:eastAsia="仿宋_GB2312" w:cs="Times New Roman"/>
          <w:color w:val="000000"/>
          <w:sz w:val="32"/>
          <w:szCs w:val="32"/>
        </w:rPr>
        <w:t>推进农村道路</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通村达组</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建设，51条25户以及100人以上的自然村全部实现通水泥路。加强农村公路桥梁隐患排查，完成白关镇五类危桥改造。</w:t>
      </w:r>
    </w:p>
    <w:p w14:paraId="6EEDC77A">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着力壮大村级集体经济。指导白关镇在</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一县一特</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产业发展规划下，统筹项目资金流转村内荒地，村经济合作社覆盖32个行政村和3个涉农社区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指导创办1个省级示范农民专业合作社、1个市级示范农民专业合作社。村集体经济持续增长，今年经营性部收入预计年底达1121.8万元（去年1074.2万元），</w:t>
      </w:r>
      <w:r>
        <w:rPr>
          <w:rFonts w:hint="eastAsia" w:ascii="Times New Roman" w:hAnsi="Times New Roman" w:eastAsia="仿宋_GB2312" w:cs="Times New Roman"/>
          <w:color w:val="000000"/>
          <w:sz w:val="32"/>
          <w:szCs w:val="32"/>
          <w:lang w:val="en-US" w:eastAsia="zh-CN"/>
        </w:rPr>
        <w:t>增长</w:t>
      </w:r>
      <w:r>
        <w:rPr>
          <w:rFonts w:hint="default" w:ascii="Times New Roman" w:hAnsi="Times New Roman" w:eastAsia="仿宋_GB2312" w:cs="Times New Roman"/>
          <w:color w:val="000000"/>
          <w:sz w:val="32"/>
          <w:szCs w:val="32"/>
          <w:lang w:val="en-US" w:eastAsia="zh-CN"/>
        </w:rPr>
        <w:t>4.4%。成功申报经济社获中央财政扶持集体经济发展项目，宋家湾村、蚕梅村各获50万元。</w:t>
      </w:r>
    </w:p>
    <w:p w14:paraId="39425ECD">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（二）项目支出绩效情况</w:t>
      </w:r>
    </w:p>
    <w:p w14:paraId="56CCDC0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lang w:val="en-US" w:eastAsia="zh-CN" w:bidi="ar-SA"/>
        </w:rPr>
        <w:t>1.农业保险保费补贴</w:t>
      </w:r>
      <w:r>
        <w:rPr>
          <w:rFonts w:hint="eastAsia" w:ascii="Times New Roman" w:hAnsi="Times New Roman" w:eastAsia="仿宋_GB2312" w:cs="Times New Roman"/>
          <w:color w:val="000000"/>
          <w:kern w:val="2"/>
          <w:sz w:val="32"/>
          <w:szCs w:val="32"/>
          <w:highlight w:val="none"/>
          <w:lang w:val="en-US" w:eastAsia="zh-CN" w:bidi="ar-SA"/>
        </w:rPr>
        <w:t>项目年初预算289.98万元，年中执行调减102.25万元，实际支出187.73万元，结转结余0万元。该项目支出情况如下：特色农业保险保费补贴58.01万元；育肥猪、能繁母保险保费补贴100.19万元；水稻巨灾保险保费补贴29.53万元。项目帮助种植、养殖户分散风险，提高农业生产抗自然灾害能力，促进种养业持续健康稳定发展。</w:t>
      </w:r>
    </w:p>
    <w:p w14:paraId="7156BCE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小型农田水利项目年初预算200万元，年中执行调减155.59万元，实际支出44.41万元，结转结余0万元。该项目资金用于辖区内破损山塘、疏通堵塞水渠、新建取水等小型农田水利工程款，保障了耕地农业用水及粮食安全。</w:t>
      </w:r>
    </w:p>
    <w:p w14:paraId="1D66393A">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3.机耕道</w:t>
      </w:r>
      <w:r>
        <w:rPr>
          <w:rFonts w:hint="eastAsia" w:ascii="Times New Roman" w:hAnsi="Times New Roman" w:eastAsia="仿宋_GB2312" w:cs="Times New Roman"/>
          <w:color w:val="000000"/>
          <w:sz w:val="32"/>
          <w:szCs w:val="32"/>
          <w:highlight w:val="none"/>
        </w:rPr>
        <w:t>项目</w:t>
      </w:r>
      <w:r>
        <w:rPr>
          <w:rFonts w:hint="eastAsia" w:ascii="Times New Roman" w:hAnsi="Times New Roman" w:eastAsia="仿宋_GB2312" w:cs="Times New Roman"/>
          <w:color w:val="000000"/>
          <w:kern w:val="2"/>
          <w:sz w:val="32"/>
          <w:szCs w:val="32"/>
          <w:highlight w:val="none"/>
          <w:lang w:val="en-US" w:eastAsia="zh-CN" w:bidi="ar-SA"/>
        </w:rPr>
        <w:t>年初预算15万元，年中执行调增5.5万元，实际</w:t>
      </w:r>
      <w:r>
        <w:rPr>
          <w:rFonts w:hint="eastAsia" w:ascii="Times New Roman" w:hAnsi="Times New Roman" w:eastAsia="仿宋_GB2312" w:cs="Times New Roman"/>
          <w:color w:val="000000"/>
          <w:sz w:val="32"/>
          <w:szCs w:val="32"/>
          <w:highlight w:val="none"/>
        </w:rPr>
        <w:t>支出</w:t>
      </w:r>
      <w:r>
        <w:rPr>
          <w:rFonts w:hint="eastAsia" w:ascii="Times New Roman" w:hAnsi="Times New Roman" w:eastAsia="仿宋_GB2312" w:cs="Times New Roman"/>
          <w:color w:val="000000"/>
          <w:sz w:val="32"/>
          <w:szCs w:val="32"/>
          <w:highlight w:val="none"/>
          <w:lang w:val="en-US" w:eastAsia="zh-CN"/>
        </w:rPr>
        <w:t>20.5</w:t>
      </w:r>
      <w:r>
        <w:rPr>
          <w:rFonts w:hint="eastAsia"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kern w:val="2"/>
          <w:sz w:val="32"/>
          <w:szCs w:val="32"/>
          <w:highlight w:val="none"/>
          <w:lang w:val="en-US" w:eastAsia="zh-CN" w:bidi="ar-SA"/>
        </w:rPr>
        <w:t>结转结余0万元。该项目资金</w:t>
      </w:r>
      <w:r>
        <w:rPr>
          <w:rFonts w:hint="eastAsia" w:ascii="Times New Roman" w:hAnsi="Times New Roman" w:eastAsia="仿宋_GB2312" w:cs="Times New Roman"/>
          <w:color w:val="000000"/>
          <w:sz w:val="32"/>
          <w:szCs w:val="32"/>
          <w:highlight w:val="none"/>
          <w:lang w:eastAsia="zh-CN"/>
        </w:rPr>
        <w:t>用于农村机耕道建设、维修及奖补，方便农业机械通往田间。</w:t>
      </w:r>
    </w:p>
    <w:p w14:paraId="5A17ECAB">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4.畜牧水产项目</w:t>
      </w:r>
      <w:r>
        <w:rPr>
          <w:rFonts w:hint="eastAsia" w:ascii="Times New Roman" w:hAnsi="Times New Roman" w:eastAsia="仿宋_GB2312" w:cs="Times New Roman"/>
          <w:color w:val="000000"/>
          <w:kern w:val="2"/>
          <w:sz w:val="32"/>
          <w:szCs w:val="32"/>
          <w:highlight w:val="none"/>
          <w:lang w:val="en-US" w:eastAsia="zh-CN" w:bidi="ar-SA"/>
        </w:rPr>
        <w:t>年初预算323.8万元，年中执行调减14.62万元，实际</w:t>
      </w:r>
      <w:r>
        <w:rPr>
          <w:rFonts w:hint="eastAsia" w:ascii="Times New Roman" w:hAnsi="Times New Roman" w:eastAsia="仿宋_GB2312" w:cs="Times New Roman"/>
          <w:color w:val="000000"/>
          <w:sz w:val="32"/>
          <w:szCs w:val="32"/>
          <w:highlight w:val="none"/>
          <w:lang w:val="en-US" w:eastAsia="zh-CN"/>
        </w:rPr>
        <w:t>支出309.18万元，</w:t>
      </w:r>
      <w:r>
        <w:rPr>
          <w:rFonts w:hint="eastAsia" w:ascii="Times New Roman" w:hAnsi="Times New Roman" w:eastAsia="仿宋_GB2312" w:cs="Times New Roman"/>
          <w:color w:val="000000"/>
          <w:kern w:val="2"/>
          <w:sz w:val="32"/>
          <w:szCs w:val="32"/>
          <w:highlight w:val="none"/>
          <w:lang w:val="en-US" w:eastAsia="zh-CN" w:bidi="ar-SA"/>
        </w:rPr>
        <w:t>结转结余0万元。该项目资金</w:t>
      </w:r>
      <w:r>
        <w:rPr>
          <w:rFonts w:hint="eastAsia" w:ascii="Times New Roman" w:hAnsi="Times New Roman" w:eastAsia="仿宋_GB2312" w:cs="Times New Roman"/>
          <w:color w:val="000000"/>
          <w:sz w:val="32"/>
          <w:szCs w:val="32"/>
          <w:highlight w:val="none"/>
          <w:lang w:val="en-US" w:eastAsia="zh-CN"/>
        </w:rPr>
        <w:t>付动物防疫药品、防护品款19.88万元；病死畜禽无害化处理补助101.3万元；水产养殖种植资源普查技术服务10万元；畜禽生产性能测定资金175万元；动物防疫补助3万元。开展较大规模养殖场粪污物资源化利用设施改造建设，指导120多家养殖场配套建设防污设施，我区粪污资源化综合利用率达到95%。通过实施病死畜禽无害化处理，全区病死畜禽无害化集中处理率达100%，减少环节污染，防止疫病传播。开展非洲猪瘟、重大动物疫病防控措施，减少了养殖户生猪死亡的风险，养殖户的收入增加。</w:t>
      </w:r>
    </w:p>
    <w:p w14:paraId="391E5B02">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5.</w:t>
      </w:r>
      <w:r>
        <w:rPr>
          <w:rFonts w:hint="eastAsia" w:ascii="Times New Roman" w:hAnsi="Times New Roman" w:eastAsia="仿宋_GB2312" w:cs="Times New Roman"/>
          <w:color w:val="000000"/>
          <w:sz w:val="32"/>
          <w:szCs w:val="32"/>
          <w:highlight w:val="none"/>
          <w:lang w:eastAsia="zh-CN"/>
        </w:rPr>
        <w:t>乡村振兴项目</w:t>
      </w:r>
      <w:r>
        <w:rPr>
          <w:rFonts w:hint="eastAsia" w:ascii="Times New Roman" w:hAnsi="Times New Roman" w:eastAsia="仿宋_GB2312" w:cs="Times New Roman"/>
          <w:color w:val="000000"/>
          <w:kern w:val="2"/>
          <w:sz w:val="32"/>
          <w:szCs w:val="32"/>
          <w:highlight w:val="none"/>
          <w:lang w:val="en-US" w:eastAsia="zh-CN" w:bidi="ar-SA"/>
        </w:rPr>
        <w:t>年初预算545.37万元，年中执行调增1475.96万元，实际</w:t>
      </w:r>
      <w:r>
        <w:rPr>
          <w:rFonts w:hint="eastAsia" w:ascii="Times New Roman" w:hAnsi="Times New Roman" w:eastAsia="仿宋_GB2312" w:cs="Times New Roman"/>
          <w:color w:val="000000"/>
          <w:sz w:val="32"/>
          <w:szCs w:val="32"/>
          <w:highlight w:val="none"/>
        </w:rPr>
        <w:t>支出</w:t>
      </w:r>
      <w:r>
        <w:rPr>
          <w:rFonts w:hint="eastAsia" w:ascii="Times New Roman" w:hAnsi="Times New Roman" w:eastAsia="仿宋_GB2312" w:cs="Times New Roman"/>
          <w:color w:val="000000"/>
          <w:sz w:val="32"/>
          <w:szCs w:val="32"/>
          <w:highlight w:val="none"/>
          <w:lang w:val="en-US" w:eastAsia="zh-CN"/>
        </w:rPr>
        <w:t>2021.33</w:t>
      </w:r>
      <w:r>
        <w:rPr>
          <w:rFonts w:hint="eastAsia"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kern w:val="2"/>
          <w:sz w:val="32"/>
          <w:szCs w:val="32"/>
          <w:highlight w:val="none"/>
          <w:lang w:val="en-US" w:eastAsia="zh-CN" w:bidi="ar-SA"/>
        </w:rPr>
        <w:t>结转结余0万元。该项目支出情况如下：</w:t>
      </w:r>
      <w:r>
        <w:rPr>
          <w:rFonts w:hint="eastAsia" w:ascii="Times New Roman" w:hAnsi="Times New Roman" w:eastAsia="仿宋_GB2312" w:cs="Times New Roman"/>
          <w:color w:val="000000"/>
          <w:sz w:val="32"/>
          <w:szCs w:val="32"/>
          <w:highlight w:val="none"/>
          <w:lang w:eastAsia="zh-CN"/>
        </w:rPr>
        <w:t>支付乡村振兴基础设施建设</w:t>
      </w:r>
      <w:r>
        <w:rPr>
          <w:rFonts w:hint="eastAsia" w:ascii="Times New Roman" w:hAnsi="Times New Roman" w:eastAsia="仿宋_GB2312" w:cs="Times New Roman"/>
          <w:color w:val="000000"/>
          <w:sz w:val="32"/>
          <w:szCs w:val="32"/>
          <w:highlight w:val="none"/>
          <w:lang w:val="en-US" w:eastAsia="zh-CN"/>
        </w:rPr>
        <w:t>2万元</w:t>
      </w:r>
      <w:r>
        <w:rPr>
          <w:rFonts w:hint="eastAsia" w:ascii="Times New Roman" w:hAnsi="Times New Roman" w:eastAsia="仿宋_GB2312" w:cs="Times New Roman"/>
          <w:color w:val="000000"/>
          <w:sz w:val="32"/>
          <w:szCs w:val="32"/>
          <w:highlight w:val="none"/>
          <w:lang w:eastAsia="zh-CN"/>
        </w:rPr>
        <w:t>、对口帮助泸溪县援</w:t>
      </w:r>
      <w:r>
        <w:rPr>
          <w:rFonts w:hint="eastAsia" w:ascii="Times New Roman" w:hAnsi="Times New Roman" w:eastAsia="仿宋_GB2312" w:cs="Times New Roman"/>
          <w:color w:val="auto"/>
          <w:sz w:val="32"/>
          <w:szCs w:val="32"/>
          <w:highlight w:val="none"/>
          <w:lang w:eastAsia="zh-CN"/>
        </w:rPr>
        <w:t>助资金</w:t>
      </w:r>
      <w:r>
        <w:rPr>
          <w:rFonts w:hint="eastAsia" w:ascii="Times New Roman" w:hAnsi="Times New Roman" w:eastAsia="仿宋_GB2312" w:cs="Times New Roman"/>
          <w:color w:val="auto"/>
          <w:sz w:val="32"/>
          <w:szCs w:val="32"/>
          <w:highlight w:val="none"/>
          <w:lang w:val="en-US" w:eastAsia="zh-CN"/>
        </w:rPr>
        <w:t>80万元</w:t>
      </w:r>
      <w:r>
        <w:rPr>
          <w:rFonts w:hint="eastAsia" w:ascii="Times New Roman" w:hAnsi="Times New Roman" w:eastAsia="仿宋_GB2312" w:cs="Times New Roman"/>
          <w:color w:val="auto"/>
          <w:sz w:val="32"/>
          <w:szCs w:val="32"/>
          <w:highlight w:val="none"/>
          <w:lang w:eastAsia="zh-CN"/>
        </w:rPr>
        <w:t>、幸福屋场建设资金</w:t>
      </w:r>
      <w:r>
        <w:rPr>
          <w:rFonts w:hint="eastAsia" w:ascii="Times New Roman" w:hAnsi="Times New Roman" w:eastAsia="仿宋_GB2312" w:cs="Times New Roman"/>
          <w:color w:val="auto"/>
          <w:sz w:val="32"/>
          <w:szCs w:val="32"/>
          <w:highlight w:val="none"/>
          <w:lang w:val="en-US" w:eastAsia="zh-CN"/>
        </w:rPr>
        <w:t>80万元</w:t>
      </w:r>
      <w:r>
        <w:rPr>
          <w:rFonts w:hint="eastAsia" w:ascii="Times New Roman" w:hAnsi="Times New Roman" w:eastAsia="仿宋_GB2312" w:cs="Times New Roman"/>
          <w:color w:val="auto"/>
          <w:sz w:val="32"/>
          <w:szCs w:val="32"/>
          <w:highlight w:val="none"/>
          <w:lang w:eastAsia="zh-CN"/>
        </w:rPr>
        <w:t>、雨露计划教育补助</w:t>
      </w:r>
      <w:r>
        <w:rPr>
          <w:rFonts w:hint="eastAsia" w:ascii="Times New Roman" w:hAnsi="Times New Roman" w:eastAsia="仿宋_GB2312" w:cs="Times New Roman"/>
          <w:color w:val="auto"/>
          <w:sz w:val="32"/>
          <w:szCs w:val="32"/>
          <w:highlight w:val="none"/>
          <w:lang w:val="en-US" w:eastAsia="zh-CN"/>
        </w:rPr>
        <w:t>0.9万元</w:t>
      </w:r>
      <w:r>
        <w:rPr>
          <w:rFonts w:hint="eastAsia" w:ascii="Times New Roman" w:hAnsi="Times New Roman" w:eastAsia="仿宋_GB2312" w:cs="Times New Roman"/>
          <w:color w:val="auto"/>
          <w:sz w:val="32"/>
          <w:szCs w:val="32"/>
          <w:highlight w:val="none"/>
          <w:lang w:eastAsia="zh-CN"/>
        </w:rPr>
        <w:t>，用于支付农村户厕改（新）建化粪池款及相关的奖补资金</w:t>
      </w:r>
      <w:r>
        <w:rPr>
          <w:rFonts w:hint="eastAsia" w:ascii="Times New Roman" w:hAnsi="Times New Roman" w:eastAsia="仿宋_GB2312" w:cs="Times New Roman"/>
          <w:color w:val="auto"/>
          <w:sz w:val="32"/>
          <w:szCs w:val="32"/>
          <w:highlight w:val="none"/>
          <w:lang w:val="en-US" w:eastAsia="zh-CN"/>
        </w:rPr>
        <w:t>113.97万元，</w:t>
      </w:r>
      <w:r>
        <w:rPr>
          <w:rFonts w:hint="eastAsia" w:ascii="Times New Roman" w:hAnsi="Times New Roman" w:eastAsia="仿宋_GB2312" w:cs="Times New Roman"/>
          <w:color w:val="auto"/>
          <w:sz w:val="32"/>
          <w:szCs w:val="32"/>
          <w:highlight w:val="none"/>
          <w:lang w:eastAsia="zh-CN"/>
        </w:rPr>
        <w:t>支付示范片建设的奖补资金</w:t>
      </w:r>
      <w:r>
        <w:rPr>
          <w:rFonts w:hint="eastAsia" w:ascii="Times New Roman" w:hAnsi="Times New Roman" w:eastAsia="仿宋_GB2312" w:cs="Times New Roman"/>
          <w:color w:val="auto"/>
          <w:sz w:val="32"/>
          <w:szCs w:val="32"/>
          <w:highlight w:val="none"/>
          <w:lang w:val="en-US" w:eastAsia="zh-CN"/>
        </w:rPr>
        <w:t>260万元，</w:t>
      </w:r>
      <w:r>
        <w:rPr>
          <w:rFonts w:hint="eastAsia" w:ascii="Times New Roman" w:hAnsi="Times New Roman" w:eastAsia="仿宋_GB2312" w:cs="Times New Roman"/>
          <w:color w:val="auto"/>
          <w:sz w:val="32"/>
          <w:szCs w:val="32"/>
          <w:highlight w:val="none"/>
          <w:lang w:eastAsia="zh-CN"/>
        </w:rPr>
        <w:t>农村政策与改革支出</w:t>
      </w:r>
      <w:r>
        <w:rPr>
          <w:rFonts w:hint="eastAsia" w:ascii="Times New Roman" w:hAnsi="Times New Roman" w:eastAsia="仿宋_GB2312" w:cs="Times New Roman"/>
          <w:color w:val="auto"/>
          <w:sz w:val="32"/>
          <w:szCs w:val="32"/>
          <w:highlight w:val="none"/>
          <w:lang w:val="en-US" w:eastAsia="zh-CN"/>
        </w:rPr>
        <w:t>38.6万元，品牌宣传支出15万元，</w:t>
      </w:r>
      <w:r>
        <w:rPr>
          <w:rFonts w:hint="eastAsia" w:ascii="Times New Roman" w:hAnsi="Times New Roman" w:eastAsia="仿宋_GB2312" w:cs="Times New Roman"/>
          <w:color w:val="auto"/>
          <w:sz w:val="32"/>
          <w:szCs w:val="32"/>
          <w:highlight w:val="none"/>
          <w:lang w:eastAsia="zh-CN"/>
        </w:rPr>
        <w:t>农业产业化方面支出</w:t>
      </w:r>
      <w:r>
        <w:rPr>
          <w:rFonts w:hint="eastAsia" w:ascii="Times New Roman" w:hAnsi="Times New Roman" w:eastAsia="仿宋_GB2312" w:cs="Times New Roman"/>
          <w:color w:val="auto"/>
          <w:sz w:val="32"/>
          <w:szCs w:val="32"/>
          <w:highlight w:val="none"/>
          <w:lang w:val="en-US" w:eastAsia="zh-CN"/>
        </w:rPr>
        <w:t>165.91</w:t>
      </w:r>
      <w:r>
        <w:rPr>
          <w:rFonts w:hint="eastAsia" w:ascii="Times New Roman" w:hAnsi="Times New Roman" w:eastAsia="仿宋_GB2312" w:cs="Times New Roman"/>
          <w:color w:val="auto"/>
          <w:sz w:val="32"/>
          <w:szCs w:val="32"/>
          <w:highlight w:val="none"/>
          <w:lang w:eastAsia="zh-CN"/>
        </w:rPr>
        <w:t>万元，支付退铺渔民社保补贴及宣传制作费</w:t>
      </w:r>
      <w:r>
        <w:rPr>
          <w:rFonts w:hint="eastAsia" w:ascii="Times New Roman" w:hAnsi="Times New Roman" w:eastAsia="仿宋_GB2312" w:cs="Times New Roman"/>
          <w:color w:val="auto"/>
          <w:sz w:val="32"/>
          <w:szCs w:val="32"/>
          <w:highlight w:val="none"/>
          <w:lang w:val="en-US" w:eastAsia="zh-CN"/>
        </w:rPr>
        <w:t>8.69万元，</w:t>
      </w:r>
      <w:r>
        <w:rPr>
          <w:rFonts w:hint="eastAsia" w:ascii="Times New Roman" w:hAnsi="Times New Roman" w:eastAsia="仿宋_GB2312" w:cs="Times New Roman"/>
          <w:color w:val="auto"/>
          <w:sz w:val="32"/>
          <w:szCs w:val="32"/>
          <w:highlight w:val="none"/>
          <w:lang w:eastAsia="zh-CN"/>
        </w:rPr>
        <w:t>用于支付农发基金股权回购、乡镇工作临时性补贴、会计咨询服务费</w:t>
      </w:r>
      <w:r>
        <w:rPr>
          <w:rFonts w:hint="eastAsia" w:ascii="Times New Roman" w:hAnsi="Times New Roman" w:eastAsia="仿宋_GB2312" w:cs="Times New Roman"/>
          <w:color w:val="auto"/>
          <w:sz w:val="32"/>
          <w:szCs w:val="32"/>
          <w:highlight w:val="none"/>
          <w:lang w:val="en-US" w:eastAsia="zh-CN"/>
        </w:rPr>
        <w:t>1049.75</w:t>
      </w:r>
      <w:r>
        <w:rPr>
          <w:rFonts w:hint="eastAsia" w:ascii="Times New Roman" w:hAnsi="Times New Roman" w:eastAsia="仿宋_GB2312" w:cs="Times New Roman"/>
          <w:color w:val="auto"/>
          <w:sz w:val="32"/>
          <w:szCs w:val="32"/>
          <w:highlight w:val="none"/>
          <w:lang w:eastAsia="zh-CN"/>
        </w:rPr>
        <w:t>万元，农产品质量安全支出</w:t>
      </w:r>
      <w:r>
        <w:rPr>
          <w:rFonts w:hint="eastAsia" w:ascii="Times New Roman" w:hAnsi="Times New Roman" w:eastAsia="仿宋_GB2312" w:cs="Times New Roman"/>
          <w:color w:val="auto"/>
          <w:sz w:val="32"/>
          <w:szCs w:val="32"/>
          <w:highlight w:val="none"/>
          <w:lang w:val="en-US" w:eastAsia="zh-CN"/>
        </w:rPr>
        <w:t>2.56万元，支付公益性岗位人员补贴及社保缴费14.48万元等，该项目</w:t>
      </w:r>
      <w:r>
        <w:rPr>
          <w:rFonts w:hint="eastAsia" w:ascii="Times New Roman" w:hAnsi="Times New Roman" w:eastAsia="仿宋_GB2312" w:cs="Times New Roman"/>
          <w:color w:val="auto"/>
          <w:sz w:val="32"/>
          <w:szCs w:val="32"/>
          <w:highlight w:val="none"/>
          <w:lang w:eastAsia="zh-CN"/>
        </w:rPr>
        <w:t>高质量完成了农村户用厕所新建或改造，逐步提升农村厕所粪污无害化处理率，建立管护长效机制，农村人居环境得到有效改善；巩固了农村基本经营制度，化解了农村土地承包纠纷，维护了农民合法权益，促进了农村经济发展和社会稳定；</w:t>
      </w:r>
      <w:r>
        <w:rPr>
          <w:rFonts w:hint="default" w:ascii="Times New Roman" w:hAnsi="Times New Roman" w:eastAsia="仿宋_GB2312" w:cs="Times New Roman"/>
          <w:color w:val="auto"/>
          <w:sz w:val="32"/>
          <w:szCs w:val="32"/>
          <w:highlight w:val="none"/>
          <w:lang w:val="en-US" w:eastAsia="zh-CN"/>
        </w:rPr>
        <w:t>有效缓解企业经营压力</w:t>
      </w:r>
      <w:r>
        <w:rPr>
          <w:rFonts w:hint="eastAsia" w:ascii="Times New Roman" w:hAnsi="Times New Roman" w:eastAsia="仿宋_GB2312" w:cs="Times New Roman"/>
          <w:color w:val="auto"/>
          <w:sz w:val="32"/>
          <w:szCs w:val="32"/>
          <w:highlight w:val="none"/>
          <w:lang w:val="en-US" w:eastAsia="zh-CN"/>
        </w:rPr>
        <w:t>；确保了农产品质量安全；巩固拓展脱贫攻坚成果，加强返贫监测与帮扶，促进了脱贫群众持续增加；打造农业优势特色产业链，主导优势特色产业集群发展。</w:t>
      </w:r>
    </w:p>
    <w:p w14:paraId="2A26A95D">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农业生产</w:t>
      </w:r>
      <w:r>
        <w:rPr>
          <w:rFonts w:hint="eastAsia"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000000"/>
          <w:kern w:val="2"/>
          <w:sz w:val="32"/>
          <w:szCs w:val="32"/>
          <w:highlight w:val="none"/>
          <w:lang w:val="en-US" w:eastAsia="zh-CN" w:bidi="ar-SA"/>
        </w:rPr>
        <w:t>年初预算910万元，年中执行调减212.26万元，实际</w:t>
      </w:r>
      <w:r>
        <w:rPr>
          <w:rFonts w:hint="eastAsia" w:ascii="Times New Roman" w:hAnsi="Times New Roman" w:eastAsia="仿宋_GB2312" w:cs="Times New Roman"/>
          <w:color w:val="auto"/>
          <w:sz w:val="32"/>
          <w:szCs w:val="32"/>
          <w:highlight w:val="none"/>
        </w:rPr>
        <w:t>支出</w:t>
      </w:r>
      <w:r>
        <w:rPr>
          <w:rFonts w:hint="eastAsia" w:ascii="Times New Roman" w:hAnsi="Times New Roman" w:eastAsia="仿宋_GB2312" w:cs="Times New Roman"/>
          <w:color w:val="auto"/>
          <w:sz w:val="32"/>
          <w:szCs w:val="32"/>
          <w:highlight w:val="none"/>
          <w:lang w:val="en-US" w:eastAsia="zh-CN"/>
        </w:rPr>
        <w:t>697.73</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000000"/>
          <w:kern w:val="2"/>
          <w:sz w:val="32"/>
          <w:szCs w:val="32"/>
          <w:highlight w:val="none"/>
          <w:lang w:val="en-US" w:eastAsia="zh-CN" w:bidi="ar-SA"/>
        </w:rPr>
        <w:t>结转结余0万元。该项目资金</w:t>
      </w:r>
      <w:r>
        <w:rPr>
          <w:rFonts w:hint="eastAsia" w:ascii="Times New Roman" w:hAnsi="Times New Roman" w:eastAsia="仿宋_GB2312" w:cs="Times New Roman"/>
          <w:color w:val="auto"/>
          <w:sz w:val="32"/>
          <w:szCs w:val="32"/>
          <w:highlight w:val="none"/>
          <w:lang w:eastAsia="zh-CN"/>
        </w:rPr>
        <w:t>用于受污染安全利用建设奖补、抗旱救灾保秋粮一喷多促资金、早稻再生稻集中育秧补贴、“两抢一保”烘干补贴、耕地地力保</w:t>
      </w:r>
      <w:r>
        <w:rPr>
          <w:rFonts w:hint="eastAsia" w:ascii="Times New Roman" w:hAnsi="Times New Roman" w:eastAsia="仿宋_GB2312" w:cs="Times New Roman"/>
          <w:color w:val="auto"/>
          <w:sz w:val="32"/>
          <w:szCs w:val="32"/>
          <w:lang w:eastAsia="zh-CN"/>
        </w:rPr>
        <w:t>护补贴、粮食生产奖补等，全年</w:t>
      </w:r>
      <w:r>
        <w:rPr>
          <w:rFonts w:hint="default" w:ascii="Times New Roman" w:hAnsi="Times New Roman" w:eastAsia="仿宋_GB2312" w:cs="Times New Roman"/>
          <w:color w:val="auto"/>
          <w:sz w:val="32"/>
          <w:szCs w:val="32"/>
          <w:lang w:val="en-US" w:eastAsia="zh-CN"/>
        </w:rPr>
        <w:t>完成粮食播种面积5.021万亩，比去年增加0.151万亩，预计产量2.266万吨，比去年增加0.156万吨；经作种植面积6.38万亩</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提高水稻生产抵抗自然灾害能力</w:t>
      </w:r>
      <w:r>
        <w:rPr>
          <w:rFonts w:hint="eastAsia" w:ascii="Times New Roman" w:hAnsi="Times New Roman" w:eastAsia="仿宋_GB2312" w:cs="Times New Roman"/>
          <w:color w:val="auto"/>
          <w:sz w:val="32"/>
          <w:szCs w:val="32"/>
          <w:lang w:val="en-US" w:eastAsia="zh-CN"/>
        </w:rPr>
        <w:t>，受污染耕地安全利用率91%以上。</w:t>
      </w:r>
    </w:p>
    <w:p w14:paraId="21191A65">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七、存在的问题及原因分析</w:t>
      </w:r>
    </w:p>
    <w:p w14:paraId="6ABA3AD6">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auto"/>
          <w:sz w:val="32"/>
          <w:szCs w:val="32"/>
        </w:rPr>
        <w:t>2023年本单位较好地完成了各项收入支出预算，保证了单位各项工作的顺利开展，但在部门整体支出的资金安排和使用上仍有不可预见性，在经费支出科学化、精细化管理上有待加强。</w:t>
      </w:r>
    </w:p>
    <w:p w14:paraId="3F1A6C47">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ascii="Times New Roman" w:hAnsi="Times New Roman" w:eastAsia="楷体_GB2312" w:cs="Times New Roman"/>
          <w:color w:val="000000"/>
          <w:sz w:val="32"/>
          <w:szCs w:val="32"/>
        </w:rPr>
      </w:pPr>
      <w:r>
        <w:rPr>
          <w:rFonts w:hint="eastAsia" w:ascii="Times New Roman" w:hAnsi="Times New Roman" w:eastAsia="黑体" w:cs="Times New Roman"/>
          <w:color w:val="000000"/>
          <w:sz w:val="32"/>
          <w:szCs w:val="32"/>
        </w:rPr>
        <w:t>八、下一步改进措施</w:t>
      </w:r>
    </w:p>
    <w:p w14:paraId="192C7B65">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一是单位要进一步提高预算绩效管理认识，强化以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绩效为中心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的理念；二是加强学习培训，提高绩效评价水平，在绩效目标编制方面，细化量化绩效目标的同时根据目标的重要性合理设置绩效目标权重，提高绩效评价结果质量；三是加强预算绩效动态监控管理，及时跟踪进度，对实施中存在的具体问题采取纠偏措施。</w:t>
      </w:r>
    </w:p>
    <w:p w14:paraId="579DB677">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hint="eastAsia" w:ascii="Times New Roman" w:hAnsi="Times New Roman" w:eastAsia="楷体_GB2312" w:cs="Times New Roman"/>
          <w:color w:val="000000"/>
          <w:sz w:val="32"/>
          <w:szCs w:val="32"/>
        </w:rPr>
      </w:pPr>
      <w:r>
        <w:rPr>
          <w:rFonts w:hint="eastAsia" w:ascii="Times New Roman" w:hAnsi="Times New Roman" w:eastAsia="黑体" w:cs="Times New Roman"/>
          <w:color w:val="000000"/>
          <w:sz w:val="32"/>
          <w:szCs w:val="32"/>
        </w:rPr>
        <w:t>九、绩效自评结果拟应用和公开情况</w:t>
      </w:r>
    </w:p>
    <w:p w14:paraId="5B689702">
      <w:pPr>
        <w:keepNext w:val="0"/>
        <w:keepLines w:val="0"/>
        <w:pageBreakBefore w:val="0"/>
        <w:widowControl w:val="0"/>
        <w:tabs>
          <w:tab w:val="left" w:pos="695"/>
        </w:tabs>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本单位组织对202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年部门整体支出开展了绩效自评，202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年绩效目标得到较好实现，绩效管理水平不断提高，各项工作高效有序推进。在今后工作中：1.建立健全项目管理相关制度，加强项目绩效管理。项目实施单位建立健全预算、政府采购等业务的内部控制制度，合理设置内部管理机构和岗位，明确职责权限，明确业务各环节的工作流程、时间要求、审批权限等；2.加强绩效指标设置的精确性。项目单位在设置绩效指标时可根据相关政策文件要求，设置的指标需细化量化、合理可行、清晰可衡量，强化绩效目标管理；3.明确部门责任、界定清楚。项目责</w:t>
      </w:r>
      <w:r>
        <w:rPr>
          <w:rFonts w:ascii="Times New Roman" w:hAnsi="Times New Roman" w:eastAsia="仿宋_GB2312" w:cs="Times New Roman"/>
          <w:color w:val="auto"/>
          <w:sz w:val="32"/>
          <w:szCs w:val="32"/>
        </w:rPr>
        <w:t>任主体及各参与单位相关责任，对各项职责的标准要求进行明确，将项目流程化</w:t>
      </w:r>
      <w:r>
        <w:rPr>
          <w:rFonts w:hint="eastAsia" w:ascii="Times New Roman" w:hAnsi="Times New Roman" w:eastAsia="仿宋_GB2312" w:cs="Times New Roman"/>
          <w:color w:val="auto"/>
          <w:sz w:val="32"/>
          <w:szCs w:val="32"/>
        </w:rPr>
        <w:t>。部门整体支出绩效自评报告在部门决算公开第五部分中公开。</w:t>
      </w:r>
    </w:p>
    <w:p w14:paraId="7C5EA22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楷体_GB2312" w:cs="Times New Roman"/>
          <w:color w:val="000000"/>
          <w:sz w:val="32"/>
          <w:szCs w:val="32"/>
        </w:rPr>
      </w:pPr>
    </w:p>
    <w:p w14:paraId="637485D5">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42AB82E9">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5F241E7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1600" w:firstLineChars="500"/>
        <w:textAlignment w:val="auto"/>
        <w:rPr>
          <w:rFonts w:hint="eastAsia" w:ascii="Times New Roman" w:hAnsi="Times New Roman" w:eastAsia="楷体_GB2312" w:cs="Times New Roman"/>
          <w:color w:val="000000"/>
          <w:kern w:val="2"/>
          <w:sz w:val="32"/>
          <w:szCs w:val="32"/>
          <w:lang w:val="en-US" w:eastAsia="zh-CN" w:bidi="ar-SA"/>
        </w:rPr>
      </w:pPr>
    </w:p>
    <w:p w14:paraId="106E5644">
      <w:pPr>
        <w:spacing w:line="600" w:lineRule="exact"/>
        <w:rPr>
          <w:rFonts w:ascii="Times New Roman" w:hAnsi="Times New Roman" w:eastAsia="楷体_GB2312" w:cs="Times New Roman"/>
          <w:color w:val="000000"/>
          <w:sz w:val="32"/>
          <w:szCs w:val="32"/>
        </w:rPr>
      </w:pPr>
    </w:p>
    <w:p w14:paraId="0434DCF4">
      <w:pPr>
        <w:spacing w:after="120" w:afterLines="50" w:line="600" w:lineRule="exact"/>
        <w:jc w:val="left"/>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1FD8EA55">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712B12C7">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D6CD2F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8C0B377">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026A3271">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9C86B06">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3A324030">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8903BCF">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07DCA004">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47</w:t>
            </w:r>
          </w:p>
        </w:tc>
        <w:tc>
          <w:tcPr>
            <w:tcW w:w="2240" w:type="dxa"/>
            <w:gridSpan w:val="2"/>
            <w:tcBorders>
              <w:top w:val="single" w:color="auto" w:sz="4" w:space="0"/>
              <w:left w:val="nil"/>
              <w:bottom w:val="single" w:color="auto" w:sz="4" w:space="0"/>
              <w:right w:val="single" w:color="auto" w:sz="4" w:space="0"/>
            </w:tcBorders>
            <w:noWrap w:val="0"/>
            <w:vAlign w:val="center"/>
          </w:tcPr>
          <w:p w14:paraId="54C5FD4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41</w:t>
            </w:r>
          </w:p>
        </w:tc>
        <w:tc>
          <w:tcPr>
            <w:tcW w:w="2041" w:type="dxa"/>
            <w:gridSpan w:val="2"/>
            <w:tcBorders>
              <w:top w:val="single" w:color="auto" w:sz="4" w:space="0"/>
              <w:left w:val="nil"/>
              <w:bottom w:val="single" w:color="auto" w:sz="4" w:space="0"/>
              <w:right w:val="single" w:color="auto" w:sz="4" w:space="0"/>
            </w:tcBorders>
            <w:noWrap w:val="0"/>
            <w:vAlign w:val="center"/>
          </w:tcPr>
          <w:p w14:paraId="08DCA89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highlight w:val="none"/>
                <w:lang w:val="en-US" w:eastAsia="zh-CN"/>
              </w:rPr>
              <w:t>87.23%</w:t>
            </w:r>
          </w:p>
        </w:tc>
      </w:tr>
      <w:tr w14:paraId="3C99D0C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BFEF1A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8749EF3">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429A7A3D">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7DF7D41">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28913E3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4FE240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56D8B8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0.07</w:t>
            </w:r>
          </w:p>
        </w:tc>
        <w:tc>
          <w:tcPr>
            <w:tcW w:w="2240" w:type="dxa"/>
            <w:gridSpan w:val="2"/>
            <w:tcBorders>
              <w:top w:val="single" w:color="auto" w:sz="4" w:space="0"/>
              <w:left w:val="nil"/>
              <w:bottom w:val="single" w:color="auto" w:sz="4" w:space="0"/>
              <w:right w:val="single" w:color="000000" w:sz="4" w:space="0"/>
            </w:tcBorders>
            <w:noWrap w:val="0"/>
            <w:vAlign w:val="center"/>
          </w:tcPr>
          <w:p w14:paraId="65B40F6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138FBE1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0.57</w:t>
            </w:r>
          </w:p>
        </w:tc>
      </w:tr>
      <w:tr w14:paraId="6093D41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66F1F7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761A38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917F9C0">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A0AFC90">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r>
      <w:tr w14:paraId="30055B7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707715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790EFD1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2132A93">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0AB95FD">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r>
      <w:tr w14:paraId="54EA804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33C169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6729080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6FF2837">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FB1181A">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r>
      <w:tr w14:paraId="0D32EB46">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45F40BD">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4C9741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6E7E2E9">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87C86CB">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r>
      <w:tr w14:paraId="657A8B1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16C41E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0F9765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0.07</w:t>
            </w:r>
          </w:p>
        </w:tc>
        <w:tc>
          <w:tcPr>
            <w:tcW w:w="2240" w:type="dxa"/>
            <w:gridSpan w:val="2"/>
            <w:tcBorders>
              <w:top w:val="single" w:color="auto" w:sz="4" w:space="0"/>
              <w:left w:val="nil"/>
              <w:bottom w:val="single" w:color="auto" w:sz="4" w:space="0"/>
              <w:right w:val="single" w:color="000000" w:sz="4" w:space="0"/>
            </w:tcBorders>
            <w:noWrap w:val="0"/>
            <w:vAlign w:val="center"/>
          </w:tcPr>
          <w:p w14:paraId="5E7D9999">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3AE83C42">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0.57</w:t>
            </w:r>
          </w:p>
        </w:tc>
      </w:tr>
      <w:tr w14:paraId="5094507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EF1FB5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A8C424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1715.61</w:t>
            </w:r>
          </w:p>
        </w:tc>
        <w:tc>
          <w:tcPr>
            <w:tcW w:w="2240" w:type="dxa"/>
            <w:gridSpan w:val="2"/>
            <w:tcBorders>
              <w:top w:val="single" w:color="auto" w:sz="4" w:space="0"/>
              <w:left w:val="nil"/>
              <w:bottom w:val="single" w:color="auto" w:sz="4" w:space="0"/>
              <w:right w:val="single" w:color="000000" w:sz="4" w:space="0"/>
            </w:tcBorders>
            <w:noWrap w:val="0"/>
            <w:vAlign w:val="center"/>
          </w:tcPr>
          <w:p w14:paraId="628E0BB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2284.15</w:t>
            </w:r>
          </w:p>
        </w:tc>
        <w:tc>
          <w:tcPr>
            <w:tcW w:w="2041" w:type="dxa"/>
            <w:gridSpan w:val="2"/>
            <w:tcBorders>
              <w:top w:val="single" w:color="auto" w:sz="4" w:space="0"/>
              <w:left w:val="nil"/>
              <w:bottom w:val="single" w:color="auto" w:sz="4" w:space="0"/>
              <w:right w:val="single" w:color="000000" w:sz="4" w:space="0"/>
            </w:tcBorders>
            <w:noWrap w:val="0"/>
            <w:vAlign w:val="center"/>
          </w:tcPr>
          <w:p w14:paraId="7051EAE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sz w:val="20"/>
                <w:szCs w:val="20"/>
                <w:lang w:val="en-US" w:eastAsia="zh-CN"/>
              </w:rPr>
              <w:t>3280.88</w:t>
            </w:r>
          </w:p>
        </w:tc>
      </w:tr>
      <w:tr w14:paraId="7D30AA7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FF7CD18">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12A53B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D09289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63EE13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0ED5BA1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53A35C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BCB2D2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CFD7D5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9F03E5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37D9515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6DDE89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w:t>
            </w:r>
            <w:r>
              <w:rPr>
                <w:rFonts w:hint="eastAsia" w:ascii="Times New Roman" w:hAnsi="Times New Roman" w:eastAsia="仿宋_GB2312" w:cs="Times New Roman"/>
                <w:sz w:val="20"/>
                <w:szCs w:val="20"/>
                <w:lang w:eastAsia="zh-CN"/>
              </w:rPr>
              <w:t>区级</w:t>
            </w:r>
            <w:r>
              <w:rPr>
                <w:rFonts w:hint="eastAsia" w:ascii="Times New Roman" w:hAnsi="Times New Roman" w:eastAsia="仿宋_GB2312" w:cs="Times New Roman"/>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5377402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1715.61</w:t>
            </w:r>
          </w:p>
        </w:tc>
        <w:tc>
          <w:tcPr>
            <w:tcW w:w="2240" w:type="dxa"/>
            <w:gridSpan w:val="2"/>
            <w:tcBorders>
              <w:top w:val="single" w:color="auto" w:sz="4" w:space="0"/>
              <w:left w:val="nil"/>
              <w:bottom w:val="single" w:color="auto" w:sz="4" w:space="0"/>
              <w:right w:val="single" w:color="000000" w:sz="4" w:space="0"/>
            </w:tcBorders>
            <w:noWrap w:val="0"/>
            <w:vAlign w:val="center"/>
          </w:tcPr>
          <w:p w14:paraId="3094C23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2284.15</w:t>
            </w:r>
          </w:p>
        </w:tc>
        <w:tc>
          <w:tcPr>
            <w:tcW w:w="2041" w:type="dxa"/>
            <w:gridSpan w:val="2"/>
            <w:tcBorders>
              <w:top w:val="single" w:color="auto" w:sz="4" w:space="0"/>
              <w:left w:val="nil"/>
              <w:bottom w:val="single" w:color="auto" w:sz="4" w:space="0"/>
              <w:right w:val="single" w:color="000000" w:sz="4" w:space="0"/>
            </w:tcBorders>
            <w:noWrap w:val="0"/>
            <w:vAlign w:val="center"/>
          </w:tcPr>
          <w:p w14:paraId="631B43DE">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3280.88</w:t>
            </w:r>
          </w:p>
        </w:tc>
      </w:tr>
      <w:tr w14:paraId="6E61596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F73CE0A">
            <w:pPr>
              <w:widowControl/>
              <w:spacing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小农水项目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77289FDC">
            <w:pPr>
              <w:widowControl/>
              <w:spacing w:line="360" w:lineRule="exact"/>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rPr>
              <w:t>28.61</w:t>
            </w:r>
          </w:p>
        </w:tc>
        <w:tc>
          <w:tcPr>
            <w:tcW w:w="2240" w:type="dxa"/>
            <w:gridSpan w:val="2"/>
            <w:tcBorders>
              <w:top w:val="single" w:color="auto" w:sz="4" w:space="0"/>
              <w:left w:val="nil"/>
              <w:bottom w:val="single" w:color="auto" w:sz="4" w:space="0"/>
              <w:right w:val="single" w:color="000000" w:sz="4" w:space="0"/>
            </w:tcBorders>
            <w:noWrap w:val="0"/>
            <w:vAlign w:val="center"/>
          </w:tcPr>
          <w:p w14:paraId="6B8D40D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200</w:t>
            </w:r>
          </w:p>
        </w:tc>
        <w:tc>
          <w:tcPr>
            <w:tcW w:w="2041" w:type="dxa"/>
            <w:gridSpan w:val="2"/>
            <w:tcBorders>
              <w:top w:val="single" w:color="auto" w:sz="4" w:space="0"/>
              <w:left w:val="nil"/>
              <w:bottom w:val="single" w:color="auto" w:sz="4" w:space="0"/>
              <w:right w:val="single" w:color="000000" w:sz="4" w:space="0"/>
            </w:tcBorders>
            <w:noWrap w:val="0"/>
            <w:vAlign w:val="center"/>
          </w:tcPr>
          <w:p w14:paraId="5838F81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44.41</w:t>
            </w:r>
          </w:p>
        </w:tc>
      </w:tr>
      <w:tr w14:paraId="3514AC0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0B556C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eastAsia="zh-CN"/>
              </w:rPr>
              <w:t>机耕道项目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52F9F642">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8238A2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14:paraId="2F73FF6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20.5</w:t>
            </w:r>
          </w:p>
        </w:tc>
      </w:tr>
      <w:tr w14:paraId="50FD10A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B2DC639">
            <w:pPr>
              <w:widowControl/>
              <w:spacing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乡村振兴项目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3EF5887E">
            <w:pPr>
              <w:widowControl/>
              <w:spacing w:line="360" w:lineRule="exact"/>
              <w:jc w:val="center"/>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rPr>
              <w:t>1218.97</w:t>
            </w:r>
          </w:p>
        </w:tc>
        <w:tc>
          <w:tcPr>
            <w:tcW w:w="2240" w:type="dxa"/>
            <w:gridSpan w:val="2"/>
            <w:tcBorders>
              <w:top w:val="single" w:color="auto" w:sz="4" w:space="0"/>
              <w:left w:val="nil"/>
              <w:bottom w:val="single" w:color="auto" w:sz="4" w:space="0"/>
              <w:right w:val="single" w:color="000000" w:sz="4" w:space="0"/>
            </w:tcBorders>
            <w:noWrap w:val="0"/>
            <w:vAlign w:val="center"/>
          </w:tcPr>
          <w:p w14:paraId="34C2647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545.37</w:t>
            </w:r>
          </w:p>
        </w:tc>
        <w:tc>
          <w:tcPr>
            <w:tcW w:w="2041" w:type="dxa"/>
            <w:gridSpan w:val="2"/>
            <w:tcBorders>
              <w:top w:val="single" w:color="auto" w:sz="4" w:space="0"/>
              <w:left w:val="nil"/>
              <w:bottom w:val="single" w:color="auto" w:sz="4" w:space="0"/>
              <w:right w:val="single" w:color="000000" w:sz="4" w:space="0"/>
            </w:tcBorders>
            <w:noWrap w:val="0"/>
            <w:vAlign w:val="center"/>
          </w:tcPr>
          <w:p w14:paraId="2FBD160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2021.33</w:t>
            </w:r>
          </w:p>
        </w:tc>
      </w:tr>
      <w:tr w14:paraId="10C0205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7EF300F">
            <w:pPr>
              <w:widowControl/>
              <w:spacing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农业生产项目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27CD5DE4">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6A58BC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910</w:t>
            </w:r>
          </w:p>
        </w:tc>
        <w:tc>
          <w:tcPr>
            <w:tcW w:w="2041" w:type="dxa"/>
            <w:gridSpan w:val="2"/>
            <w:tcBorders>
              <w:top w:val="single" w:color="auto" w:sz="4" w:space="0"/>
              <w:left w:val="nil"/>
              <w:bottom w:val="single" w:color="auto" w:sz="4" w:space="0"/>
              <w:right w:val="single" w:color="000000" w:sz="4" w:space="0"/>
            </w:tcBorders>
            <w:noWrap w:val="0"/>
            <w:vAlign w:val="center"/>
          </w:tcPr>
          <w:p w14:paraId="2AB3D08E">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697.73</w:t>
            </w:r>
          </w:p>
        </w:tc>
      </w:tr>
      <w:tr w14:paraId="629779D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602E1FA">
            <w:pPr>
              <w:widowControl/>
              <w:spacing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畜牧水产项目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5182EC6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108.51</w:t>
            </w:r>
          </w:p>
        </w:tc>
        <w:tc>
          <w:tcPr>
            <w:tcW w:w="2240" w:type="dxa"/>
            <w:gridSpan w:val="2"/>
            <w:tcBorders>
              <w:top w:val="single" w:color="auto" w:sz="4" w:space="0"/>
              <w:left w:val="nil"/>
              <w:bottom w:val="single" w:color="auto" w:sz="4" w:space="0"/>
              <w:right w:val="single" w:color="000000" w:sz="4" w:space="0"/>
            </w:tcBorders>
            <w:noWrap w:val="0"/>
            <w:vAlign w:val="center"/>
          </w:tcPr>
          <w:p w14:paraId="37BF9FA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323.8</w:t>
            </w:r>
          </w:p>
        </w:tc>
        <w:tc>
          <w:tcPr>
            <w:tcW w:w="2041" w:type="dxa"/>
            <w:gridSpan w:val="2"/>
            <w:tcBorders>
              <w:top w:val="single" w:color="auto" w:sz="4" w:space="0"/>
              <w:left w:val="nil"/>
              <w:bottom w:val="single" w:color="auto" w:sz="4" w:space="0"/>
              <w:right w:val="single" w:color="000000" w:sz="4" w:space="0"/>
            </w:tcBorders>
            <w:noWrap w:val="0"/>
            <w:vAlign w:val="center"/>
          </w:tcPr>
          <w:p w14:paraId="0666C0C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309.18</w:t>
            </w:r>
          </w:p>
        </w:tc>
      </w:tr>
      <w:tr w14:paraId="61AFA78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CCB427E">
            <w:pPr>
              <w:widowControl/>
              <w:spacing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农业保险补贴项目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21A11D1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196.49</w:t>
            </w:r>
          </w:p>
        </w:tc>
        <w:tc>
          <w:tcPr>
            <w:tcW w:w="2240" w:type="dxa"/>
            <w:gridSpan w:val="2"/>
            <w:tcBorders>
              <w:top w:val="single" w:color="auto" w:sz="4" w:space="0"/>
              <w:left w:val="nil"/>
              <w:bottom w:val="single" w:color="auto" w:sz="4" w:space="0"/>
              <w:right w:val="single" w:color="000000" w:sz="4" w:space="0"/>
            </w:tcBorders>
            <w:noWrap w:val="0"/>
            <w:vAlign w:val="center"/>
          </w:tcPr>
          <w:p w14:paraId="0046E2F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289.98</w:t>
            </w:r>
          </w:p>
        </w:tc>
        <w:tc>
          <w:tcPr>
            <w:tcW w:w="2041" w:type="dxa"/>
            <w:gridSpan w:val="2"/>
            <w:tcBorders>
              <w:top w:val="single" w:color="auto" w:sz="4" w:space="0"/>
              <w:left w:val="nil"/>
              <w:bottom w:val="single" w:color="auto" w:sz="4" w:space="0"/>
              <w:right w:val="single" w:color="000000" w:sz="4" w:space="0"/>
            </w:tcBorders>
            <w:noWrap w:val="0"/>
            <w:vAlign w:val="center"/>
          </w:tcPr>
          <w:p w14:paraId="4E506CB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187.73</w:t>
            </w:r>
          </w:p>
        </w:tc>
      </w:tr>
      <w:tr w14:paraId="459CF8C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020569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农产品质量安全项目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00C6901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30.82</w:t>
            </w:r>
          </w:p>
        </w:tc>
        <w:tc>
          <w:tcPr>
            <w:tcW w:w="2240" w:type="dxa"/>
            <w:gridSpan w:val="2"/>
            <w:tcBorders>
              <w:top w:val="single" w:color="auto" w:sz="4" w:space="0"/>
              <w:left w:val="nil"/>
              <w:bottom w:val="single" w:color="auto" w:sz="4" w:space="0"/>
              <w:right w:val="single" w:color="000000" w:sz="4" w:space="0"/>
            </w:tcBorders>
            <w:noWrap w:val="0"/>
            <w:vAlign w:val="center"/>
          </w:tcPr>
          <w:p w14:paraId="5D59442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61A75B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408532C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638E826">
            <w:pPr>
              <w:widowControl/>
              <w:spacing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现代农业机械化项目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2C9D5F0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122.21</w:t>
            </w:r>
          </w:p>
        </w:tc>
        <w:tc>
          <w:tcPr>
            <w:tcW w:w="2240" w:type="dxa"/>
            <w:gridSpan w:val="2"/>
            <w:tcBorders>
              <w:top w:val="single" w:color="auto" w:sz="4" w:space="0"/>
              <w:left w:val="nil"/>
              <w:bottom w:val="single" w:color="auto" w:sz="4" w:space="0"/>
              <w:right w:val="single" w:color="000000" w:sz="4" w:space="0"/>
            </w:tcBorders>
            <w:noWrap w:val="0"/>
            <w:vAlign w:val="center"/>
          </w:tcPr>
          <w:p w14:paraId="4C87D43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F8E3D2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0762C6F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04984B1">
            <w:pPr>
              <w:widowControl/>
              <w:spacing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农业农村各项改革</w:t>
            </w:r>
          </w:p>
        </w:tc>
        <w:tc>
          <w:tcPr>
            <w:tcW w:w="2038" w:type="dxa"/>
            <w:gridSpan w:val="2"/>
            <w:tcBorders>
              <w:top w:val="single" w:color="auto" w:sz="4" w:space="0"/>
              <w:left w:val="nil"/>
              <w:bottom w:val="single" w:color="auto" w:sz="4" w:space="0"/>
              <w:right w:val="single" w:color="000000" w:sz="4" w:space="0"/>
            </w:tcBorders>
            <w:noWrap w:val="0"/>
            <w:vAlign w:val="center"/>
          </w:tcPr>
          <w:p w14:paraId="6F6FD06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c>
          <w:tcPr>
            <w:tcW w:w="2240" w:type="dxa"/>
            <w:gridSpan w:val="2"/>
            <w:tcBorders>
              <w:top w:val="single" w:color="auto" w:sz="4" w:space="0"/>
              <w:left w:val="nil"/>
              <w:bottom w:val="single" w:color="auto" w:sz="4" w:space="0"/>
              <w:right w:val="single" w:color="000000" w:sz="4" w:space="0"/>
            </w:tcBorders>
            <w:noWrap w:val="0"/>
            <w:vAlign w:val="center"/>
          </w:tcPr>
          <w:p w14:paraId="0ECEF72B">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EC932D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5691B55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739932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61A9CD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90.16</w:t>
            </w:r>
          </w:p>
        </w:tc>
        <w:tc>
          <w:tcPr>
            <w:tcW w:w="2240" w:type="dxa"/>
            <w:gridSpan w:val="2"/>
            <w:tcBorders>
              <w:top w:val="single" w:color="auto" w:sz="4" w:space="0"/>
              <w:left w:val="nil"/>
              <w:bottom w:val="single" w:color="auto" w:sz="4" w:space="0"/>
              <w:right w:val="single" w:color="000000" w:sz="4" w:space="0"/>
            </w:tcBorders>
            <w:noWrap w:val="0"/>
            <w:vAlign w:val="center"/>
          </w:tcPr>
          <w:p w14:paraId="0A8B2D5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84.18</w:t>
            </w:r>
          </w:p>
        </w:tc>
        <w:tc>
          <w:tcPr>
            <w:tcW w:w="2041" w:type="dxa"/>
            <w:gridSpan w:val="2"/>
            <w:tcBorders>
              <w:top w:val="single" w:color="auto" w:sz="4" w:space="0"/>
              <w:left w:val="nil"/>
              <w:bottom w:val="single" w:color="auto" w:sz="4" w:space="0"/>
              <w:right w:val="single" w:color="000000" w:sz="4" w:space="0"/>
            </w:tcBorders>
            <w:noWrap w:val="0"/>
            <w:vAlign w:val="center"/>
          </w:tcPr>
          <w:p w14:paraId="7D27CDC1">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83.33</w:t>
            </w:r>
          </w:p>
        </w:tc>
      </w:tr>
      <w:tr w14:paraId="59B583B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253E0C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3D28A1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8.74</w:t>
            </w:r>
          </w:p>
        </w:tc>
        <w:tc>
          <w:tcPr>
            <w:tcW w:w="2240" w:type="dxa"/>
            <w:gridSpan w:val="2"/>
            <w:tcBorders>
              <w:top w:val="single" w:color="auto" w:sz="4" w:space="0"/>
              <w:left w:val="nil"/>
              <w:bottom w:val="single" w:color="auto" w:sz="4" w:space="0"/>
              <w:right w:val="single" w:color="000000" w:sz="4" w:space="0"/>
            </w:tcBorders>
            <w:noWrap w:val="0"/>
            <w:vAlign w:val="center"/>
          </w:tcPr>
          <w:p w14:paraId="264E0EE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8.6</w:t>
            </w:r>
          </w:p>
        </w:tc>
        <w:tc>
          <w:tcPr>
            <w:tcW w:w="2041" w:type="dxa"/>
            <w:gridSpan w:val="2"/>
            <w:tcBorders>
              <w:top w:val="single" w:color="auto" w:sz="4" w:space="0"/>
              <w:left w:val="nil"/>
              <w:bottom w:val="single" w:color="auto" w:sz="4" w:space="0"/>
              <w:right w:val="single" w:color="000000" w:sz="4" w:space="0"/>
            </w:tcBorders>
            <w:noWrap w:val="0"/>
            <w:vAlign w:val="center"/>
          </w:tcPr>
          <w:p w14:paraId="281C31F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8.43</w:t>
            </w:r>
          </w:p>
        </w:tc>
      </w:tr>
      <w:tr w14:paraId="49E7534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9A83BF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099917B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0.46</w:t>
            </w:r>
          </w:p>
        </w:tc>
        <w:tc>
          <w:tcPr>
            <w:tcW w:w="2240" w:type="dxa"/>
            <w:gridSpan w:val="2"/>
            <w:tcBorders>
              <w:top w:val="single" w:color="auto" w:sz="4" w:space="0"/>
              <w:left w:val="nil"/>
              <w:bottom w:val="single" w:color="auto" w:sz="4" w:space="0"/>
              <w:right w:val="single" w:color="000000" w:sz="4" w:space="0"/>
            </w:tcBorders>
            <w:noWrap w:val="0"/>
            <w:vAlign w:val="center"/>
          </w:tcPr>
          <w:p w14:paraId="6BF8147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0.8</w:t>
            </w:r>
          </w:p>
        </w:tc>
        <w:tc>
          <w:tcPr>
            <w:tcW w:w="2041" w:type="dxa"/>
            <w:gridSpan w:val="2"/>
            <w:tcBorders>
              <w:top w:val="single" w:color="auto" w:sz="4" w:space="0"/>
              <w:left w:val="nil"/>
              <w:bottom w:val="single" w:color="auto" w:sz="4" w:space="0"/>
              <w:right w:val="single" w:color="000000" w:sz="4" w:space="0"/>
            </w:tcBorders>
            <w:noWrap w:val="0"/>
            <w:vAlign w:val="center"/>
          </w:tcPr>
          <w:p w14:paraId="62E7A15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0.81</w:t>
            </w:r>
          </w:p>
        </w:tc>
      </w:tr>
      <w:tr w14:paraId="4DE65C7D">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83F74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09B028C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2.23</w:t>
            </w:r>
          </w:p>
        </w:tc>
        <w:tc>
          <w:tcPr>
            <w:tcW w:w="2240" w:type="dxa"/>
            <w:gridSpan w:val="2"/>
            <w:tcBorders>
              <w:top w:val="single" w:color="auto" w:sz="4" w:space="0"/>
              <w:left w:val="nil"/>
              <w:bottom w:val="single" w:color="auto" w:sz="4" w:space="0"/>
              <w:right w:val="single" w:color="000000" w:sz="4" w:space="0"/>
            </w:tcBorders>
            <w:noWrap w:val="0"/>
            <w:vAlign w:val="center"/>
          </w:tcPr>
          <w:p w14:paraId="531791B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14:paraId="5E59C61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1.27</w:t>
            </w:r>
          </w:p>
        </w:tc>
      </w:tr>
      <w:tr w14:paraId="04F2D29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A0EA91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4B8458A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F0841E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185</w:t>
            </w:r>
          </w:p>
        </w:tc>
        <w:tc>
          <w:tcPr>
            <w:tcW w:w="2041" w:type="dxa"/>
            <w:gridSpan w:val="2"/>
            <w:tcBorders>
              <w:top w:val="single" w:color="auto" w:sz="4" w:space="0"/>
              <w:left w:val="nil"/>
              <w:bottom w:val="single" w:color="auto" w:sz="4" w:space="0"/>
              <w:right w:val="single" w:color="000000" w:sz="4" w:space="0"/>
            </w:tcBorders>
            <w:noWrap w:val="0"/>
            <w:vAlign w:val="center"/>
          </w:tcPr>
          <w:p w14:paraId="1F4762D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177.99</w:t>
            </w:r>
          </w:p>
        </w:tc>
      </w:tr>
      <w:tr w14:paraId="0B252CEE">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3E497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6C93C7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4E0FE68">
            <w:pPr>
              <w:widowControl/>
              <w:spacing w:line="360" w:lineRule="exact"/>
              <w:ind w:firstLine="0" w:firstLineChars="0"/>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515531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1B37F676">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689553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3801A64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5CF94D76">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39E450B8">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20CD4327">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0624268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2B7D8766">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4EF6FF03">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0020289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041FFE79">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E720A09">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1B25FDF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02A1430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328BE59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0941B0C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3D8E6E1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1E0DDF08">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7C60670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F881EC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044BC4F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14:paraId="5C141AEE">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项目支出</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需要填报基本支出以外的所有项目支出情况，</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公用经费</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填报基本支出中的一般商品和服务支出。</w:t>
      </w:r>
    </w:p>
    <w:p w14:paraId="341ADDF9">
      <w:pPr>
        <w:tabs>
          <w:tab w:val="left" w:pos="7560"/>
        </w:tabs>
        <w:adjustRightInd w:val="0"/>
        <w:snapToGrid w:val="0"/>
        <w:spacing w:line="560" w:lineRule="exact"/>
        <w:rPr>
          <w:rFonts w:ascii="Times New Roman" w:hAnsi="Times New Roman" w:eastAsia="黑体" w:cs="Times New Roman"/>
          <w:sz w:val="32"/>
          <w:szCs w:val="32"/>
          <w:highlight w:val="none"/>
        </w:rPr>
      </w:pPr>
      <w:r>
        <w:rPr>
          <w:rFonts w:hint="eastAsia" w:ascii="Times New Roman" w:hAnsi="Times New Roman" w:eastAsia="仿宋_GB2312" w:cs="Times New Roman"/>
          <w:sz w:val="22"/>
          <w:highlight w:val="none"/>
        </w:rPr>
        <w:t>填表人：        填报日期：          联系电话：            单位负责人签字：</w:t>
      </w:r>
    </w:p>
    <w:p w14:paraId="7EEC5E05">
      <w:pPr>
        <w:widowControl/>
        <w:spacing w:after="120" w:afterLines="50"/>
        <w:ind w:firstLine="0" w:firstLineChars="0"/>
        <w:jc w:val="both"/>
        <w:rPr>
          <w:rFonts w:hint="eastAsia" w:ascii="Times New Roman" w:hAnsi="Times New Roman" w:eastAsia="黑体" w:cs="Times New Roman"/>
          <w:sz w:val="32"/>
          <w:szCs w:val="32"/>
          <w:lang w:val="en-US" w:eastAsia="zh-CN"/>
        </w:rPr>
      </w:pPr>
      <w:r>
        <w:rPr>
          <w:rFonts w:hint="eastAsia" w:ascii="Times New Roman" w:hAnsi="Times New Roman" w:eastAsia="方正大标宋简体" w:cs="Times New Roman"/>
          <w:color w:val="000000"/>
          <w:sz w:val="36"/>
          <w:szCs w:val="36"/>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14:paraId="4E11A3A8">
      <w:pPr>
        <w:widowControl/>
        <w:spacing w:after="120" w:afterLines="50"/>
        <w:ind w:firstLine="0" w:firstLineChars="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71"/>
        <w:gridCol w:w="818"/>
        <w:gridCol w:w="1446"/>
      </w:tblGrid>
      <w:tr w14:paraId="535B61DD">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1D40C49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w:t>
            </w:r>
            <w:r>
              <w:rPr>
                <w:rFonts w:hint="eastAsia" w:ascii="Times New Roman" w:hAnsi="Times New Roman" w:eastAsia="仿宋_GB2312" w:cs="Times New Roman"/>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14:paraId="328F708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株洲市芦淞区农业农村局</w:t>
            </w:r>
            <w:r>
              <w:rPr>
                <w:rFonts w:hint="eastAsia" w:ascii="Times New Roman" w:hAnsi="Times New Roman" w:eastAsia="仿宋_GB2312" w:cs="Times New Roman"/>
                <w:color w:val="000000"/>
                <w:sz w:val="20"/>
                <w:szCs w:val="20"/>
              </w:rPr>
              <w:t>　</w:t>
            </w:r>
          </w:p>
        </w:tc>
      </w:tr>
      <w:tr w14:paraId="0A099A9A">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46538E1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086B02A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0785230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29EDD705">
            <w:pPr>
              <w:spacing w:line="240" w:lineRule="exact"/>
              <w:jc w:val="center"/>
              <w:rPr>
                <w:rFonts w:hint="eastAsia"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184B4EF0">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0B112510">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29C2A004">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71" w:type="dxa"/>
            <w:tcBorders>
              <w:top w:val="nil"/>
              <w:left w:val="nil"/>
              <w:bottom w:val="single" w:color="auto" w:sz="4" w:space="0"/>
              <w:right w:val="single" w:color="auto" w:sz="4" w:space="0"/>
            </w:tcBorders>
            <w:noWrap w:val="0"/>
            <w:vAlign w:val="center"/>
          </w:tcPr>
          <w:p w14:paraId="315266E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18" w:type="dxa"/>
            <w:tcBorders>
              <w:top w:val="nil"/>
              <w:left w:val="nil"/>
              <w:bottom w:val="single" w:color="auto" w:sz="4" w:space="0"/>
              <w:right w:val="single" w:color="auto" w:sz="4" w:space="0"/>
            </w:tcBorders>
            <w:noWrap w:val="0"/>
            <w:vAlign w:val="center"/>
          </w:tcPr>
          <w:p w14:paraId="102596F9">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3E817DF0">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7DF2B762">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5448FE3E">
            <w:pPr>
              <w:widowControl/>
              <w:spacing w:line="240" w:lineRule="exact"/>
              <w:jc w:val="center"/>
              <w:rPr>
                <w:rFonts w:hint="eastAsia"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64B28F3F">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338F60C1">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3065.74</w:t>
            </w:r>
          </w:p>
        </w:tc>
        <w:tc>
          <w:tcPr>
            <w:tcW w:w="1311" w:type="dxa"/>
            <w:tcBorders>
              <w:top w:val="nil"/>
              <w:left w:val="nil"/>
              <w:bottom w:val="single" w:color="auto" w:sz="4" w:space="0"/>
              <w:right w:val="single" w:color="auto" w:sz="4" w:space="0"/>
            </w:tcBorders>
            <w:noWrap w:val="0"/>
            <w:vAlign w:val="center"/>
          </w:tcPr>
          <w:p w14:paraId="0392C3B8">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4166.14</w:t>
            </w:r>
          </w:p>
        </w:tc>
        <w:tc>
          <w:tcPr>
            <w:tcW w:w="1269" w:type="dxa"/>
            <w:tcBorders>
              <w:top w:val="nil"/>
              <w:left w:val="nil"/>
              <w:bottom w:val="single" w:color="auto" w:sz="4" w:space="0"/>
              <w:right w:val="single" w:color="auto" w:sz="4" w:space="0"/>
            </w:tcBorders>
            <w:noWrap w:val="0"/>
            <w:vAlign w:val="center"/>
          </w:tcPr>
          <w:p w14:paraId="09D1F3D1">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4166.14</w:t>
            </w:r>
          </w:p>
        </w:tc>
        <w:tc>
          <w:tcPr>
            <w:tcW w:w="771" w:type="dxa"/>
            <w:tcBorders>
              <w:top w:val="nil"/>
              <w:left w:val="nil"/>
              <w:bottom w:val="single" w:color="auto" w:sz="4" w:space="0"/>
              <w:right w:val="single" w:color="auto" w:sz="4" w:space="0"/>
            </w:tcBorders>
            <w:noWrap w:val="0"/>
            <w:vAlign w:val="center"/>
          </w:tcPr>
          <w:p w14:paraId="2B56266F">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18" w:type="dxa"/>
            <w:tcBorders>
              <w:top w:val="nil"/>
              <w:left w:val="nil"/>
              <w:bottom w:val="single" w:color="auto" w:sz="4" w:space="0"/>
              <w:right w:val="single" w:color="auto" w:sz="4" w:space="0"/>
            </w:tcBorders>
            <w:noWrap w:val="0"/>
            <w:vAlign w:val="center"/>
          </w:tcPr>
          <w:p w14:paraId="4C7C7FDB">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7748FEF0">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5248691D">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3C0FA93E">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7619AE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14:paraId="1881370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p>
        </w:tc>
      </w:tr>
      <w:tr w14:paraId="338F7CEE">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3059A275">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F5A542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4156.5</w:t>
            </w:r>
          </w:p>
        </w:tc>
        <w:tc>
          <w:tcPr>
            <w:tcW w:w="4304" w:type="dxa"/>
            <w:gridSpan w:val="4"/>
            <w:tcBorders>
              <w:top w:val="nil"/>
              <w:left w:val="nil"/>
              <w:bottom w:val="single" w:color="auto" w:sz="4" w:space="0"/>
              <w:right w:val="single" w:color="auto" w:sz="4" w:space="0"/>
            </w:tcBorders>
            <w:noWrap w:val="0"/>
            <w:vAlign w:val="center"/>
          </w:tcPr>
          <w:p w14:paraId="7BF1D4F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885.26</w:t>
            </w:r>
          </w:p>
        </w:tc>
      </w:tr>
      <w:tr w14:paraId="59446940">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130E1766">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DB8A4D5">
            <w:pPr>
              <w:widowControl/>
              <w:spacing w:line="240" w:lineRule="exact"/>
              <w:ind w:firstLine="800" w:firstLineChars="40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政府性基金拨款：</w:t>
            </w:r>
            <w:r>
              <w:rPr>
                <w:rFonts w:hint="eastAsia" w:ascii="Times New Roman" w:hAnsi="Times New Roman" w:eastAsia="仿宋_GB2312" w:cs="Times New Roman"/>
                <w:color w:val="000000"/>
                <w:sz w:val="20"/>
                <w:szCs w:val="20"/>
                <w:lang w:val="en-US" w:eastAsia="zh-CN"/>
              </w:rPr>
              <w:t>2</w:t>
            </w:r>
          </w:p>
        </w:tc>
        <w:tc>
          <w:tcPr>
            <w:tcW w:w="4304" w:type="dxa"/>
            <w:gridSpan w:val="4"/>
            <w:tcBorders>
              <w:top w:val="nil"/>
              <w:left w:val="nil"/>
              <w:bottom w:val="single" w:color="auto" w:sz="4" w:space="0"/>
              <w:right w:val="single" w:color="auto" w:sz="4" w:space="0"/>
            </w:tcBorders>
            <w:noWrap w:val="0"/>
            <w:vAlign w:val="center"/>
          </w:tcPr>
          <w:p w14:paraId="3DA9F06B">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3280.88</w:t>
            </w:r>
          </w:p>
        </w:tc>
      </w:tr>
      <w:tr w14:paraId="3BEDF0BC">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14:paraId="45A9A318">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CA4F8D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41D15419">
            <w:pPr>
              <w:widowControl/>
              <w:spacing w:line="240" w:lineRule="exact"/>
              <w:jc w:val="left"/>
              <w:rPr>
                <w:rFonts w:hint="eastAsia" w:ascii="Times New Roman" w:hAnsi="Times New Roman" w:eastAsia="仿宋_GB2312" w:cs="Times New Roman"/>
                <w:color w:val="000000"/>
                <w:sz w:val="20"/>
                <w:szCs w:val="20"/>
              </w:rPr>
            </w:pPr>
          </w:p>
        </w:tc>
      </w:tr>
      <w:tr w14:paraId="0F66B844">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5F28C25A">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8CF1604">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7.64</w:t>
            </w:r>
          </w:p>
        </w:tc>
        <w:tc>
          <w:tcPr>
            <w:tcW w:w="4304" w:type="dxa"/>
            <w:gridSpan w:val="4"/>
            <w:tcBorders>
              <w:top w:val="nil"/>
              <w:left w:val="nil"/>
              <w:bottom w:val="single" w:color="auto" w:sz="4" w:space="0"/>
              <w:right w:val="single" w:color="auto" w:sz="4" w:space="0"/>
            </w:tcBorders>
            <w:noWrap w:val="0"/>
            <w:vAlign w:val="center"/>
          </w:tcPr>
          <w:p w14:paraId="1D544021">
            <w:pPr>
              <w:widowControl/>
              <w:spacing w:line="240" w:lineRule="exact"/>
              <w:jc w:val="left"/>
              <w:rPr>
                <w:rFonts w:hint="eastAsia" w:ascii="Times New Roman" w:hAnsi="Times New Roman" w:eastAsia="仿宋_GB2312" w:cs="Times New Roman"/>
                <w:color w:val="000000"/>
                <w:sz w:val="20"/>
                <w:szCs w:val="20"/>
              </w:rPr>
            </w:pPr>
          </w:p>
        </w:tc>
      </w:tr>
      <w:tr w14:paraId="091A2390">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9BE5A1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233C7EE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2EE0CA6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2A65E4D2">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6AAD6E9">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00F075A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 xml:space="preserve">    </w:t>
            </w:r>
            <w:r>
              <w:rPr>
                <w:rFonts w:hint="eastAsia" w:ascii="Times New Roman" w:hAnsi="Times New Roman" w:eastAsia="仿宋_GB2312" w:cs="Times New Roman"/>
                <w:color w:val="000000"/>
                <w:sz w:val="20"/>
                <w:szCs w:val="20"/>
              </w:rPr>
              <w:t>将对标市级考核要求，吃透吃准上级政策，逐村开展业务培训，促使从事乡村振兴工作干部准确理解和把握政策，实现争先进位，确保全面推进乡村振兴行稳致远。实现产业特色、产业规模、产业内涵三个提升；组织农机安全监理，指导农机作业安全。发展壮大村级集体经济，深入推进农村重点领域改革，宣传、贯彻、执行党在农村各确保非洲猪瘟防控措施到位，减少养殖户生猪死亡的风险；对病死畜禽进行无害化处理，改造畜禽粪污排放不达标的养殖户设施，减少环境污染；良种猪繁育保种等。项经济政策及减轻农民负担政策</w:t>
            </w:r>
            <w:r>
              <w:rPr>
                <w:rFonts w:hint="eastAsia" w:ascii="Times New Roman" w:hAnsi="Times New Roman" w:eastAsia="仿宋_GB2312" w:cs="Times New Roman"/>
                <w:color w:val="000000"/>
                <w:sz w:val="20"/>
                <w:szCs w:val="20"/>
                <w:lang w:eastAsia="zh-CN"/>
              </w:rPr>
              <w:t>。引进、示范、推广农业新技术、新品种、新成果；坚决守住粮食安全底线，严格耕地保护，一般耕地主要用于发展粮食生产，坚决遏制增量、消除存量；加强惠农惠民补贴的宣传，严格补贴发放程序；做好农业保险相关工作。</w:t>
            </w:r>
            <w:r>
              <w:rPr>
                <w:rFonts w:hint="eastAsia" w:ascii="Times New Roman" w:hAnsi="Times New Roman" w:eastAsia="仿宋_GB2312" w:cs="Times New Roman"/>
                <w:color w:val="000000"/>
                <w:sz w:val="20"/>
                <w:szCs w:val="20"/>
              </w:rPr>
              <w:t>　开展农产品质量安全例行检测；有效防控和治理外来入侵物种；开展农业资源管</w:t>
            </w:r>
            <w:r>
              <w:rPr>
                <w:rFonts w:hint="eastAsia" w:ascii="Times New Roman" w:hAnsi="Times New Roman" w:eastAsia="仿宋_GB2312" w:cs="Times New Roman"/>
                <w:color w:val="000000"/>
                <w:sz w:val="20"/>
                <w:szCs w:val="20"/>
                <w:lang w:eastAsia="zh-CN"/>
              </w:rPr>
              <w:t>理</w:t>
            </w:r>
            <w:r>
              <w:rPr>
                <w:rFonts w:hint="eastAsia" w:ascii="Times New Roman" w:hAnsi="Times New Roman" w:eastAsia="仿宋_GB2312" w:cs="Times New Roman"/>
                <w:color w:val="000000"/>
                <w:sz w:val="20"/>
                <w:szCs w:val="20"/>
              </w:rPr>
              <w:t>和环境保护；指导农药科学合理使用。</w:t>
            </w:r>
          </w:p>
        </w:tc>
        <w:tc>
          <w:tcPr>
            <w:tcW w:w="4304" w:type="dxa"/>
            <w:gridSpan w:val="4"/>
            <w:tcBorders>
              <w:top w:val="single" w:color="auto" w:sz="4" w:space="0"/>
              <w:left w:val="nil"/>
              <w:bottom w:val="single" w:color="auto" w:sz="4" w:space="0"/>
              <w:right w:val="single" w:color="auto" w:sz="4" w:space="0"/>
            </w:tcBorders>
            <w:noWrap w:val="0"/>
            <w:vAlign w:val="center"/>
          </w:tcPr>
          <w:p w14:paraId="3B51FC92">
            <w:pP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r>
              <w:rPr>
                <w:rFonts w:hint="default" w:ascii="Times New Roman" w:hAnsi="Times New Roman" w:eastAsia="仿宋_GB2312" w:cs="Times New Roman"/>
                <w:color w:val="000000"/>
                <w:sz w:val="20"/>
                <w:szCs w:val="20"/>
                <w:lang w:val="en-US" w:eastAsia="zh-CN"/>
              </w:rPr>
              <w:t>完成粮食播种面积5.021万亩，比去年增加0.151万亩，产量2.266万吨，比去年增加0.156万吨；经作种植面积6.38万亩</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生猪</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肉鸡</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牛羊</w:t>
            </w:r>
            <w:r>
              <w:rPr>
                <w:rFonts w:hint="default" w:ascii="Times New Roman" w:hAnsi="Times New Roman" w:eastAsia="仿宋_GB2312" w:cs="Times New Roman"/>
                <w:color w:val="000000"/>
                <w:sz w:val="20"/>
                <w:szCs w:val="20"/>
                <w:lang w:eastAsia="zh-CN"/>
              </w:rPr>
              <w:t>存栏增长</w:t>
            </w:r>
            <w:r>
              <w:rPr>
                <w:rFonts w:hint="default" w:ascii="Times New Roman" w:hAnsi="Times New Roman" w:eastAsia="仿宋_GB2312" w:cs="Times New Roman"/>
                <w:color w:val="000000"/>
                <w:sz w:val="20"/>
                <w:szCs w:val="20"/>
                <w:lang w:val="en-US" w:eastAsia="zh-CN"/>
              </w:rPr>
              <w:t>5.8</w:t>
            </w: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出栏生猪</w:t>
            </w:r>
            <w:r>
              <w:rPr>
                <w:rFonts w:hint="default" w:ascii="Times New Roman" w:hAnsi="Times New Roman" w:eastAsia="仿宋_GB2312" w:cs="Times New Roman"/>
                <w:color w:val="000000"/>
                <w:sz w:val="20"/>
                <w:szCs w:val="20"/>
                <w:lang w:eastAsia="zh-CN"/>
              </w:rPr>
              <w:t>增长</w:t>
            </w:r>
            <w:r>
              <w:rPr>
                <w:rFonts w:hint="default" w:ascii="Times New Roman" w:hAnsi="Times New Roman" w:eastAsia="仿宋_GB2312" w:cs="Times New Roman"/>
                <w:color w:val="000000"/>
                <w:sz w:val="20"/>
                <w:szCs w:val="20"/>
                <w:lang w:val="en-US" w:eastAsia="zh-CN"/>
              </w:rPr>
              <w:t>11.5%</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水产养殖产量增长4.46%</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确保</w:t>
            </w:r>
            <w:r>
              <w:rPr>
                <w:rFonts w:hint="eastAsia" w:ascii="Times New Roman" w:hAnsi="Times New Roman" w:eastAsia="仿宋_GB2312" w:cs="Times New Roman"/>
                <w:color w:val="000000"/>
                <w:sz w:val="20"/>
                <w:szCs w:val="20"/>
                <w:lang w:val="en-US" w:eastAsia="zh-CN"/>
              </w:rPr>
              <w:t>了</w:t>
            </w:r>
            <w:r>
              <w:rPr>
                <w:rFonts w:hint="default" w:ascii="Times New Roman" w:hAnsi="Times New Roman" w:eastAsia="仿宋_GB2312" w:cs="Times New Roman"/>
                <w:color w:val="000000"/>
                <w:sz w:val="20"/>
                <w:szCs w:val="20"/>
                <w:lang w:val="en-US" w:eastAsia="zh-CN"/>
              </w:rPr>
              <w:t>不发生规模性返贫</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加强小型农田水利设施建设</w:t>
            </w:r>
            <w:r>
              <w:rPr>
                <w:rFonts w:hint="eastAsia" w:ascii="Times New Roman" w:hAnsi="Times New Roman" w:eastAsia="仿宋_GB2312" w:cs="Times New Roman"/>
                <w:color w:val="000000"/>
                <w:sz w:val="20"/>
                <w:szCs w:val="20"/>
                <w:lang w:val="en-US" w:eastAsia="zh-CN"/>
              </w:rPr>
              <w:t>，完成31处</w:t>
            </w:r>
            <w:r>
              <w:rPr>
                <w:rFonts w:hint="default" w:ascii="Times New Roman" w:hAnsi="Times New Roman" w:eastAsia="仿宋_GB2312" w:cs="Times New Roman"/>
                <w:color w:val="000000"/>
                <w:sz w:val="20"/>
                <w:szCs w:val="20"/>
                <w:lang w:val="en-US" w:eastAsia="zh-CN"/>
              </w:rPr>
              <w:t>小水利设施修缮提质</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启动姚家坝丝瓜分拣中心建设，</w:t>
            </w:r>
            <w:r>
              <w:rPr>
                <w:rFonts w:hint="eastAsia" w:ascii="Times New Roman" w:hAnsi="Times New Roman" w:eastAsia="仿宋_GB2312" w:cs="Times New Roman"/>
                <w:color w:val="000000"/>
                <w:sz w:val="20"/>
                <w:szCs w:val="20"/>
                <w:lang w:val="en-US" w:eastAsia="zh-CN"/>
              </w:rPr>
              <w:t>完成了</w:t>
            </w:r>
            <w:r>
              <w:rPr>
                <w:rFonts w:hint="default" w:ascii="Times New Roman" w:hAnsi="Times New Roman" w:eastAsia="仿宋_GB2312" w:cs="Times New Roman"/>
                <w:color w:val="000000"/>
                <w:sz w:val="20"/>
                <w:szCs w:val="20"/>
                <w:lang w:val="en-US" w:eastAsia="zh-CN"/>
              </w:rPr>
              <w:t>2个幸福屋场、20个秀美庭院</w:t>
            </w:r>
            <w:r>
              <w:rPr>
                <w:rFonts w:hint="eastAsia" w:ascii="Times New Roman" w:hAnsi="Times New Roman" w:eastAsia="仿宋_GB2312" w:cs="Times New Roman"/>
                <w:color w:val="000000"/>
                <w:sz w:val="20"/>
                <w:szCs w:val="20"/>
                <w:lang w:val="en-US" w:eastAsia="zh-CN"/>
              </w:rPr>
              <w:t>建设工作。</w:t>
            </w:r>
            <w:r>
              <w:rPr>
                <w:rFonts w:hint="default" w:ascii="Times New Roman" w:hAnsi="Times New Roman" w:eastAsia="仿宋_GB2312" w:cs="Times New Roman"/>
                <w:color w:val="000000"/>
                <w:sz w:val="20"/>
                <w:szCs w:val="20"/>
                <w:lang w:val="en-US" w:eastAsia="zh-CN"/>
              </w:rPr>
              <w:t>成功申报白关丝瓜优势特色产业项目，争取市级财政资金1000万元</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已建成丝瓜连栋大棚35亩，丝瓜展示中心1座</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食品安全管理体系持续改进</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指导120多家养殖场配套建设防污设施，粪污资源化综合利用率达到95%</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秸秆回收利用率达到87%</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开展农村户厕问题摸排整改</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已摸排问题厕所3585个，</w:t>
            </w:r>
            <w:r>
              <w:rPr>
                <w:rFonts w:hint="eastAsia" w:ascii="Times New Roman" w:hAnsi="Times New Roman" w:eastAsia="仿宋_GB2312" w:cs="Times New Roman"/>
                <w:color w:val="000000"/>
                <w:sz w:val="20"/>
                <w:szCs w:val="20"/>
                <w:lang w:val="en-US" w:eastAsia="zh-CN"/>
              </w:rPr>
              <w:t>已</w:t>
            </w:r>
            <w:r>
              <w:rPr>
                <w:rFonts w:hint="default" w:ascii="Times New Roman" w:hAnsi="Times New Roman" w:eastAsia="仿宋_GB2312" w:cs="Times New Roman"/>
                <w:color w:val="000000"/>
                <w:sz w:val="20"/>
                <w:szCs w:val="20"/>
                <w:lang w:val="en-US" w:eastAsia="zh-CN"/>
              </w:rPr>
              <w:t>全部整改完成</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加强农村公路桥梁隐患排查，完成白关镇五类危桥改造。着力壮大村级集体经济</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村经济合作社</w:t>
            </w:r>
            <w:r>
              <w:rPr>
                <w:rFonts w:hint="eastAsia" w:ascii="Times New Roman" w:hAnsi="Times New Roman" w:eastAsia="仿宋_GB2312" w:cs="Times New Roman"/>
                <w:color w:val="000000"/>
                <w:sz w:val="20"/>
                <w:szCs w:val="20"/>
                <w:lang w:val="en-US" w:eastAsia="zh-CN"/>
              </w:rPr>
              <w:t>实现全</w:t>
            </w:r>
            <w:r>
              <w:rPr>
                <w:rFonts w:hint="default" w:ascii="Times New Roman" w:hAnsi="Times New Roman" w:eastAsia="仿宋_GB2312" w:cs="Times New Roman"/>
                <w:color w:val="000000"/>
                <w:sz w:val="20"/>
                <w:szCs w:val="20"/>
                <w:lang w:val="en-US" w:eastAsia="zh-CN"/>
              </w:rPr>
              <w:t>覆盖</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指导创办1个省级示范农民专业合作社、1个市级示范农民专业合作社。村集体经济持续增长</w:t>
            </w: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成功申报经济社获中央财政扶持集体经济发展项目</w:t>
            </w:r>
            <w:r>
              <w:rPr>
                <w:rFonts w:hint="eastAsia" w:ascii="Times New Roman" w:hAnsi="Times New Roman" w:eastAsia="仿宋_GB2312" w:cs="Times New Roman"/>
                <w:color w:val="000000"/>
                <w:sz w:val="20"/>
                <w:szCs w:val="20"/>
                <w:lang w:val="en-US" w:eastAsia="zh-CN"/>
              </w:rPr>
              <w:t>。</w:t>
            </w:r>
          </w:p>
        </w:tc>
      </w:tr>
      <w:tr w14:paraId="2C597977">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04D2A3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415B0A4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3C2E4B1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577C160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04173928">
            <w:pPr>
              <w:widowControl/>
              <w:spacing w:line="240" w:lineRule="exact"/>
              <w:jc w:val="center"/>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8B711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1EE4A6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A1B315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EAA4689">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AD65543">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37D3B66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667E906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78046D2">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35502CE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79713EC">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73A05F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349DEF5D">
            <w:pPr>
              <w:widowControl/>
              <w:spacing w:line="240" w:lineRule="exact"/>
              <w:jc w:val="center"/>
              <w:rPr>
                <w:rFonts w:hint="default" w:ascii="Times New Roman" w:hAnsi="Times New Roman" w:eastAsia="仿宋_GB2312" w:cs="Times New Roman"/>
                <w:color w:val="000000"/>
                <w:sz w:val="20"/>
                <w:szCs w:val="20"/>
              </w:rPr>
            </w:pPr>
          </w:p>
          <w:p w14:paraId="671244F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(40分)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0C7F215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C70AEBC">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农村垃圾分类创建示范村个数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16E61E3">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11个</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635F95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default" w:ascii="Times New Roman" w:hAnsi="Times New Roman" w:eastAsia="仿宋_GB2312" w:cs="Times New Roman"/>
                <w:color w:val="000000"/>
                <w:sz w:val="20"/>
                <w:szCs w:val="20"/>
                <w:lang w:val="en-US" w:eastAsia="zh-CN"/>
              </w:rPr>
              <w:t xml:space="preserve"> 6个</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5C1544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601D04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BD8BA7C">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财政资金不足</w:t>
            </w:r>
          </w:p>
        </w:tc>
      </w:tr>
      <w:tr w14:paraId="26C0F86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67A94E">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5D1E6851">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36533587">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CD25B84">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全面完成耕地抛荒治理面积</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4E690AA">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3458.37亩</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148A7C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3458.37亩</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5D9EB61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52891B4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0065DEB">
            <w:pPr>
              <w:widowControl/>
              <w:spacing w:line="240" w:lineRule="exact"/>
              <w:jc w:val="center"/>
              <w:rPr>
                <w:rFonts w:hint="default" w:ascii="Times New Roman" w:hAnsi="Times New Roman" w:eastAsia="仿宋_GB2312" w:cs="Times New Roman"/>
                <w:color w:val="000000"/>
                <w:sz w:val="20"/>
                <w:szCs w:val="20"/>
                <w:lang w:eastAsia="zh-CN"/>
              </w:rPr>
            </w:pPr>
          </w:p>
        </w:tc>
      </w:tr>
      <w:tr w14:paraId="3BE45C0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57EA8A">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53A993CD">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69EAD255">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F9E71BC">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耕地地力保护补贴面积</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FFA4B9B">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4.19万亩</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198DF6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4.19万亩</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2B37CDB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7989FE6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D0C34A5">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部分农户死亡销户，导致发放失败</w:t>
            </w:r>
          </w:p>
        </w:tc>
      </w:tr>
      <w:tr w14:paraId="5D27C70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807A91">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234045D4">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7B72AA6B">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705B74A">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稻谷目标价格补贴面积</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A469ED2">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3.5万亩</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269865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3.5万亩</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58CDC24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1F6F6C35">
            <w:pPr>
              <w:widowControl/>
              <w:tabs>
                <w:tab w:val="left" w:pos="252"/>
              </w:tabs>
              <w:spacing w:line="240" w:lineRule="exact"/>
              <w:ind w:firstLine="200" w:firstLineChars="1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E46185E">
            <w:pPr>
              <w:widowControl/>
              <w:spacing w:line="240" w:lineRule="exact"/>
              <w:jc w:val="center"/>
              <w:rPr>
                <w:rFonts w:hint="default" w:ascii="Times New Roman" w:hAnsi="Times New Roman" w:eastAsia="仿宋_GB2312" w:cs="Times New Roman"/>
                <w:color w:val="000000"/>
                <w:sz w:val="20"/>
                <w:szCs w:val="20"/>
              </w:rPr>
            </w:pPr>
          </w:p>
        </w:tc>
      </w:tr>
      <w:tr w14:paraId="03FC2EF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2D09C7">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06DA462B">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5EC0497F">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CDBD737">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受污染耕地安全利用率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094FD05">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91%以上</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4B9881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10FC326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603ABA4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D687E1D">
            <w:pPr>
              <w:widowControl/>
              <w:spacing w:line="240" w:lineRule="exact"/>
              <w:jc w:val="center"/>
              <w:rPr>
                <w:rFonts w:hint="default" w:ascii="Times New Roman" w:hAnsi="Times New Roman" w:eastAsia="仿宋_GB2312" w:cs="Times New Roman"/>
                <w:color w:val="000000"/>
                <w:sz w:val="20"/>
                <w:szCs w:val="20"/>
              </w:rPr>
            </w:pPr>
          </w:p>
        </w:tc>
      </w:tr>
      <w:tr w14:paraId="3EB0B3F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2802EF">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304A4C8E">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726A85D8">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8EBEF9C">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双季稻播种面积</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D6F79F3">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8000亩</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E39D8D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8000亩</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01A2AE9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4BCA7E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81AE7C6">
            <w:pPr>
              <w:widowControl/>
              <w:spacing w:line="240" w:lineRule="exact"/>
              <w:jc w:val="center"/>
              <w:rPr>
                <w:rFonts w:hint="default" w:ascii="Times New Roman" w:hAnsi="Times New Roman" w:eastAsia="仿宋_GB2312" w:cs="Times New Roman"/>
                <w:color w:val="000000"/>
                <w:sz w:val="20"/>
                <w:szCs w:val="20"/>
              </w:rPr>
            </w:pPr>
          </w:p>
        </w:tc>
      </w:tr>
      <w:tr w14:paraId="1E0C2F6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726120">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51F1B3FF">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5994DF12">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402EEBA">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农村机耕道新建维修改造公里数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78618F8">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30公里</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5328C4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38公里</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B2F5C4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23019C6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F277D47">
            <w:pPr>
              <w:widowControl/>
              <w:spacing w:line="240" w:lineRule="exact"/>
              <w:jc w:val="center"/>
              <w:rPr>
                <w:rFonts w:hint="default" w:ascii="Times New Roman" w:hAnsi="Times New Roman" w:eastAsia="仿宋_GB2312" w:cs="Times New Roman"/>
                <w:color w:val="000000"/>
                <w:sz w:val="20"/>
                <w:szCs w:val="20"/>
              </w:rPr>
            </w:pPr>
          </w:p>
        </w:tc>
      </w:tr>
      <w:tr w14:paraId="5CA07A1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59C9E4">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0DE99B17">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601F3863">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E859AD9">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水稻保险、水稻巨灾保险面积</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E71377A">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3.2万亩</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68A2ED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1.6万亩</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028D728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477C5EB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DCB725A">
            <w:pPr>
              <w:widowControl/>
              <w:spacing w:line="240" w:lineRule="exact"/>
              <w:jc w:val="center"/>
              <w:rPr>
                <w:rFonts w:hint="default" w:ascii="Times New Roman" w:hAnsi="Times New Roman" w:eastAsia="仿宋_GB2312" w:cs="Times New Roman"/>
                <w:color w:val="000000"/>
                <w:sz w:val="20"/>
                <w:szCs w:val="20"/>
              </w:rPr>
            </w:pPr>
          </w:p>
        </w:tc>
      </w:tr>
      <w:tr w14:paraId="0B7208D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A26EA8">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60E47959">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62F8804A">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D7CADC2">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特色农险保险范围</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067442C">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基本覆盖白关丝瓜种植农户</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4F0AC1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基本覆盖白关丝瓜种植农户</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39F1A73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06B875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1029A0C">
            <w:pPr>
              <w:widowControl/>
              <w:spacing w:line="240" w:lineRule="exact"/>
              <w:jc w:val="center"/>
              <w:rPr>
                <w:rFonts w:hint="default" w:ascii="Times New Roman" w:hAnsi="Times New Roman" w:eastAsia="仿宋_GB2312" w:cs="Times New Roman"/>
                <w:color w:val="000000"/>
                <w:sz w:val="20"/>
                <w:szCs w:val="20"/>
              </w:rPr>
            </w:pPr>
          </w:p>
        </w:tc>
      </w:tr>
      <w:tr w14:paraId="60AEE52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6E7A29">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62E9F40B">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34744F9B">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1DAF3C8">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病死畜禽无害化处理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6FCFADE">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应收尽收，应处尽处</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4D5F449">
            <w:pPr>
              <w:widowControl/>
              <w:spacing w:line="240" w:lineRule="exact"/>
              <w:ind w:firstLine="200" w:firstLineChars="1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9877头</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1A1EDF3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3F7FF66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A83264C">
            <w:pPr>
              <w:widowControl/>
              <w:spacing w:line="240" w:lineRule="exact"/>
              <w:jc w:val="center"/>
              <w:rPr>
                <w:rFonts w:hint="default" w:ascii="Times New Roman" w:hAnsi="Times New Roman" w:eastAsia="仿宋_GB2312" w:cs="Times New Roman"/>
                <w:color w:val="000000"/>
                <w:sz w:val="20"/>
                <w:szCs w:val="20"/>
              </w:rPr>
            </w:pPr>
          </w:p>
        </w:tc>
      </w:tr>
      <w:tr w14:paraId="0535364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AB6DA8">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296DCA44">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1F3B3961">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12F1CF0">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小农田水利设施修复数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02CA65F">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40处破损山塘、疏通堵塞水渠、新建取水等修复奖补</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F5DEA7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31处</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78AEB0B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69F711B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C87C389">
            <w:pPr>
              <w:widowControl/>
              <w:spacing w:line="240" w:lineRule="exact"/>
              <w:jc w:val="center"/>
              <w:rPr>
                <w:rFonts w:hint="default" w:ascii="Times New Roman" w:hAnsi="Times New Roman" w:eastAsia="仿宋_GB2312" w:cs="Times New Roman"/>
                <w:color w:val="000000"/>
                <w:sz w:val="20"/>
                <w:szCs w:val="20"/>
              </w:rPr>
            </w:pPr>
          </w:p>
        </w:tc>
      </w:tr>
      <w:tr w14:paraId="66168AE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54DC6E">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58616F70">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37059C0A">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5A21D2D">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农产品质量安全定性检测批次</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C86949F">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400批次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95B262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480批次</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0501E8F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4677351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14697E4">
            <w:pPr>
              <w:widowControl/>
              <w:spacing w:line="240" w:lineRule="exact"/>
              <w:jc w:val="center"/>
              <w:rPr>
                <w:rFonts w:hint="default" w:ascii="Times New Roman" w:hAnsi="Times New Roman" w:eastAsia="仿宋_GB2312" w:cs="Times New Roman"/>
                <w:color w:val="000000"/>
                <w:sz w:val="20"/>
                <w:szCs w:val="20"/>
              </w:rPr>
            </w:pPr>
          </w:p>
        </w:tc>
      </w:tr>
      <w:tr w14:paraId="48EFC8A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5F79BE">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01CB669A">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3D97EF48">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07520B5">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动物疫病防控</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3678952">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不发生重大动物疫情</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5130A3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未发生重大动物疫情</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423FE51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47BE7AD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3A0EC38">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4214D36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06A215">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13CFDDE8">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5E3F9302">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FE60D44">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生猪生产性能测定头数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7265CC3">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5000头</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CA6DD4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6500头</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F99A39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642C535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A66BBF9">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0981352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681A63">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167D2C2A">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6EFD69E1">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6954105">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结对对口帮扶县</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BD96583">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结对帮扶泸溪县</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293F78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完成</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273584B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04C02A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A04703E">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5756494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23FF2E">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1243F47F">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13B117FF">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C3B344E">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农机购置补贴</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B0D8F59">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符合要求的个人和农业生产经营组织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B44050C">
            <w:pPr>
              <w:widowControl/>
              <w:spacing w:line="240" w:lineRule="exact"/>
              <w:ind w:firstLine="300" w:firstLineChars="150"/>
              <w:jc w:val="both"/>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完成</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85BFD7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36E558E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46661C2">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6C45D05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61DA8C1">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77A12957">
            <w:pPr>
              <w:widowControl/>
              <w:spacing w:line="240" w:lineRule="exact"/>
              <w:jc w:val="center"/>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673FBDA7">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C2D07D5">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激励村党组织书记人数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04F0F0D">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2人</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487FDE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2人</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455320E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58A2658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96F8FE2">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27023273">
        <w:tblPrEx>
          <w:tblCellMar>
            <w:top w:w="0" w:type="dxa"/>
            <w:left w:w="108" w:type="dxa"/>
            <w:bottom w:w="0" w:type="dxa"/>
            <w:right w:w="108" w:type="dxa"/>
          </w:tblCellMar>
        </w:tblPrEx>
        <w:trPr>
          <w:trHeight w:val="28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6AD2AD">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668340">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48554E0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CE8E9B5">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农产品质量安全检测合格率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A131F29">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59CEED4">
            <w:pPr>
              <w:widowControl/>
              <w:spacing w:line="240" w:lineRule="exact"/>
              <w:ind w:firstLine="200" w:firstLineChars="100"/>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达标</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A2613F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569B8BC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4F73D38">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5539735E">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64C81B0">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281088">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13C6E8DF">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A3C40EB">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农业保险保费补贴</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089E54A">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按要求承保</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07C00A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完成60%</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36736AB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65085DC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E931033">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eastAsia="zh-CN"/>
              </w:rPr>
              <w:t>省级核减了数量造成承保数量不足</w:t>
            </w:r>
          </w:p>
        </w:tc>
      </w:tr>
      <w:tr w14:paraId="737B1AD9">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940979">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106E30">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033FC189">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83C8549">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农村户厕新建或改造标准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5990F53">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湖南省农村三格式户厕改新建技术导则</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400E7C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完成</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446D5A8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12816E8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38800C5">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161EEFF4">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6759F7">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B0326E">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46CBA34A">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67A59CE">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防返贫帮扶</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CD41FC9">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按程序和标准“应纳尽纳、应帮尽帮”</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9B1C83D">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完成</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5F67027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513EDD3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5C650EA">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58BB0616">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4620FF">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DDF991">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75DE999B">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5750B67">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耕地地力保护补贴</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414A3E9">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保护耕地地力，使地力不下降</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78B713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未下降</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2DE848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6686CA1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A99E760">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77D96B16">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AE3850">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36E856">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791C7851">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5BBE5A7">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农业适度规模经营补贴</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9E8EE4E">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规模经营户数和面积较前一年有所增加</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5802D7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有所增加</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77C513D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3228909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92866C7">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7D69B73D">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29619E">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0F9C89">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78BA1B3A">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7D124DD">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生猪生产性能测定</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EDAC762">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种猪性能不发生改变</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4CA75C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年供应7万余头优良猪仔</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44D467C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3C62BFC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C9B11B6">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558E5799">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2A4A01">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82EFA4">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2EFEA664">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52811C1">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受污染耕地安全利用率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8793E26">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稻米镉含量达标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E9D6191">
            <w:pPr>
              <w:widowControl/>
              <w:spacing w:line="240" w:lineRule="exact"/>
              <w:ind w:firstLine="200" w:firstLineChars="100"/>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达标</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468D3CF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7E6A319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2CBC8F2">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11F3861A">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9731CC">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E64ABA">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0767C0DD">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4E0C36C">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农村机耕道新建维修改造</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CBA172E">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以方便农业机械通往田间、林间山地作业为标准</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F28D058">
            <w:pPr>
              <w:widowControl/>
              <w:spacing w:line="240" w:lineRule="exact"/>
              <w:ind w:firstLine="200" w:firstLineChars="100"/>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完成</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4E080BF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779AFA2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1D614EF">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23E5BAB1">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F3FE14">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40B935">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C6D771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866705C">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完成时间</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6D5910F">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全年</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E7313DC">
            <w:pPr>
              <w:widowControl/>
              <w:spacing w:line="240" w:lineRule="exact"/>
              <w:ind w:firstLine="200" w:firstLineChars="100"/>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完成</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8FF9A9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6BF109A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7487C54">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213A858E">
        <w:tblPrEx>
          <w:tblCellMar>
            <w:top w:w="0" w:type="dxa"/>
            <w:left w:w="108" w:type="dxa"/>
            <w:bottom w:w="0" w:type="dxa"/>
            <w:right w:w="108" w:type="dxa"/>
          </w:tblCellMar>
        </w:tblPrEx>
        <w:trPr>
          <w:trHeight w:val="3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B06EB7">
            <w:pPr>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right w:val="single" w:color="auto" w:sz="4" w:space="0"/>
            </w:tcBorders>
            <w:noWrap w:val="0"/>
            <w:vAlign w:val="center"/>
          </w:tcPr>
          <w:p w14:paraId="1F4E573B">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right w:val="single" w:color="auto" w:sz="4" w:space="0"/>
            </w:tcBorders>
            <w:noWrap w:val="0"/>
            <w:vAlign w:val="center"/>
          </w:tcPr>
          <w:p w14:paraId="1A37A8C0">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产出成本</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8F256A7">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机关运转、乡村振兴、农业产业化、农村经济管理、畜牧水产服务、农业技术推广服务、农业综合服务</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B51726E">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lang w:val="en-US" w:eastAsia="zh-CN"/>
              </w:rPr>
              <w:t>3065.74万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B2A192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lang w:val="en-US" w:eastAsia="zh-CN"/>
              </w:rPr>
              <w:t>4158.5万</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CBBDA8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1E2EAB3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DB4663A">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上年度应付未付款项在本年支付，增加了其他项目支出</w:t>
            </w:r>
          </w:p>
        </w:tc>
      </w:tr>
      <w:tr w14:paraId="0A8D7511">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76151A">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FCB96B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2DBADDCF">
            <w:pPr>
              <w:widowControl/>
              <w:spacing w:line="240" w:lineRule="exact"/>
              <w:jc w:val="left"/>
              <w:rPr>
                <w:rFonts w:hint="default" w:ascii="Times New Roman" w:hAnsi="Times New Roman" w:eastAsia="仿宋_GB2312" w:cs="Times New Roman"/>
                <w:color w:val="000000"/>
                <w:sz w:val="20"/>
                <w:szCs w:val="20"/>
              </w:rPr>
            </w:pPr>
          </w:p>
          <w:p w14:paraId="230B555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val="en-US" w:eastAsia="zh-CN"/>
              </w:rPr>
              <w:t>20</w:t>
            </w:r>
            <w:r>
              <w:rPr>
                <w:rFonts w:hint="default" w:ascii="Times New Roman" w:hAnsi="Times New Roman" w:eastAsia="仿宋_GB2312" w:cs="Times New Roman"/>
                <w:color w:val="000000"/>
                <w:sz w:val="20"/>
                <w:szCs w:val="20"/>
              </w:rPr>
              <w:t>分）</w:t>
            </w:r>
          </w:p>
          <w:p w14:paraId="2FBE235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65BC7E5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3E577A2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938ED03">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农民收入</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3DFA9A2">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增加</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2216BC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增加</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217C09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210D58B3">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F4E8231">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3AFAF145">
        <w:tblPrEx>
          <w:tblCellMar>
            <w:top w:w="0" w:type="dxa"/>
            <w:left w:w="108" w:type="dxa"/>
            <w:bottom w:w="0" w:type="dxa"/>
            <w:right w:w="108" w:type="dxa"/>
          </w:tblCellMar>
        </w:tblPrEx>
        <w:trPr>
          <w:trHeight w:val="20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DED978">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045085">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1477DCE">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59A9A51">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农业生产产值</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03AB577">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 xml:space="preserve">提高 </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E99E812">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w:t>
            </w:r>
            <w:r>
              <w:rPr>
                <w:rFonts w:hint="default" w:ascii="Times New Roman" w:hAnsi="Times New Roman" w:eastAsia="仿宋_GB2312" w:cs="Times New Roman"/>
                <w:color w:val="000000"/>
                <w:sz w:val="20"/>
                <w:szCs w:val="20"/>
                <w:lang w:eastAsia="zh-CN"/>
              </w:rPr>
              <w:t>提高</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31D19F1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36C6553">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73AE99A">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069AF6BB">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3F5DBA">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A91413">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095116D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5F52E26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75BB234">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大力推进乡村振兴工作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9CECAEA">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全面推进农村建设升级</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5513C6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完成</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0039A69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982CDE9">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EF393F1">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1A8836EC">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A0BD5F">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F483E9">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1BD64C09">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21A2C34">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农村改革</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7CFADB6">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持续深化</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01A769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持续深化</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1D45C2F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24FD9DB5">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85307D7">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13FAD47C">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62AC34">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045E19">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25FE2280">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BF03397">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农产品质量安全</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9A8DE23">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确保农产品质量安全</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961EB9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i w:val="0"/>
                <w:iCs w:val="0"/>
                <w:color w:val="000000"/>
                <w:kern w:val="0"/>
                <w:sz w:val="20"/>
                <w:szCs w:val="20"/>
                <w:u w:val="none"/>
                <w:lang w:val="en-US" w:eastAsia="zh-CN" w:bidi="ar"/>
              </w:rPr>
              <w:t>确保了农产品质量安全</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4620786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48E28101">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1C63E2A">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3F15AACE">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00A012">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CBB1CA">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0471F24A">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E95EA83">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加强品牌建设</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01341D6">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扩大品牌影响力</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0BBB12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扩大了品牌影响力</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78B5AF16">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5C4C43B7">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6424796">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30F99C49">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FA82BC">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077098">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4C28AA3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4C003D1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695BA40">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推进农村人居环境整治升级</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DE107AE">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提升农村人居环境质量</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636EAD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稳步提升</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385DD9D6">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71630232">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2257D8D">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27AE77F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37A0D0">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70D979">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7433458">
            <w:pPr>
              <w:widowControl/>
              <w:spacing w:line="240" w:lineRule="exact"/>
              <w:jc w:val="left"/>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12BAD37">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农村生态环境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0C13CDB">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进一步改善</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8928E8F">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进一步改善</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7EDB58F5">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75C6D3DC">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3D77F18">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44966363">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DCDB42">
            <w:pPr>
              <w:widowControl/>
              <w:spacing w:line="240" w:lineRule="exact"/>
              <w:jc w:val="center"/>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288770">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F2978C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8E5E95E">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打造农业优势特色产业</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7F405DB">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主导优势特色产业集群发展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01015E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持续发展</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5954A490">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3E592746">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8214A79">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39197370">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C9A6A3">
            <w:pPr>
              <w:widowControl/>
              <w:spacing w:line="240" w:lineRule="exact"/>
              <w:jc w:val="center"/>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3960E0">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14:paraId="54B3DA14">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E4BD3FF">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粮食和重要农产品供给保障能力</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CA6BCD6">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进一步加强</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3AA91C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w:t>
            </w:r>
            <w:r>
              <w:rPr>
                <w:rFonts w:hint="default" w:ascii="Times New Roman" w:hAnsi="Times New Roman" w:eastAsia="仿宋_GB2312" w:cs="Times New Roman"/>
                <w:i w:val="0"/>
                <w:iCs w:val="0"/>
                <w:color w:val="000000"/>
                <w:kern w:val="0"/>
                <w:sz w:val="20"/>
                <w:szCs w:val="20"/>
                <w:u w:val="none"/>
                <w:lang w:val="en-US" w:eastAsia="zh-CN" w:bidi="ar"/>
              </w:rPr>
              <w:t>进一步加强</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77A1F881">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22B82983">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10D80BE">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7502FBA5">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B488B4">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91990A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02E737D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08F66A7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741B9C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9C171EA">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 xml:space="preserve">“三农”服务对象满意度 </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07322FD">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稳步提升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102F8E6">
            <w:pPr>
              <w:widowControl/>
              <w:spacing w:line="240" w:lineRule="exact"/>
              <w:ind w:firstLine="200" w:firstLineChars="1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稳步提升</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13A932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41A5457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5FD1384">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42150134">
        <w:tblPrEx>
          <w:tblCellMar>
            <w:top w:w="0" w:type="dxa"/>
            <w:left w:w="108" w:type="dxa"/>
            <w:bottom w:w="0" w:type="dxa"/>
            <w:right w:w="108" w:type="dxa"/>
          </w:tblCellMar>
        </w:tblPrEx>
        <w:trPr>
          <w:trHeight w:val="21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6FFBBF">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8D7DE8">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AE014E0">
            <w:pPr>
              <w:widowControl/>
              <w:spacing w:line="240" w:lineRule="exact"/>
              <w:jc w:val="left"/>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7DB1B9C">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社会公众满意度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9C06CED">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0"/>
                <w:szCs w:val="20"/>
                <w:u w:val="none"/>
                <w:lang w:val="en-US" w:eastAsia="zh-CN" w:bidi="ar"/>
              </w:rPr>
              <w:t>稳步提升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B2FBA0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default" w:ascii="Times New Roman" w:hAnsi="Times New Roman" w:eastAsia="仿宋_GB2312" w:cs="Times New Roman"/>
                <w:i w:val="0"/>
                <w:iCs w:val="0"/>
                <w:color w:val="000000"/>
                <w:kern w:val="0"/>
                <w:sz w:val="20"/>
                <w:szCs w:val="20"/>
                <w:u w:val="none"/>
                <w:lang w:val="en-US" w:eastAsia="zh-CN" w:bidi="ar"/>
              </w:rPr>
              <w:t>稳步提升</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5026A77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4EE2AA9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D6C1E4D">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2D298FD9">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1FA57E">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C15B24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E62F6A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7984740">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预计总支出</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1CBBD53">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sz w:val="20"/>
                <w:szCs w:val="20"/>
                <w:lang w:val="en-US" w:eastAsia="zh-CN"/>
              </w:rPr>
              <w:t>3065.74万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73C4BBC">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sz w:val="20"/>
                <w:szCs w:val="20"/>
                <w:lang w:val="en-US" w:eastAsia="zh-CN"/>
              </w:rPr>
              <w:t>4158.5万</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1ED9D11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2D89B7F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2AB05A2">
            <w:pPr>
              <w:widowControl/>
              <w:spacing w:line="240" w:lineRule="exact"/>
              <w:jc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上年度应付未付款项在本年支付，增加了其他项目支出</w:t>
            </w:r>
          </w:p>
        </w:tc>
      </w:tr>
      <w:tr w14:paraId="2EAFBDA6">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999EB3">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A4F6D8">
            <w:pPr>
              <w:widowControl/>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65F55F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CF6EB29">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无</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2F969A8">
            <w:pPr>
              <w:widowControl/>
              <w:spacing w:line="240" w:lineRule="exact"/>
              <w:jc w:val="left"/>
              <w:rPr>
                <w:rFonts w:hint="default"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B72BC0D">
            <w:pPr>
              <w:widowControl/>
              <w:spacing w:line="240" w:lineRule="exact"/>
              <w:jc w:val="left"/>
              <w:rPr>
                <w:rFonts w:hint="default" w:ascii="Times New Roman" w:hAnsi="Times New Roman" w:eastAsia="仿宋_GB2312" w:cs="Times New Roman"/>
                <w:color w:val="000000"/>
                <w:sz w:val="20"/>
                <w:szCs w:val="20"/>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152AFE06">
            <w:pPr>
              <w:widowControl/>
              <w:spacing w:line="240" w:lineRule="exact"/>
              <w:jc w:val="center"/>
              <w:rPr>
                <w:rFonts w:hint="default" w:ascii="Times New Roman" w:hAnsi="Times New Roman" w:eastAsia="仿宋_GB2312" w:cs="Times New Roman"/>
                <w:color w:val="000000"/>
                <w:sz w:val="20"/>
                <w:szCs w:val="20"/>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2DF1CB0B">
            <w:pPr>
              <w:widowControl/>
              <w:spacing w:line="240" w:lineRule="exact"/>
              <w:jc w:val="center"/>
              <w:rPr>
                <w:rFonts w:hint="default"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ADA0268">
            <w:pPr>
              <w:widowControl/>
              <w:spacing w:line="240" w:lineRule="exact"/>
              <w:jc w:val="center"/>
              <w:rPr>
                <w:rFonts w:hint="default" w:ascii="Times New Roman" w:hAnsi="Times New Roman" w:eastAsia="仿宋_GB2312" w:cs="Times New Roman"/>
                <w:color w:val="000000"/>
                <w:sz w:val="20"/>
                <w:szCs w:val="20"/>
              </w:rPr>
            </w:pPr>
          </w:p>
        </w:tc>
      </w:tr>
      <w:tr w14:paraId="13BCD8C7">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FF2C64">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7F5DAA">
            <w:pPr>
              <w:widowControl/>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25A44C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666DEE9">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无</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FDBD748">
            <w:pPr>
              <w:widowControl/>
              <w:spacing w:line="240" w:lineRule="exact"/>
              <w:jc w:val="left"/>
              <w:rPr>
                <w:rFonts w:hint="default"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6E3E3B3">
            <w:pPr>
              <w:widowControl/>
              <w:spacing w:line="240" w:lineRule="exact"/>
              <w:jc w:val="left"/>
              <w:rPr>
                <w:rFonts w:hint="default" w:ascii="Times New Roman" w:hAnsi="Times New Roman" w:eastAsia="仿宋_GB2312" w:cs="Times New Roman"/>
                <w:color w:val="000000"/>
                <w:sz w:val="20"/>
                <w:szCs w:val="20"/>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6AD6858F">
            <w:pPr>
              <w:widowControl/>
              <w:spacing w:line="240" w:lineRule="exact"/>
              <w:jc w:val="center"/>
              <w:rPr>
                <w:rFonts w:hint="default" w:ascii="Times New Roman" w:hAnsi="Times New Roman" w:eastAsia="仿宋_GB2312" w:cs="Times New Roman"/>
                <w:color w:val="000000"/>
                <w:sz w:val="20"/>
                <w:szCs w:val="20"/>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098452E2">
            <w:pPr>
              <w:widowControl/>
              <w:spacing w:line="240" w:lineRule="exact"/>
              <w:jc w:val="center"/>
              <w:rPr>
                <w:rFonts w:hint="default"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EA6590A">
            <w:pPr>
              <w:widowControl/>
              <w:spacing w:line="240" w:lineRule="exact"/>
              <w:jc w:val="center"/>
              <w:rPr>
                <w:rFonts w:hint="default" w:ascii="Times New Roman" w:hAnsi="Times New Roman" w:eastAsia="仿宋_GB2312" w:cs="Times New Roman"/>
                <w:color w:val="000000"/>
                <w:sz w:val="20"/>
                <w:szCs w:val="20"/>
              </w:rPr>
            </w:pPr>
          </w:p>
        </w:tc>
      </w:tr>
      <w:tr w14:paraId="30A4618A">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2500D0F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71" w:type="dxa"/>
            <w:tcBorders>
              <w:top w:val="single" w:color="auto" w:sz="4" w:space="0"/>
              <w:left w:val="nil"/>
              <w:bottom w:val="single" w:color="auto" w:sz="4" w:space="0"/>
              <w:right w:val="single" w:color="auto" w:sz="4" w:space="0"/>
            </w:tcBorders>
            <w:noWrap w:val="0"/>
            <w:vAlign w:val="center"/>
          </w:tcPr>
          <w:p w14:paraId="1247ED3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18" w:type="dxa"/>
            <w:tcBorders>
              <w:top w:val="single" w:color="auto" w:sz="4" w:space="0"/>
              <w:left w:val="nil"/>
              <w:bottom w:val="single" w:color="auto" w:sz="4" w:space="0"/>
              <w:right w:val="single" w:color="auto" w:sz="4" w:space="0"/>
            </w:tcBorders>
            <w:noWrap w:val="0"/>
            <w:vAlign w:val="center"/>
          </w:tcPr>
          <w:p w14:paraId="440072B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97</w:t>
            </w:r>
          </w:p>
        </w:tc>
        <w:tc>
          <w:tcPr>
            <w:tcW w:w="1446" w:type="dxa"/>
            <w:tcBorders>
              <w:top w:val="single" w:color="auto" w:sz="4" w:space="0"/>
              <w:left w:val="nil"/>
              <w:bottom w:val="single" w:color="auto" w:sz="4" w:space="0"/>
              <w:right w:val="single" w:color="auto" w:sz="4" w:space="0"/>
            </w:tcBorders>
            <w:noWrap w:val="0"/>
            <w:vAlign w:val="center"/>
          </w:tcPr>
          <w:p w14:paraId="6569B3B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1E11CD83">
      <w:pPr>
        <w:tabs>
          <w:tab w:val="left" w:pos="7560"/>
        </w:tabs>
        <w:adjustRightInd w:val="0"/>
        <w:snapToGrid w:val="0"/>
        <w:spacing w:line="560" w:lineRule="exact"/>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rPr>
        <w:t xml:space="preserve">           </w:t>
      </w:r>
      <w:r>
        <w:rPr>
          <w:rFonts w:ascii="Times New Roman" w:hAnsi="Times New Roman" w:eastAsia="仿宋_GB2312" w:cs="Times New Roman"/>
          <w:sz w:val="22"/>
          <w:szCs w:val="22"/>
          <w:highlight w:val="none"/>
        </w:rPr>
        <w:t>单位负责人签字：</w:t>
      </w:r>
    </w:p>
    <w:p w14:paraId="560126C7">
      <w:pPr>
        <w:pStyle w:val="2"/>
        <w:rPr>
          <w:rFonts w:ascii="Times New Roman" w:hAnsi="Times New Roman" w:cs="Times New Roman"/>
          <w:color w:val="000000"/>
          <w:highlight w:val="none"/>
        </w:rPr>
      </w:pPr>
    </w:p>
    <w:p w14:paraId="7B0FF483">
      <w:pPr>
        <w:rPr>
          <w:highlight w:val="none"/>
        </w:rPr>
      </w:pPr>
    </w:p>
    <w:sectPr>
      <w:footerReference r:id="rId3" w:type="default"/>
      <w:pgSz w:w="11906" w:h="16838"/>
      <w:pgMar w:top="2098" w:right="1531" w:bottom="1984" w:left="1531" w:header="851" w:footer="158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3AF0C">
    <w:pPr>
      <w:pStyle w:val="6"/>
      <w:framePr w:wrap="around" w:vAnchor="text" w:hAnchor="margin" w:xAlign="outside" w:y="1"/>
      <w:rPr>
        <w:rStyle w:val="9"/>
        <w:rFonts w:hint="eastAsia"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9</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14:paraId="7F64706F">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379ec195-0150-4728-853d-3e31a2a0fc4b"/>
  </w:docVars>
  <w:rsids>
    <w:rsidRoot w:val="00000000"/>
    <w:rsid w:val="03222F38"/>
    <w:rsid w:val="03DC1637"/>
    <w:rsid w:val="07FB8D81"/>
    <w:rsid w:val="0EEE3FE2"/>
    <w:rsid w:val="12866F09"/>
    <w:rsid w:val="14BA3E12"/>
    <w:rsid w:val="1AA45072"/>
    <w:rsid w:val="1E8757A6"/>
    <w:rsid w:val="2C8F4E99"/>
    <w:rsid w:val="2DCE4645"/>
    <w:rsid w:val="3CDFB60F"/>
    <w:rsid w:val="3EAB0813"/>
    <w:rsid w:val="3F4D581B"/>
    <w:rsid w:val="585D9A78"/>
    <w:rsid w:val="6DF442B4"/>
    <w:rsid w:val="6F6D899F"/>
    <w:rsid w:val="6FBF77BB"/>
    <w:rsid w:val="6FFF3627"/>
    <w:rsid w:val="74440108"/>
    <w:rsid w:val="77CC7E01"/>
    <w:rsid w:val="7FE717FF"/>
    <w:rsid w:val="D7ADCF8B"/>
    <w:rsid w:val="EFFDA7C0"/>
    <w:rsid w:val="F7FF12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First Indent 2"/>
    <w:basedOn w:val="3"/>
    <w:unhideWhenUsed/>
    <w:qFormat/>
    <w:uiPriority w:val="99"/>
    <w:pPr>
      <w:widowControl w:val="0"/>
      <w:ind w:firstLine="200" w:firstLineChars="200"/>
      <w:jc w:val="both"/>
    </w:pPr>
    <w:rPr>
      <w:rFonts w:ascii="Calibri" w:hAnsi="Calibri" w:eastAsia="仿宋_GB2312" w:cs="Times New Roman"/>
      <w:kern w:val="2"/>
      <w:sz w:val="36"/>
      <w:szCs w:val="36"/>
      <w:lang w:val="en-US" w:eastAsia="zh-CN" w:bidi="ar-SA"/>
    </w:rPr>
  </w:style>
  <w:style w:type="paragraph" w:styleId="3">
    <w:name w:val="Body Text Indent"/>
    <w:basedOn w:val="1"/>
    <w:qFormat/>
    <w:uiPriority w:val="0"/>
    <w:pPr>
      <w:spacing w:line="240" w:lineRule="atLeast"/>
      <w:ind w:firstLine="560" w:firstLineChars="200"/>
    </w:pPr>
    <w:rPr>
      <w:rFonts w:ascii="宋体" w:hAnsi="宋体" w:eastAsia="宋体" w:cs="Times New Roman"/>
      <w:sz w:val="28"/>
      <w:szCs w:val="32"/>
    </w:rPr>
  </w:style>
  <w:style w:type="paragraph" w:styleId="4">
    <w:name w:val="annotation text"/>
    <w:basedOn w:val="1"/>
    <w:uiPriority w:val="0"/>
    <w:pPr>
      <w:jc w:val="left"/>
    </w:pPr>
  </w:style>
  <w:style w:type="paragraph" w:styleId="5">
    <w:name w:val="Body Text"/>
    <w:qFormat/>
    <w:uiPriority w:val="0"/>
    <w:pPr>
      <w:widowControl w:val="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5786</Words>
  <Characters>6399</Characters>
  <Lines>0</Lines>
  <Paragraphs>0</Paragraphs>
  <TotalTime>143.333333333333</TotalTime>
  <ScaleCrop>false</ScaleCrop>
  <LinksUpToDate>false</LinksUpToDate>
  <CharactersWithSpaces>6505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cp:lastModifiedBy>
  <dcterms:modified xsi:type="dcterms:W3CDTF">2024-12-06T04:53:10Z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F6D3533DB9314F18B53EF73B7FAB1800_13</vt:lpwstr>
  </property>
</Properties>
</file>