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b/>
          <w:sz w:val="44"/>
          <w:szCs w:val="44"/>
        </w:rPr>
      </w:pPr>
      <w:r>
        <w:rPr>
          <w:rFonts w:hint="eastAsia" w:ascii="黑体" w:hAnsi="黑体" w:eastAsia="黑体"/>
          <w:b/>
          <w:sz w:val="44"/>
          <w:szCs w:val="44"/>
        </w:rPr>
        <w:t>区城管局</w:t>
      </w:r>
      <w:r>
        <w:rPr>
          <w:rFonts w:hint="eastAsia" w:ascii="黑体" w:hAnsi="黑体" w:eastAsia="黑体"/>
          <w:b/>
          <w:sz w:val="44"/>
          <w:szCs w:val="44"/>
          <w:lang w:val="en-US" w:eastAsia="zh-CN"/>
        </w:rPr>
        <w:t>2024年12</w:t>
      </w:r>
      <w:r>
        <w:rPr>
          <w:rFonts w:hint="eastAsia" w:ascii="黑体" w:hAnsi="黑体" w:eastAsia="黑体"/>
          <w:b/>
          <w:sz w:val="44"/>
          <w:szCs w:val="44"/>
        </w:rPr>
        <w:t>月执法案件公示</w:t>
      </w:r>
    </w:p>
    <w:p>
      <w:pPr>
        <w:spacing w:line="220" w:lineRule="atLeast"/>
        <w:jc w:val="center"/>
        <w:rPr>
          <w:rFonts w:hint="eastAsia" w:ascii="黑体" w:hAnsi="黑体" w:eastAsia="黑体"/>
          <w:b/>
          <w:sz w:val="44"/>
          <w:szCs w:val="44"/>
        </w:rPr>
      </w:pPr>
    </w:p>
    <w:p>
      <w:pPr>
        <w:spacing w:line="220" w:lineRule="atLeast"/>
        <w:rPr>
          <w:rFonts w:ascii="楷体_GB2312" w:eastAsia="楷体_GB2312"/>
          <w:b/>
          <w:sz w:val="24"/>
          <w:szCs w:val="24"/>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2</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147"/>
        <w:gridCol w:w="1418"/>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51"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案件名称</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lang w:val="en-US" w:eastAsia="zh-CN"/>
              </w:rPr>
              <w:t>株洲中燃铁达能源有限公司云龙配送站未对燃气用户的燃气设施定期进行安全检查案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51"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处罚决定书编号</w:t>
            </w:r>
          </w:p>
        </w:tc>
        <w:tc>
          <w:tcPr>
            <w:tcW w:w="3147"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 xml:space="preserve">株（石）城行罚决字〔2024〕第20210001号 </w:t>
            </w:r>
          </w:p>
        </w:tc>
        <w:tc>
          <w:tcPr>
            <w:tcW w:w="1418"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当事人名称</w:t>
            </w:r>
          </w:p>
        </w:tc>
        <w:tc>
          <w:tcPr>
            <w:tcW w:w="2097"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lang w:val="en-US" w:eastAsia="zh-CN"/>
              </w:rPr>
              <w:t xml:space="preserve"> 株洲中燃铁达能源有限公司云龙配送站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处罚事由</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lang w:val="en-US" w:eastAsia="zh-CN"/>
              </w:rPr>
              <w:t>未对燃气用户的燃气设施定期进行安全检查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951"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处罚依据</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lang w:val="en-US" w:eastAsia="zh-CN"/>
              </w:rPr>
              <w:t>《城镇燃气管理条例》第四十六条第七款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处罚结果</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罚款人民币</w:t>
            </w:r>
            <w:r>
              <w:rPr>
                <w:rFonts w:hint="eastAsia" w:ascii="仿宋_GB2312" w:eastAsia="仿宋_GB2312"/>
                <w:sz w:val="24"/>
                <w:szCs w:val="24"/>
                <w:lang w:val="en-US" w:eastAsia="zh-CN"/>
              </w:rPr>
              <w:t>壹万</w:t>
            </w:r>
            <w:r>
              <w:rPr>
                <w:rFonts w:hint="eastAsia" w:ascii="仿宋_GB2312" w:eastAsia="仿宋_GB2312"/>
                <w:sz w:val="24"/>
                <w:szCs w:val="24"/>
              </w:rPr>
              <w:t>元整(￥</w:t>
            </w:r>
            <w:r>
              <w:rPr>
                <w:rFonts w:hint="eastAsia" w:ascii="仿宋_GB2312" w:eastAsia="仿宋_GB2312"/>
                <w:sz w:val="24"/>
                <w:szCs w:val="24"/>
                <w:lang w:val="en-US" w:eastAsia="zh-CN"/>
              </w:rPr>
              <w:t>10000.00</w:t>
            </w: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执法单位名称</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处罚决定日期</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4</w:t>
            </w:r>
            <w:r>
              <w:rPr>
                <w:rFonts w:hint="eastAsia" w:ascii="仿宋_GB2312" w:eastAsia="仿宋_GB2312"/>
                <w:sz w:val="24"/>
                <w:szCs w:val="24"/>
              </w:rPr>
              <w:t>年</w:t>
            </w:r>
            <w:r>
              <w:rPr>
                <w:rFonts w:hint="eastAsia" w:ascii="仿宋_GB2312" w:eastAsia="仿宋_GB2312"/>
                <w:sz w:val="24"/>
                <w:szCs w:val="24"/>
                <w:lang w:val="en-US" w:eastAsia="zh-CN"/>
              </w:rPr>
              <w:t>12</w:t>
            </w:r>
            <w:r>
              <w:rPr>
                <w:rFonts w:hint="eastAsia" w:ascii="仿宋_GB2312" w:eastAsia="仿宋_GB2312"/>
                <w:sz w:val="24"/>
                <w:szCs w:val="24"/>
              </w:rPr>
              <w:t>月</w:t>
            </w:r>
            <w:r>
              <w:rPr>
                <w:rFonts w:hint="eastAsia" w:ascii="仿宋_GB2312" w:eastAsia="仿宋_GB2312"/>
                <w:sz w:val="24"/>
                <w:szCs w:val="24"/>
                <w:lang w:val="en-US" w:eastAsia="zh-CN"/>
              </w:rPr>
              <w:t>2</w:t>
            </w:r>
            <w:r>
              <w:rPr>
                <w:rFonts w:hint="eastAsia" w:ascii="仿宋_GB2312" w:eastAsia="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无</w:t>
            </w:r>
          </w:p>
        </w:tc>
      </w:tr>
    </w:tbl>
    <w:p>
      <w:pPr>
        <w:spacing w:line="220" w:lineRule="atLeast"/>
        <w:jc w:val="center"/>
        <w:rPr>
          <w:rFonts w:hint="eastAsia" w:ascii="仿宋_GB2312" w:eastAsia="仿宋_GB2312"/>
          <w:sz w:val="24"/>
          <w:szCs w:val="24"/>
        </w:rPr>
      </w:pPr>
    </w:p>
    <w:p>
      <w:pPr>
        <w:spacing w:line="220" w:lineRule="atLeast"/>
        <w:jc w:val="center"/>
        <w:rPr>
          <w:rFonts w:hint="eastAsia" w:ascii="仿宋_GB2312" w:eastAsia="仿宋_GB2312"/>
          <w:sz w:val="24"/>
          <w:szCs w:val="24"/>
        </w:rPr>
      </w:pPr>
    </w:p>
    <w:p>
      <w:pPr>
        <w:spacing w:line="220" w:lineRule="atLeast"/>
        <w:rPr>
          <w:rFonts w:ascii="楷体_GB2312" w:eastAsia="楷体_GB2312"/>
          <w:b/>
          <w:sz w:val="24"/>
          <w:szCs w:val="24"/>
        </w:rPr>
      </w:pPr>
    </w:p>
    <w:p>
      <w:pPr>
        <w:spacing w:line="220" w:lineRule="atLeast"/>
        <w:rPr>
          <w:rFonts w:ascii="楷体_GB2312" w:eastAsia="楷体_GB2312"/>
          <w:b/>
          <w:sz w:val="24"/>
          <w:szCs w:val="24"/>
        </w:rPr>
      </w:pPr>
    </w:p>
    <w:p>
      <w:pPr>
        <w:spacing w:line="220" w:lineRule="atLeast"/>
        <w:rPr>
          <w:rFonts w:ascii="楷体_GB2312" w:eastAsia="楷体_GB2312"/>
          <w:b/>
          <w:sz w:val="24"/>
          <w:szCs w:val="24"/>
        </w:rPr>
      </w:pPr>
    </w:p>
    <w:p>
      <w:pPr>
        <w:spacing w:line="220" w:lineRule="atLeast"/>
        <w:rPr>
          <w:rFonts w:ascii="楷体_GB2312" w:eastAsia="楷体_GB2312"/>
          <w:b/>
          <w:sz w:val="24"/>
          <w:szCs w:val="24"/>
        </w:rPr>
      </w:pPr>
    </w:p>
    <w:p>
      <w:pPr>
        <w:rPr>
          <w:rFonts w:ascii="楷体_GB2312" w:eastAsia="楷体_GB2312"/>
          <w:b/>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0F"/>
    <w:rsid w:val="00004154"/>
    <w:rsid w:val="000118C4"/>
    <w:rsid w:val="0026588B"/>
    <w:rsid w:val="00786B4C"/>
    <w:rsid w:val="008D060F"/>
    <w:rsid w:val="00BD4BE3"/>
    <w:rsid w:val="00C45D2F"/>
    <w:rsid w:val="00C67274"/>
    <w:rsid w:val="01084ED0"/>
    <w:rsid w:val="03461A11"/>
    <w:rsid w:val="083D2ADF"/>
    <w:rsid w:val="09426D1B"/>
    <w:rsid w:val="0B4F6244"/>
    <w:rsid w:val="0D3240EC"/>
    <w:rsid w:val="139D5D3B"/>
    <w:rsid w:val="15755A10"/>
    <w:rsid w:val="188F6704"/>
    <w:rsid w:val="18960BDE"/>
    <w:rsid w:val="18DD08B5"/>
    <w:rsid w:val="1EDB359C"/>
    <w:rsid w:val="204C782D"/>
    <w:rsid w:val="20953C62"/>
    <w:rsid w:val="20D214CB"/>
    <w:rsid w:val="21CE1C39"/>
    <w:rsid w:val="24213DC3"/>
    <w:rsid w:val="2525311E"/>
    <w:rsid w:val="2A9A0D1B"/>
    <w:rsid w:val="2B8C75FE"/>
    <w:rsid w:val="2BBA2D26"/>
    <w:rsid w:val="2C980AAA"/>
    <w:rsid w:val="2D727AF5"/>
    <w:rsid w:val="2DE14A9D"/>
    <w:rsid w:val="304B2ED9"/>
    <w:rsid w:val="323F3B8B"/>
    <w:rsid w:val="34C67069"/>
    <w:rsid w:val="3603288D"/>
    <w:rsid w:val="37C3445B"/>
    <w:rsid w:val="3D884625"/>
    <w:rsid w:val="3D985269"/>
    <w:rsid w:val="431D77B2"/>
    <w:rsid w:val="450E3EFE"/>
    <w:rsid w:val="4A7F03DD"/>
    <w:rsid w:val="4E5B4714"/>
    <w:rsid w:val="4E641555"/>
    <w:rsid w:val="4F30665F"/>
    <w:rsid w:val="5A9778D3"/>
    <w:rsid w:val="5C7F797D"/>
    <w:rsid w:val="604F09D7"/>
    <w:rsid w:val="617108C2"/>
    <w:rsid w:val="62686F37"/>
    <w:rsid w:val="64250040"/>
    <w:rsid w:val="66DB7198"/>
    <w:rsid w:val="6D6A10D3"/>
    <w:rsid w:val="6E466E37"/>
    <w:rsid w:val="6FCB2A51"/>
    <w:rsid w:val="70696214"/>
    <w:rsid w:val="72EB11BC"/>
    <w:rsid w:val="786D69C8"/>
    <w:rsid w:val="7AF705BA"/>
    <w:rsid w:val="7C1A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customStyle="1" w:styleId="8">
    <w:name w:val="p1"/>
    <w:basedOn w:val="1"/>
    <w:qFormat/>
    <w:uiPriority w:val="0"/>
    <w:pPr>
      <w:jc w:val="left"/>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Pages>
  <Words>76</Words>
  <Characters>439</Characters>
  <Lines>3</Lines>
  <Paragraphs>1</Paragraphs>
  <TotalTime>0</TotalTime>
  <ScaleCrop>false</ScaleCrop>
  <LinksUpToDate>false</LinksUpToDate>
  <CharactersWithSpaces>514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2021-04-19T02:51:00Z</dcterms:created>
  <dc:creator>石峰区 大队法制办</dc:creator>
  <cp:lastModifiedBy>15073</cp:lastModifiedBy>
  <dcterms:modified xsi:type="dcterms:W3CDTF">2024-12-06T01:44:21Z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087EA64F553A4C85BE5CC242E746EA22</vt:lpwstr>
  </property>
</Properties>
</file>