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spacing w:line="1300" w:lineRule="exact"/>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spacing w:line="1300" w:lineRule="exact"/>
        <w:jc w:val="center"/>
        <w:rPr>
          <w:rFonts w:ascii="Times New Roman" w:hAnsi="Times New Roman" w:eastAsia="方正小标宋简体" w:cs="Times New Roman"/>
          <w:sz w:val="76"/>
          <w:szCs w:val="76"/>
        </w:rPr>
      </w:pPr>
      <w:r>
        <w:rPr>
          <w:rFonts w:hint="eastAsia" w:ascii="Times New Roman" w:hAnsi="Times New Roman" w:eastAsia="方正小标宋简体" w:cs="Times New Roman"/>
          <w:sz w:val="72"/>
          <w:szCs w:val="72"/>
        </w:rPr>
        <w:t>株洲市石峰区社会保险服务中心</w:t>
      </w:r>
    </w:p>
    <w:p>
      <w:pPr>
        <w:pStyle w:val="17"/>
        <w:spacing w:line="1300" w:lineRule="exact"/>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spacing w:line="480" w:lineRule="auto"/>
        <w:jc w:val="center"/>
        <w:rPr>
          <w:rFonts w:ascii="Times New Roman" w:hAnsi="Times New Roman" w:eastAsia="方正小标宋简体" w:cs="Times New Roman"/>
          <w:sz w:val="72"/>
          <w:szCs w:val="72"/>
        </w:rPr>
      </w:pP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株洲市石峰区社会保险服务中心概</w:t>
      </w:r>
      <w:r>
        <w:rPr>
          <w:rFonts w:ascii="Times New Roman" w:hAnsi="Times New Roman" w:cs="Times New Roman"/>
          <w:sz w:val="32"/>
          <w:szCs w:val="32"/>
        </w:rPr>
        <w:t>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株洲市石峰区社会保险服务中心</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黑体"/>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部门职责</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（一）认真贯彻执行国家、省、市有关社会保险法律、法规、政策。</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（二）负责本区机关事业单位和企业养老保险、城乡居民社会养老保险以及失业保险工作。</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（三）负责各项社会保险基金统筹和离退休人员管理工作。</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（四）全面完成市局下达的各项目标任务，确保各项社会保险待遇按时足额发放。</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（五）完成区委、区政府及上级业务主管部门和区人社局交办的其它工作。</w:t>
      </w:r>
    </w:p>
    <w:p>
      <w:pPr>
        <w:numPr>
          <w:ilvl w:val="0"/>
          <w:numId w:val="1"/>
        </w:numPr>
        <w:overflowPunct w:val="0"/>
        <w:spacing w:line="596" w:lineRule="exact"/>
        <w:rPr>
          <w:rFonts w:ascii="Times New Roman" w:hAnsi="Times New Roman" w:eastAsia="黑体" w:cs="黑体"/>
          <w:kern w:val="0"/>
          <w:sz w:val="32"/>
          <w:szCs w:val="32"/>
        </w:rPr>
      </w:pPr>
      <w:r>
        <w:rPr>
          <w:rFonts w:hint="eastAsia" w:ascii="Times New Roman" w:hAnsi="Times New Roman" w:eastAsia="黑体" w:cs="黑体"/>
          <w:kern w:val="0"/>
          <w:sz w:val="32"/>
          <w:szCs w:val="32"/>
        </w:rPr>
        <w:t>机构设置及决算单位构成</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（一）内设机构设置。株洲市石峰区社会保险服务中心内设机构包括：内设科室6个，分别为：企业养老保险、机关养老保险、失业保险、城乡居民养老保险、退休审批室、财务室。</w:t>
      </w:r>
    </w:p>
    <w:p>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（二）决算单位构成。株洲市石峰区社会保险服务中心2023年部门决算汇总公开单位构成包括：株洲市石峰区社会保险服务中心本级。</w:t>
      </w:r>
    </w:p>
    <w:p>
      <w:pPr>
        <w:jc w:val="left"/>
        <w:rPr>
          <w:rFonts w:ascii="仿宋_GB2312" w:hAnsi="宋体" w:eastAsia="仿宋_GB2312" w:cs="Times New Roman"/>
          <w:sz w:val="28"/>
          <w:szCs w:val="32"/>
        </w:rPr>
      </w:pPr>
    </w:p>
    <w:p>
      <w:pPr>
        <w:pStyle w:val="18"/>
        <w:overflowPunct w:val="0"/>
        <w:spacing w:line="596" w:lineRule="exact"/>
        <w:ind w:left="1360" w:firstLine="0" w:firstLineChars="0"/>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7"/>
        <w:spacing w:line="570" w:lineRule="exact"/>
        <w:ind w:firstLine="640" w:firstLineChars="200"/>
        <w:jc w:val="both"/>
        <w:rPr>
          <w:rFonts w:ascii="Times New Roman" w:hAnsi="Times New Roman" w:cs="Times New Roman"/>
          <w:sz w:val="32"/>
          <w:szCs w:val="32"/>
        </w:rPr>
      </w:pPr>
      <w:r>
        <w:rPr>
          <w:rFonts w:hint="eastAsia" w:asciiTheme="minorEastAsia" w:hAnsiTheme="minorEastAsia" w:eastAsiaTheme="minorEastAsia"/>
          <w:sz w:val="32"/>
          <w:szCs w:val="32"/>
        </w:rPr>
        <w:t>2023年度收、支总计299.08万元。与上年相比，增加47.87万元，增长19.05%。主要原因是其他支出和其他资源勘探工业信息等支出增加。</w:t>
      </w:r>
    </w:p>
    <w:p>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2023年度收入合计299.08万元，其中：财政拨款收入289.04万元，其他收入10.04万元。</w:t>
      </w:r>
    </w:p>
    <w:p>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2023年度支出合计299.08万元，其中：基本支出260.7万元，占87.17%；项目支出38.38万元，占12.83%。</w:t>
      </w:r>
    </w:p>
    <w:p>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7"/>
        <w:spacing w:line="570" w:lineRule="exact"/>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2023年度财政拨款收、支总计289.04万元，与上年相比，增加44.07万元，增长18%。</w:t>
      </w:r>
      <w:r>
        <w:rPr>
          <w:rFonts w:ascii="Times New Roman" w:hAnsi="Times New Roman"/>
          <w:sz w:val="32"/>
          <w:szCs w:val="32"/>
        </w:rPr>
        <w:t xml:space="preserve"> </w:t>
      </w:r>
      <w:r>
        <w:rPr>
          <w:rFonts w:hint="eastAsia" w:asciiTheme="minorEastAsia" w:hAnsiTheme="minorEastAsia" w:eastAsiaTheme="minorEastAsia"/>
          <w:sz w:val="32"/>
          <w:szCs w:val="32"/>
        </w:rPr>
        <w:t>主要原因是人员职务职级提升，经费增加。</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spacing w:line="570" w:lineRule="exact"/>
        <w:ind w:firstLine="640" w:firstLineChars="200"/>
        <w:jc w:val="both"/>
        <w:rPr>
          <w:rFonts w:ascii="Times New Roman" w:hAnsi="Times New Roman" w:cs="楷体_GB2312" w:eastAsiaTheme="minorEastAsia"/>
          <w:b/>
          <w:sz w:val="32"/>
          <w:szCs w:val="32"/>
        </w:rPr>
      </w:pPr>
      <w:r>
        <w:rPr>
          <w:rFonts w:hint="eastAsia" w:asciiTheme="minorEastAsia" w:hAnsiTheme="minorEastAsia" w:eastAsiaTheme="minorEastAsia"/>
          <w:sz w:val="32"/>
          <w:szCs w:val="32"/>
        </w:rPr>
        <w:t>2023年度财政拨款支出289.04万元，占本年支出合计的96.64%，与上年相比，财政拨款支出增加44.07万元，增长18%。增加业务性专项经费支出及人员支出。</w:t>
      </w:r>
      <w:r>
        <w:rPr>
          <w:rFonts w:ascii="Times New Roman" w:hAnsi="Times New Roman" w:cs="楷体_GB2312" w:eastAsiaTheme="minorEastAsia"/>
          <w:b/>
          <w:sz w:val="32"/>
          <w:szCs w:val="32"/>
        </w:rPr>
        <w:t xml:space="preserve"> </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pPr>
        <w:pStyle w:val="17"/>
        <w:ind w:firstLine="640" w:firstLineChars="200"/>
        <w:rPr>
          <w:rFonts w:ascii="Times New Roman" w:hAnsi="Times New Roman" w:eastAsia="楷体_GB2312" w:cs="楷体_GB2312"/>
          <w:b/>
          <w:sz w:val="32"/>
          <w:szCs w:val="32"/>
        </w:rPr>
      </w:pPr>
      <w:r>
        <w:rPr>
          <w:rFonts w:hint="eastAsia" w:asciiTheme="minorEastAsia" w:hAnsiTheme="minorEastAsia" w:eastAsiaTheme="minorEastAsia"/>
          <w:sz w:val="32"/>
          <w:szCs w:val="32"/>
        </w:rPr>
        <w:t>2023年度财政拨款支出289.04万元，主要用于以下方面：社会保障和就业支出288.14万元，占99.69%；资源勘探工业信息等支出0.9万元，占0.31%。</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pPr>
        <w:pStyle w:val="7"/>
        <w:autoSpaceDE w:val="0"/>
        <w:autoSpaceDN w:val="0"/>
        <w:adjustRightInd w:val="0"/>
        <w:spacing w:line="57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支出年初预算数为7759.53万元，支出决算数为289.04万元。原因是2023年年初预算时财政将城乡居民养老保险财政补助、机关事业单位养老保险财政补助及困难帮扶-城乡居民养老保险政府代缴等资金预算共计6980万元安排在社保中心，但在实际执行中将此类“对社会保险基金补助”收回。实际执行情况如下：</w:t>
      </w:r>
    </w:p>
    <w:p>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1、社会保障和就业（类）人力资源和社会保障事务（款）社会保险经办机构（项）。</w:t>
      </w:r>
    </w:p>
    <w:p>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年初预算为254.03万元，支出决算为262.64元，决算数大于预算数是因为：追加劳务派遣人员经费。</w:t>
      </w:r>
    </w:p>
    <w:p>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2、资源勘探工业信息等支出（类）其他资源勘探工业信息等支出（款）其他资源勘探工业信息等支出（项）。</w:t>
      </w:r>
    </w:p>
    <w:p>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年初预算为0万元，支出决算为0.9万元，主要原因是：年中追加了核工业特殊困难群体生活补助。</w:t>
      </w:r>
    </w:p>
    <w:p>
      <w:pPr>
        <w:pStyle w:val="17"/>
        <w:numPr>
          <w:ilvl w:val="0"/>
          <w:numId w:val="3"/>
        </w:numPr>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社会保障和就业（类）人力资源和社会保障事务（款）其他人力资源和社会保障管理事务支出（项）。</w:t>
      </w:r>
    </w:p>
    <w:p>
      <w:pPr>
        <w:pStyle w:val="7"/>
        <w:autoSpaceDE w:val="0"/>
        <w:autoSpaceDN w:val="0"/>
        <w:adjustRightInd w:val="0"/>
        <w:spacing w:line="57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年初预算为25.5万元，支出决算为25.5万元。</w:t>
      </w:r>
    </w:p>
    <w:p>
      <w:pPr>
        <w:pStyle w:val="7"/>
        <w:numPr>
          <w:ilvl w:val="0"/>
          <w:numId w:val="3"/>
        </w:numPr>
        <w:autoSpaceDE w:val="0"/>
        <w:autoSpaceDN w:val="0"/>
        <w:adjustRightInd w:val="0"/>
        <w:spacing w:line="57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社会保障和就业（类）财政对机关事业单位职业年金的补助（款）财政对机关事业单位职业年金的补助（项）。</w:t>
      </w:r>
    </w:p>
    <w:p>
      <w:pPr>
        <w:pStyle w:val="7"/>
        <w:autoSpaceDE w:val="0"/>
        <w:autoSpaceDN w:val="0"/>
        <w:adjustRightInd w:val="0"/>
        <w:spacing w:line="570" w:lineRule="exact"/>
        <w:ind w:firstLine="640" w:firstLineChars="200"/>
        <w:rPr>
          <w:rFonts w:ascii="仿宋_GB2312" w:eastAsia="仿宋_GB2312"/>
          <w:sz w:val="32"/>
          <w:szCs w:val="32"/>
        </w:rPr>
      </w:pPr>
      <w:r>
        <w:rPr>
          <w:rFonts w:hint="eastAsia" w:asciiTheme="minorEastAsia" w:hAnsiTheme="minorEastAsia" w:eastAsiaTheme="minorEastAsia"/>
          <w:sz w:val="32"/>
          <w:szCs w:val="32"/>
        </w:rPr>
        <w:t>年初预算为500万元，支出决算数为177.67万元，因决算审核要求预算单位不应直接出现此类支出，报表无法通过，故删除此项支出数据。</w:t>
      </w:r>
    </w:p>
    <w:p>
      <w:pPr>
        <w:pStyle w:val="7"/>
        <w:numPr>
          <w:ilvl w:val="0"/>
          <w:numId w:val="4"/>
        </w:numPr>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一般公共预算财政拨款基本支出决算情况说明</w:t>
      </w:r>
    </w:p>
    <w:p>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财政拨款基本支出250.65万元，其中：人员经费224.21万元，占基本支出的89.45%,主要包括基本工资、津贴补贴、奖金、伙食补助费；公用经费26.44元，占基本支出的10.55%，主要包括办公费、印刷费、咨询费、手续费。</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cs="Calibri" w:asciiTheme="minorEastAsia" w:hAnsiTheme="minorEastAsia" w:eastAsiaTheme="minorEastAsia"/>
          <w:color w:val="auto"/>
          <w:kern w:val="2"/>
          <w:sz w:val="32"/>
          <w:szCs w:val="32"/>
        </w:rPr>
      </w:pPr>
      <w:r>
        <w:rPr>
          <w:rFonts w:hint="eastAsia" w:cs="Calibri" w:asciiTheme="minorEastAsia" w:hAnsiTheme="minorEastAsia" w:eastAsiaTheme="minorEastAsia"/>
          <w:color w:val="auto"/>
          <w:kern w:val="2"/>
          <w:sz w:val="32"/>
          <w:szCs w:val="32"/>
        </w:rPr>
        <w:t>2023年度“三公”经费财政拨款支出预算为0万元，支出决算为0万元，决算数等于预算数。</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800" w:firstLineChars="250"/>
        <w:rPr>
          <w:rFonts w:cs="Calibri" w:asciiTheme="minorEastAsia" w:hAnsiTheme="minorEastAsia" w:eastAsiaTheme="minorEastAsia"/>
          <w:color w:val="auto"/>
          <w:kern w:val="2"/>
          <w:sz w:val="32"/>
          <w:szCs w:val="32"/>
        </w:rPr>
      </w:pPr>
      <w:r>
        <w:rPr>
          <w:rFonts w:hint="eastAsia" w:cs="Calibri" w:asciiTheme="minorEastAsia" w:hAnsiTheme="minorEastAsia" w:eastAsiaTheme="minorEastAsia"/>
          <w:color w:val="auto"/>
          <w:kern w:val="2"/>
          <w:sz w:val="32"/>
          <w:szCs w:val="32"/>
        </w:rPr>
        <w:t>2023年度“三公”经费财政拨款支出决算中，公务接待费支出决算0万元,因公出国（境）费支出决算0万元,公务用车购置费及运行维护费支出决算0万元。</w:t>
      </w:r>
    </w:p>
    <w:p>
      <w:pPr>
        <w:pStyle w:val="7"/>
        <w:numPr>
          <w:ilvl w:val="0"/>
          <w:numId w:val="5"/>
        </w:numPr>
        <w:autoSpaceDE w:val="0"/>
        <w:autoSpaceDN w:val="0"/>
        <w:adjustRightInd w:val="0"/>
        <w:spacing w:line="57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政府性基金预算收入支出决算情况</w:t>
      </w:r>
    </w:p>
    <w:p>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本单位2023年度无政府性基金预算财政拨款收入。</w:t>
      </w:r>
    </w:p>
    <w:p>
      <w:pPr>
        <w:pStyle w:val="7"/>
        <w:numPr>
          <w:ilvl w:val="0"/>
          <w:numId w:val="5"/>
        </w:numPr>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cs="黑体" w:asciiTheme="minorEastAsia" w:hAnsiTheme="minorEastAsia" w:eastAsiaTheme="minorEastAsia"/>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十、</w:t>
      </w:r>
      <w:r>
        <w:rPr>
          <w:rFonts w:ascii="Times New Roman" w:hAnsi="Times New Roman" w:eastAsia="黑体" w:cs="Times New Roman"/>
          <w:color w:val="000000"/>
          <w:kern w:val="0"/>
          <w:sz w:val="32"/>
          <w:szCs w:val="32"/>
        </w:rPr>
        <w:t>机关运行经费支出说明</w:t>
      </w:r>
    </w:p>
    <w:p>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本部门2023年度机关运行经费支出26.44万元，比上年决算数增加11.86万元，增长81.34%。主要原因是：业务性专项经费列入基本支出。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2023年本部门开支会议费0万元。</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本部门2023年度政府采购支出总额0万元，其中：政府采购货物支出0万元、政府采购工程支出0 万元、政府采购服务支出0万元。授予中小企业合同金额0万元，占政府采购支出总额的0%，其中：授予小微企业合同金额0万元，占政府采购支出总额的0%</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7"/>
        <w:autoSpaceDE w:val="0"/>
        <w:autoSpaceDN w:val="0"/>
        <w:adjustRightInd w:val="0"/>
        <w:spacing w:line="570" w:lineRule="exact"/>
        <w:ind w:firstLine="640" w:firstLineChars="200"/>
        <w:rPr>
          <w:rFonts w:ascii="Times New Roman" w:hAnsi="Times New Roman" w:eastAsia="黑体" w:cs="黑体"/>
          <w:color w:val="000000"/>
          <w:kern w:val="0"/>
          <w:sz w:val="32"/>
          <w:szCs w:val="32"/>
        </w:rPr>
      </w:pPr>
      <w:r>
        <w:rPr>
          <w:rFonts w:hint="eastAsia" w:asciiTheme="minorEastAsia" w:hAnsiTheme="minorEastAsia" w:eastAsiaTheme="minorEastAsia"/>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numPr>
          <w:ilvl w:val="0"/>
          <w:numId w:val="6"/>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pPr>
        <w:pStyle w:val="7"/>
        <w:autoSpaceDE w:val="0"/>
        <w:autoSpaceDN w:val="0"/>
        <w:adjustRightInd w:val="0"/>
        <w:spacing w:line="57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根据预算绩效管理要求，我部门组织对账面上2023年度一般公共预算项目支出全面开展绩效自评，其中，一级项目5个，二级项目0个，共涉及资金216.05万元，占账面上一般公共预算项目支出总额的100%。</w:t>
      </w:r>
    </w:p>
    <w:p>
      <w:pPr>
        <w:pStyle w:val="7"/>
        <w:autoSpaceDE w:val="0"/>
        <w:autoSpaceDN w:val="0"/>
        <w:adjustRightInd w:val="0"/>
        <w:spacing w:line="570" w:lineRule="exact"/>
        <w:rPr>
          <w:rFonts w:asciiTheme="minorEastAsia" w:hAnsiTheme="minorEastAsia" w:eastAsiaTheme="minorEastAsia"/>
          <w:sz w:val="32"/>
          <w:szCs w:val="32"/>
        </w:rPr>
      </w:pP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sz w:val="32"/>
          <w:szCs w:val="32"/>
        </w:rPr>
        <w:t>组织对 “</w:t>
      </w:r>
      <w:r>
        <w:rPr>
          <w:rFonts w:hint="eastAsia" w:asciiTheme="minorEastAsia" w:hAnsiTheme="minorEastAsia" w:eastAsiaTheme="minorEastAsia"/>
          <w:sz w:val="32"/>
          <w:szCs w:val="32"/>
          <w:lang w:eastAsia="zh-CN"/>
        </w:rPr>
        <w:t>中华人民共和国成立</w:t>
      </w:r>
      <w:r>
        <w:rPr>
          <w:rFonts w:hint="eastAsia" w:asciiTheme="minorEastAsia" w:hAnsiTheme="minorEastAsia" w:eastAsiaTheme="minorEastAsia"/>
          <w:sz w:val="32"/>
          <w:szCs w:val="32"/>
        </w:rPr>
        <w:t>初期及企业退休军转干部生活补贴”、“核工业特殊困难群体”等5个项目开展了部门评价，涉及账面上一般公共预算支出216.05</w:t>
      </w:r>
      <w:bookmarkStart w:id="0" w:name="_GoBack"/>
      <w:bookmarkEnd w:id="0"/>
      <w:r>
        <w:rPr>
          <w:rFonts w:hint="eastAsia" w:asciiTheme="minorEastAsia" w:hAnsiTheme="minorEastAsia" w:eastAsiaTheme="minorEastAsia"/>
          <w:sz w:val="32"/>
          <w:szCs w:val="32"/>
        </w:rPr>
        <w:t>万元。从评价情况来看，预算执行及时、有效，绩效目标得到较好实现，绩效管理水平不断提高。</w:t>
      </w:r>
    </w:p>
    <w:p>
      <w:pPr>
        <w:pStyle w:val="7"/>
        <w:numPr>
          <w:ilvl w:val="0"/>
          <w:numId w:val="6"/>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中华人民共和国成立</w:t>
      </w:r>
      <w:r>
        <w:rPr>
          <w:rFonts w:hint="eastAsia" w:asciiTheme="minorEastAsia" w:hAnsiTheme="minorEastAsia" w:eastAsiaTheme="minorEastAsia"/>
          <w:sz w:val="32"/>
          <w:szCs w:val="32"/>
        </w:rPr>
        <w:t>初期及企业退休军转干部生活补贴项目绩效自评综述：根据年初设定的绩效目标，项目全年预算数为25.5万元，执行数为25.5万元，完成预算的100%。项目绩效目标完成情况：资金拨付率100%，提高企业退休军转干部待遇水平，解决实际困难。发现的主要问题及原因：无。下一步改进措施：无。</w:t>
      </w:r>
    </w:p>
    <w:p>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职业年金个人账户记实项目绩效自评综述：根据年初设定的绩效目标，金额500万元，实际支出177.67万元。主要用于完成职业年金个人账户记实工作。实际支出远低于年初预算的原因是：年初预算做了社保基金补助的预算，但根据财政要求，在实际执行中财政将此类“对社会保险基金补助”收回。发现的主要问题及原因：无。下一步改进措施：无。</w:t>
      </w:r>
    </w:p>
    <w:p>
      <w:pPr>
        <w:pStyle w:val="7"/>
        <w:autoSpaceDE w:val="0"/>
        <w:autoSpaceDN w:val="0"/>
        <w:adjustRightInd w:val="0"/>
        <w:spacing w:line="570" w:lineRule="exact"/>
        <w:ind w:firstLine="630"/>
        <w:rPr>
          <w:rFonts w:asciiTheme="minorEastAsia" w:hAnsiTheme="minorEastAsia" w:eastAsiaTheme="minorEastAsia"/>
          <w:sz w:val="32"/>
          <w:szCs w:val="32"/>
        </w:rPr>
      </w:pP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追加劳务派遣人员经费项目绩效自评综述：</w:t>
      </w:r>
      <w:r>
        <w:rPr>
          <w:rFonts w:asciiTheme="minorEastAsia" w:hAnsiTheme="minorEastAsia" w:eastAsiaTheme="minorEastAsia"/>
          <w:sz w:val="32"/>
          <w:szCs w:val="32"/>
        </w:rPr>
        <w:t>金额</w:t>
      </w:r>
      <w:r>
        <w:rPr>
          <w:rFonts w:hint="eastAsia" w:asciiTheme="minorEastAsia" w:hAnsiTheme="minorEastAsia" w:eastAsiaTheme="minorEastAsia"/>
          <w:sz w:val="32"/>
          <w:szCs w:val="32"/>
        </w:rPr>
        <w:t>11.33</w:t>
      </w:r>
      <w:r>
        <w:rPr>
          <w:rFonts w:asciiTheme="minorEastAsia" w:hAnsiTheme="minorEastAsia" w:eastAsiaTheme="minorEastAsia"/>
          <w:sz w:val="32"/>
          <w:szCs w:val="32"/>
        </w:rPr>
        <w:t>万元，实际支出</w:t>
      </w:r>
      <w:r>
        <w:rPr>
          <w:rFonts w:hint="eastAsia" w:asciiTheme="minorEastAsia" w:hAnsiTheme="minorEastAsia" w:eastAsiaTheme="minorEastAsia"/>
          <w:sz w:val="32"/>
          <w:szCs w:val="32"/>
        </w:rPr>
        <w:t>11.33</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主要用于劳务派遣人员工资和社会保险费支出。发现的主要问题及原因：无。下一步改进措施：无。</w:t>
      </w:r>
    </w:p>
    <w:p>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业务性专项经费项目绩效自评综述：金额9万元，实际支出0.65万元。项目绩效目标完成情况：资金拨付低，主要原因是：财政厉行节约，控制支出。下一步改进措施：提高资金使用率。</w:t>
      </w:r>
    </w:p>
    <w:p>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核工业特殊困难群体项目绩效自评综述：金额0.9万元，年初未做预算，为年中上级拨款。主要用于代发核工业特殊困难群体生活补贴支出。发现的主要问题及原因：无。下一步改进措施：无。</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本单位没有独立网站，因此只在株洲市石峰区区政府门户网财政预决算和三公经费公开专栏中公开。</w:t>
      </w:r>
    </w:p>
    <w:p>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为与财政共同确认财政补助情况，2023年将职业年金资金预算安排至我单位，由我单位将补助资金拨付至职业年金归集账户。这导致我单位编制2023年度单位决算报表时，“对社会保障基金补助”科目发生支出1776664.04元，按决算审核要求预算单位不应直接出现此类支出，报表无法通过。故只能删除单位决算报表“对社会保障基金补助”支出数据，财政总决算报表保持不变，因此产生单位决算报表与账务存在不一致现象，特此说明。</w:t>
      </w:r>
    </w:p>
    <w:p>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p>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rPr>
        <w:t>自评报告</w:t>
      </w:r>
    </w:p>
    <w:p>
      <w:pPr>
        <w:pStyle w:val="17"/>
        <w:spacing w:line="596" w:lineRule="exact"/>
        <w:jc w:val="center"/>
        <w:rPr>
          <w:rFonts w:ascii="Times New Roman" w:hAnsi="Times New Roman" w:eastAsia="方正小标宋简体" w:cs="Times New Roman"/>
          <w:sz w:val="32"/>
          <w:szCs w:val="32"/>
        </w:rPr>
      </w:pPr>
    </w:p>
    <w:p>
      <w:pPr>
        <w:pStyle w:val="17"/>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KqW/CO4AQAAYgMAAA4AAAAAAAAAAQAgAAAANAEAAGRycy9l&#10;Mm9Eb2MueG1sUEsFBgAAAAAGAAYAWQEAAF4FA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F3235"/>
    <w:multiLevelType w:val="multilevel"/>
    <w:tmpl w:val="011F323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0AE5840"/>
    <w:multiLevelType w:val="multilevel"/>
    <w:tmpl w:val="20AE5840"/>
    <w:lvl w:ilvl="0" w:tentative="0">
      <w:start w:val="6"/>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376CA8A4"/>
    <w:multiLevelType w:val="singleLevel"/>
    <w:tmpl w:val="376CA8A4"/>
    <w:lvl w:ilvl="0" w:tentative="0">
      <w:start w:val="3"/>
      <w:numFmt w:val="decimal"/>
      <w:suff w:val="nothing"/>
      <w:lvlText w:val="%1、"/>
      <w:lvlJc w:val="left"/>
    </w:lvl>
  </w:abstractNum>
  <w:abstractNum w:abstractNumId="4">
    <w:nsid w:val="57633D04"/>
    <w:multiLevelType w:val="multilevel"/>
    <w:tmpl w:val="57633D04"/>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AE1683E"/>
    <w:multiLevelType w:val="multilevel"/>
    <w:tmpl w:val="7AE1683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65D6"/>
    <w:rsid w:val="000273BD"/>
    <w:rsid w:val="00032314"/>
    <w:rsid w:val="000326BD"/>
    <w:rsid w:val="000415B7"/>
    <w:rsid w:val="00041E3F"/>
    <w:rsid w:val="00047162"/>
    <w:rsid w:val="000514D2"/>
    <w:rsid w:val="000528EA"/>
    <w:rsid w:val="00055DAA"/>
    <w:rsid w:val="00061F7B"/>
    <w:rsid w:val="000658A3"/>
    <w:rsid w:val="00074155"/>
    <w:rsid w:val="0007603C"/>
    <w:rsid w:val="00082AEB"/>
    <w:rsid w:val="000873EF"/>
    <w:rsid w:val="000A3521"/>
    <w:rsid w:val="000A3F69"/>
    <w:rsid w:val="000C263A"/>
    <w:rsid w:val="000D622D"/>
    <w:rsid w:val="000E4798"/>
    <w:rsid w:val="000E7A2C"/>
    <w:rsid w:val="000F67D5"/>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30AA"/>
    <w:rsid w:val="002644E1"/>
    <w:rsid w:val="00264552"/>
    <w:rsid w:val="00264EF9"/>
    <w:rsid w:val="00265724"/>
    <w:rsid w:val="00273A5E"/>
    <w:rsid w:val="0027426B"/>
    <w:rsid w:val="0029019B"/>
    <w:rsid w:val="002E0A30"/>
    <w:rsid w:val="002E6A2A"/>
    <w:rsid w:val="002F51BE"/>
    <w:rsid w:val="0030641C"/>
    <w:rsid w:val="003130C4"/>
    <w:rsid w:val="00316C4B"/>
    <w:rsid w:val="0032192B"/>
    <w:rsid w:val="00324460"/>
    <w:rsid w:val="003479BD"/>
    <w:rsid w:val="00352060"/>
    <w:rsid w:val="00353306"/>
    <w:rsid w:val="0037197D"/>
    <w:rsid w:val="003768D5"/>
    <w:rsid w:val="003914B6"/>
    <w:rsid w:val="003A290E"/>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D6B31"/>
    <w:rsid w:val="005E2CFB"/>
    <w:rsid w:val="005F2103"/>
    <w:rsid w:val="005F3D1C"/>
    <w:rsid w:val="00602320"/>
    <w:rsid w:val="006043C9"/>
    <w:rsid w:val="00605442"/>
    <w:rsid w:val="00612501"/>
    <w:rsid w:val="0062378F"/>
    <w:rsid w:val="00641842"/>
    <w:rsid w:val="00651EEC"/>
    <w:rsid w:val="00664B48"/>
    <w:rsid w:val="00686673"/>
    <w:rsid w:val="00691E8C"/>
    <w:rsid w:val="006A22C4"/>
    <w:rsid w:val="006A348B"/>
    <w:rsid w:val="006A351B"/>
    <w:rsid w:val="006B0422"/>
    <w:rsid w:val="006B1D10"/>
    <w:rsid w:val="006C1B53"/>
    <w:rsid w:val="006C6995"/>
    <w:rsid w:val="006D5E1B"/>
    <w:rsid w:val="006D7730"/>
    <w:rsid w:val="006E5284"/>
    <w:rsid w:val="006F15CE"/>
    <w:rsid w:val="006F3EB5"/>
    <w:rsid w:val="006F6CF1"/>
    <w:rsid w:val="00702E34"/>
    <w:rsid w:val="00704395"/>
    <w:rsid w:val="00710FE7"/>
    <w:rsid w:val="00717621"/>
    <w:rsid w:val="00720FF1"/>
    <w:rsid w:val="00727A53"/>
    <w:rsid w:val="0073606A"/>
    <w:rsid w:val="0074082B"/>
    <w:rsid w:val="00744DDF"/>
    <w:rsid w:val="00760BC6"/>
    <w:rsid w:val="00783A35"/>
    <w:rsid w:val="00784D79"/>
    <w:rsid w:val="00787B42"/>
    <w:rsid w:val="007A66F5"/>
    <w:rsid w:val="007C4539"/>
    <w:rsid w:val="007C6F0C"/>
    <w:rsid w:val="007E2D32"/>
    <w:rsid w:val="007F3657"/>
    <w:rsid w:val="008064EA"/>
    <w:rsid w:val="00812ED5"/>
    <w:rsid w:val="00817223"/>
    <w:rsid w:val="00824FDA"/>
    <w:rsid w:val="008259ED"/>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07415"/>
    <w:rsid w:val="00A12713"/>
    <w:rsid w:val="00A229EF"/>
    <w:rsid w:val="00A42218"/>
    <w:rsid w:val="00A548CB"/>
    <w:rsid w:val="00A57140"/>
    <w:rsid w:val="00A70249"/>
    <w:rsid w:val="00A70B02"/>
    <w:rsid w:val="00A71D9F"/>
    <w:rsid w:val="00A92E9F"/>
    <w:rsid w:val="00AB2EF8"/>
    <w:rsid w:val="00AB695A"/>
    <w:rsid w:val="00AE1A43"/>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BF1ABA"/>
    <w:rsid w:val="00C05CF1"/>
    <w:rsid w:val="00C10681"/>
    <w:rsid w:val="00C16881"/>
    <w:rsid w:val="00C3049A"/>
    <w:rsid w:val="00C31A03"/>
    <w:rsid w:val="00C31B1E"/>
    <w:rsid w:val="00C34068"/>
    <w:rsid w:val="00C52CCA"/>
    <w:rsid w:val="00C5440F"/>
    <w:rsid w:val="00C5598E"/>
    <w:rsid w:val="00C62C50"/>
    <w:rsid w:val="00C77645"/>
    <w:rsid w:val="00CD79B2"/>
    <w:rsid w:val="00CE04C3"/>
    <w:rsid w:val="00CE76A0"/>
    <w:rsid w:val="00CF62EF"/>
    <w:rsid w:val="00CF7390"/>
    <w:rsid w:val="00D055F6"/>
    <w:rsid w:val="00D148C6"/>
    <w:rsid w:val="00D17A8A"/>
    <w:rsid w:val="00D31E4E"/>
    <w:rsid w:val="00D415BA"/>
    <w:rsid w:val="00D46BD7"/>
    <w:rsid w:val="00D52066"/>
    <w:rsid w:val="00D63780"/>
    <w:rsid w:val="00D63DDE"/>
    <w:rsid w:val="00D644EE"/>
    <w:rsid w:val="00D649FB"/>
    <w:rsid w:val="00D75489"/>
    <w:rsid w:val="00D855D0"/>
    <w:rsid w:val="00D94D2E"/>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A7AD3"/>
    <w:rsid w:val="00EC4F00"/>
    <w:rsid w:val="00EE4899"/>
    <w:rsid w:val="00F21988"/>
    <w:rsid w:val="00F321E9"/>
    <w:rsid w:val="00F4725C"/>
    <w:rsid w:val="00F74360"/>
    <w:rsid w:val="00F756F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0017DCE"/>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 w:val="F9FB7A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paragraph" w:styleId="8">
    <w:name w:val="Body Text First Indent"/>
    <w:basedOn w:val="3"/>
    <w:link w:val="21"/>
    <w:semiHidden/>
    <w:unhideWhenUsed/>
    <w:qFormat/>
    <w:uiPriority w:val="99"/>
    <w:pPr>
      <w:spacing w:before="0" w:beforeAutospacing="0"/>
      <w:ind w:firstLine="420" w:firstLineChars="100"/>
    </w:pPr>
    <w:rPr>
      <w:rFonts w:ascii="Calibri" w:hAnsi="Calibri" w:cs="Calibri"/>
    </w:r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 w:type="character" w:customStyle="1" w:styleId="21">
    <w:name w:val="正文首行缩进 Char"/>
    <w:basedOn w:val="13"/>
    <w:link w:val="8"/>
    <w:semiHidden/>
    <w:qFormat/>
    <w:uiPriority w:val="99"/>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3967</Words>
  <Characters>4282</Characters>
  <Lines>31</Lines>
  <Paragraphs>8</Paragraphs>
  <TotalTime>0</TotalTime>
  <ScaleCrop>false</ScaleCrop>
  <LinksUpToDate>false</LinksUpToDate>
  <CharactersWithSpaces>4308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2024-11-21T15:56:00Z</dcterms:created>
  <dc:creator>李航 null</dc:creator>
  <cp:lastModifiedBy>user</cp:lastModifiedBy>
  <cp:lastPrinted>2022-10-11T09:13:00Z</cp:lastPrinted>
  <dcterms:modified xsi:type="dcterms:W3CDTF">2024-12-04T19:34:09Z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41298C27ECD947B7A53FF77D03F8DD6A_13</vt:lpwstr>
  </property>
</Properties>
</file>