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576C">
      <w:pPr>
        <w:jc w:val="center"/>
        <w:rPr>
          <w:b/>
          <w:sz w:val="36"/>
          <w:szCs w:val="36"/>
        </w:rPr>
      </w:pPr>
      <w:r>
        <w:rPr>
          <w:rFonts w:hint="eastAsia"/>
          <w:b/>
          <w:sz w:val="36"/>
          <w:szCs w:val="36"/>
        </w:rPr>
        <w:t>株洲市荷塘区20</w:t>
      </w:r>
      <w:r>
        <w:rPr>
          <w:rFonts w:hint="eastAsia"/>
          <w:b/>
          <w:sz w:val="36"/>
          <w:szCs w:val="36"/>
          <w:lang w:val="en-US" w:eastAsia="zh-CN"/>
        </w:rPr>
        <w:t>21</w:t>
      </w:r>
      <w:r>
        <w:rPr>
          <w:rFonts w:hint="eastAsia"/>
          <w:b/>
          <w:sz w:val="36"/>
          <w:szCs w:val="36"/>
        </w:rPr>
        <w:t>年决算公开说明</w:t>
      </w:r>
    </w:p>
    <w:p w14:paraId="43E65A38">
      <w:pPr>
        <w:jc w:val="left"/>
        <w:rPr>
          <w:rFonts w:hint="eastAsia" w:ascii="仿宋_GB2312" w:hAnsi="仿宋_GB2312" w:eastAsia="仿宋_GB2312" w:cs="仿宋_GB2312"/>
          <w:sz w:val="32"/>
          <w:szCs w:val="32"/>
        </w:rPr>
      </w:pPr>
    </w:p>
    <w:p w14:paraId="738F88A2">
      <w:pPr>
        <w:numPr>
          <w:ilvl w:val="0"/>
          <w:numId w:val="1"/>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预算绩效工作开展情况说明：</w:t>
      </w:r>
    </w:p>
    <w:p w14:paraId="3A53E0E5">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为贯彻落实党中央、国务院和省、市关于全面实施预算绩</w:t>
      </w:r>
    </w:p>
    <w:p w14:paraId="40500FE1">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效管理的决策，深化财税体制改革，优化财政资源配置，提高公共服务质量，株洲市荷塘区财政局按照《中共中央国务院关于全面实施预算绩效管理的意见》（中发〔2018〕34 号）、《中共湖南省委办公厅湖南省人民政府办公厅关于全面实施预算绩效管理的实施意见》（湘办发〔2019〕10 号）等相关要求，积极部署 2022 年预算绩效管理工作，为加快建成全方位、全过程、全覆盖的预算绩效管理体系奠定了基石。现将 2021 年我区预算绩效管理工作情况总结如下：</w:t>
      </w:r>
    </w:p>
    <w:p w14:paraId="6E6D70F9">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一、财政支出绩效评价工作基本情况及主要成效</w:t>
      </w:r>
    </w:p>
    <w:p w14:paraId="4DDFA7A0">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1.机构及人员配置</w:t>
      </w:r>
    </w:p>
    <w:p w14:paraId="7061B0F6">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2013 年，根据《关于成立预算绩效管理工作领导小组的通</w:t>
      </w:r>
    </w:p>
    <w:p w14:paraId="274E4C0F">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知》（株荷政办发〔2013〕19 号）文件，我区成立了本级政府领导牵头的预算绩效管理领导小组和财政部门预算绩效管理领导小组，在区财政部门设立了预算绩效股。</w:t>
      </w:r>
    </w:p>
    <w:p w14:paraId="588DAA51">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现任领导小组人员名单如下：</w:t>
      </w:r>
    </w:p>
    <w:p w14:paraId="0AF2E587">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组长：区长 罗鹏程</w:t>
      </w:r>
    </w:p>
    <w:p w14:paraId="1CFDAD90">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副组长：常务副区长 陈柏文</w:t>
      </w:r>
    </w:p>
    <w:p w14:paraId="5874D699">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成员：财政局局长 苏智</w:t>
      </w:r>
    </w:p>
    <w:p w14:paraId="368D8CBB">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成员：财政局副局长 李剑</w:t>
      </w:r>
    </w:p>
    <w:p w14:paraId="4FF4B495">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成员：财政局预算绩效股股长 廖红霞</w:t>
      </w:r>
    </w:p>
    <w:p w14:paraId="55FD3709">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2.制度建设方面</w:t>
      </w:r>
    </w:p>
    <w:p w14:paraId="11A7DCB7">
      <w:pPr>
        <w:numPr>
          <w:ilvl w:val="0"/>
          <w:numId w:val="0"/>
        </w:numPr>
        <w:ind w:firstLine="640" w:firstLineChars="20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 2019 年以来，我区按照建立全方位、全过程、全覆盖预算绩效管理体系要求，出台了一系列预算绩效管理政策文件，包括《株洲市荷塘区关于全面实施预算绩效管理的实施意见》和《株洲市荷塘区绩效目标管理办法（试行）》《株洲市荷塘区预算绩效运行监控管理办法（试行）》《株洲市荷塘区预算支出绩效评价管理办法（试行）》《株洲市荷塘区预算绩效评价结果应用管理办法（试行）》《株洲市荷塘区财政局部门预算绩效管理工作操作细则（试行）》《株洲市荷塘区预算绩效管理工作规程（试行）》等；建立了部门整体支出绩效评价共性指标体系框架、财政预算绩效评价共性指标体系框架、城乡社区与住房保障领域绩效指标和标准体系、政府办公室及相关机构事务领域绩效指标和标准体系、公共安全领域绩效指标和标准体系、税收事务领域绩效指标和标准体系，为我区预算绩效管理工作的顺利开展提供了较为全面的保障。</w:t>
      </w:r>
    </w:p>
    <w:p w14:paraId="49ECB03E">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3.预算绩效目标方面</w:t>
      </w:r>
    </w:p>
    <w:p w14:paraId="6FE2AC54">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2021年，我区要求各部门、单位在编制预算时，应全面设</w:t>
      </w:r>
    </w:p>
    <w:p w14:paraId="0773BFDC">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置部门和单位整体绩效目标、专项资金绩效目标、政策及项目绩效目标，我区将绩效目标设置作为预算安排的前置条件，加强绩效目标审核，逐步实现了预算绩效目标报送同级人大审议，将绩效目标与预算同步批复下达。对未按要求设定绩效目标或绩效目标审核未通过的，原则上不予安排预算。</w:t>
      </w:r>
    </w:p>
    <w:p w14:paraId="1FE5F880">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4.绩效监控方面</w:t>
      </w:r>
    </w:p>
    <w:p w14:paraId="399B3CC4">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2021 年，我区采取预算单位自行监控和财政重点监控的方</w:t>
      </w:r>
    </w:p>
    <w:p w14:paraId="2F2C6033">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式进行双层绩效监控管理。对单位自行监控的项目，预算单位负责开展预算绩效日常监控，围绕绩效目标，适时监控绩效目标实现程度和预算执行情况，及时掌握绩效运行情况、资金支出进度等，并定期对绩效监控信息进行收集、审核、分析、汇总、填报，分析偏离绩效目标的原因，并及时采取纠偏措施；对财政重点监控的项目，财政在预算单位自行监控的基础上，结合预算执行进度、绩效目标完成情况等，通过调查取证、实地核查以及绩效运行信息采集等方式，对预算单位的绩效运行情况进行重点抽查，以发现问题和风险，确保绩效目标的实现及资金的有效使用。</w:t>
      </w:r>
    </w:p>
    <w:p w14:paraId="24D888C8">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5.绩效评价方面</w:t>
      </w:r>
    </w:p>
    <w:p w14:paraId="5BC363E9">
      <w:pPr>
        <w:numPr>
          <w:ilvl w:val="0"/>
          <w:numId w:val="0"/>
        </w:numPr>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2021 年我区 70 个本级预算单位全部开展了 2021 年部门整体支出及项目支出绩效自评工作，我局对本级预算部门绩效自评结果实施了抽查，并与 2021 年决算一起进行了网上公开；我局在中介机构的协助下，组织荷塘区教育局、农业农村局、民政局、城市执法和综合执法局、区委组织部等部门开展了部门绩效评价工作，按要求对部门绩效评价结果进行了审核；抽取了部分社会关注度较高和重点的项目委托第三方实施了绩效评价工作，将项目绩效评价结果与项目预算安排挂钩，对评价结果为良以下的项目按比例进行预算调减或进行重点监督管理。</w:t>
      </w:r>
    </w:p>
    <w:p w14:paraId="7D0C08B3">
      <w:pPr>
        <w:keepNext w:val="0"/>
        <w:keepLines w:val="0"/>
        <w:pageBreakBefore w:val="0"/>
        <w:widowControl w:val="0"/>
        <w:numPr>
          <w:ilvl w:val="0"/>
          <w:numId w:val="1"/>
        </w:numPr>
        <w:kinsoku/>
        <w:wordWrap/>
        <w:overflowPunct w:val="0"/>
        <w:topLinePunct w:val="0"/>
        <w:autoSpaceDE/>
        <w:autoSpaceDN/>
        <w:bidi w:val="0"/>
        <w:adjustRightInd/>
        <w:snapToGrid/>
        <w:spacing w:line="580" w:lineRule="exact"/>
        <w:ind w:left="0" w:leftChars="0" w:firstLine="0" w:firstLineChars="0"/>
        <w:textAlignment w:val="auto"/>
        <w:rPr>
          <w:rFonts w:hint="eastAsia" w:ascii="仿宋" w:hAnsi="仿宋" w:eastAsia="仿宋" w:cs="仿宋"/>
          <w:b/>
          <w:color w:val="000000" w:themeColor="text1"/>
          <w:sz w:val="32"/>
          <w:szCs w:val="32"/>
          <w:shd w:val="clear" w:color="auto" w:fill="FFFFFF"/>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债务情况说明：</w:t>
      </w:r>
      <w:r>
        <w:rPr>
          <w:rFonts w:hint="default" w:ascii="Times New Roman" w:hAnsi="Times New Roman" w:eastAsia="仿宋_GB2312" w:cs="Times New Roman"/>
          <w:color w:val="auto"/>
          <w:sz w:val="32"/>
          <w:szCs w:val="32"/>
          <w:lang w:val="en-US" w:eastAsia="zh-CN"/>
        </w:rPr>
        <w:t>截至</w:t>
      </w:r>
      <w:bookmarkStart w:id="0" w:name="_GoBack"/>
      <w:bookmarkEnd w:id="0"/>
      <w:r>
        <w:rPr>
          <w:rFonts w:hint="default" w:ascii="Times New Roman" w:hAnsi="Times New Roman" w:eastAsia="仿宋_GB2312" w:cs="Times New Roman"/>
          <w:color w:val="auto"/>
          <w:sz w:val="32"/>
          <w:szCs w:val="32"/>
          <w:lang w:val="en-US" w:eastAsia="zh-CN"/>
        </w:rPr>
        <w:t>2021年底，我区政府债务总规模为278260万元，其中：一般债务62099万元，专项债务216161万元。当年新增一般债券7900万元，主要用于重点保障基础设施、环境卫生、产业项目等公益性资本支出项目，债券期限均为3年，新增专项债券59500万元，主要用于有一定收益的公益性项目，</w:t>
      </w:r>
      <w:r>
        <w:rPr>
          <w:rFonts w:hint="eastAsia" w:ascii="Times New Roman" w:hAnsi="Times New Roman" w:eastAsia="仿宋_GB2312" w:cs="Times New Roman"/>
          <w:color w:val="auto"/>
          <w:sz w:val="32"/>
          <w:szCs w:val="32"/>
          <w:lang w:val="en-US" w:eastAsia="zh-CN"/>
        </w:rPr>
        <w:t>分别</w:t>
      </w:r>
      <w:r>
        <w:rPr>
          <w:rFonts w:hint="default" w:ascii="Times New Roman" w:hAnsi="Times New Roman" w:eastAsia="仿宋_GB2312" w:cs="Times New Roman"/>
          <w:color w:val="auto"/>
          <w:sz w:val="32"/>
          <w:szCs w:val="32"/>
          <w:lang w:val="en-US" w:eastAsia="zh-CN"/>
        </w:rPr>
        <w:t>为株洲市荷塘区（省级）工业集中区智慧创新创业园配套基础设施建设项目55300万元，期限为15年、数智化电商产业园项目一期4200万元 ，期限为20年；再融资债券4172万元，用于到期债权的偿还，债券期限均为10年。一般债券付息支出2040万元，专项债券付息支出6217万元</w:t>
      </w:r>
    </w:p>
    <w:p w14:paraId="6911DE30">
      <w:pP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shd w:val="clear" w:color="auto" w:fill="FFFFFF"/>
          <w14:textFill>
            <w14:solidFill>
              <w14:schemeClr w14:val="tx1"/>
            </w14:solidFill>
          </w14:textFill>
        </w:rPr>
        <w:t>3、转移支付执行情况说明：</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年一般性转移支付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56028</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万元，专项转移支付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41519</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万元，已全部按指标文件要求的用途拨付到预算单位，并专款专用。</w:t>
      </w:r>
    </w:p>
    <w:p w14:paraId="64C62EF7">
      <w:pPr>
        <w:jc w:val="left"/>
        <w:rPr>
          <w:rFonts w:ascii="仿宋" w:hAnsi="仿宋" w:eastAsia="仿宋"/>
          <w:sz w:val="32"/>
          <w:szCs w:val="32"/>
        </w:rPr>
      </w:pPr>
      <w:r>
        <w:rPr>
          <w:rFonts w:hint="eastAsia" w:ascii="仿宋" w:hAnsi="仿宋" w:eastAsia="仿宋" w:cs="仿宋"/>
          <w:b/>
          <w:color w:val="000000"/>
          <w:sz w:val="32"/>
          <w:szCs w:val="32"/>
          <w:shd w:val="clear" w:color="auto" w:fill="FFFFFF"/>
        </w:rPr>
        <w:t>4、“三公”经费决算执行情况说明：</w:t>
      </w:r>
      <w:r>
        <w:rPr>
          <w:rFonts w:hint="eastAsia" w:ascii="仿宋_GB2312" w:hAnsi="黑体" w:eastAsia="仿宋_GB2312"/>
          <w:sz w:val="32"/>
          <w:szCs w:val="32"/>
        </w:rPr>
        <w:t xml:space="preserve"> </w:t>
      </w:r>
      <w:r>
        <w:rPr>
          <w:rFonts w:hint="eastAsia" w:ascii="仿宋" w:hAnsi="仿宋" w:eastAsia="仿宋"/>
          <w:sz w:val="32"/>
          <w:szCs w:val="32"/>
        </w:rPr>
        <w:t xml:space="preserve"> 2021年</w:t>
      </w:r>
      <w:r>
        <w:rPr>
          <w:rFonts w:ascii="仿宋" w:hAnsi="仿宋" w:eastAsia="仿宋"/>
          <w:sz w:val="32"/>
          <w:szCs w:val="32"/>
        </w:rPr>
        <w:t>，</w:t>
      </w:r>
      <w:r>
        <w:rPr>
          <w:rFonts w:hint="eastAsia" w:ascii="仿宋" w:hAnsi="仿宋" w:eastAsia="仿宋"/>
          <w:sz w:val="32"/>
          <w:szCs w:val="32"/>
          <w:lang w:eastAsia="zh-CN"/>
        </w:rPr>
        <w:t>荷塘区</w:t>
      </w:r>
      <w:r>
        <w:rPr>
          <w:rFonts w:ascii="仿宋" w:hAnsi="仿宋" w:eastAsia="仿宋"/>
          <w:sz w:val="32"/>
          <w:szCs w:val="32"/>
        </w:rPr>
        <w:t>一般公共预算安排的行政事业单位“</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w:t>
      </w:r>
      <w:r>
        <w:rPr>
          <w:rFonts w:ascii="仿宋" w:hAnsi="仿宋" w:eastAsia="仿宋"/>
          <w:sz w:val="32"/>
          <w:szCs w:val="32"/>
        </w:rPr>
        <w:t>支出合计</w:t>
      </w:r>
      <w:r>
        <w:rPr>
          <w:rFonts w:hint="eastAsia" w:ascii="仿宋" w:hAnsi="仿宋" w:eastAsia="仿宋"/>
          <w:sz w:val="32"/>
          <w:szCs w:val="32"/>
          <w:lang w:val="en-US" w:eastAsia="zh-CN"/>
        </w:rPr>
        <w:t>165.16</w:t>
      </w:r>
      <w:r>
        <w:rPr>
          <w:rFonts w:hint="eastAsia" w:ascii="仿宋" w:hAnsi="仿宋" w:eastAsia="仿宋"/>
          <w:sz w:val="32"/>
          <w:szCs w:val="32"/>
        </w:rPr>
        <w:t>万元。其中</w:t>
      </w:r>
      <w:r>
        <w:rPr>
          <w:rFonts w:ascii="仿宋" w:hAnsi="仿宋" w:eastAsia="仿宋"/>
          <w:sz w:val="32"/>
          <w:szCs w:val="32"/>
        </w:rPr>
        <w:t>公务用车购置及运行费</w:t>
      </w:r>
      <w:r>
        <w:rPr>
          <w:rFonts w:hint="eastAsia" w:ascii="仿宋" w:hAnsi="仿宋" w:eastAsia="仿宋"/>
          <w:sz w:val="32"/>
          <w:szCs w:val="32"/>
          <w:lang w:val="en-US" w:eastAsia="zh-CN"/>
        </w:rPr>
        <w:t>158.96</w:t>
      </w:r>
      <w:r>
        <w:rPr>
          <w:rFonts w:hint="eastAsia" w:ascii="仿宋" w:hAnsi="仿宋" w:eastAsia="仿宋"/>
          <w:sz w:val="32"/>
          <w:szCs w:val="32"/>
        </w:rPr>
        <w:t>万元</w:t>
      </w:r>
      <w:r>
        <w:rPr>
          <w:rFonts w:ascii="仿宋" w:hAnsi="仿宋" w:eastAsia="仿宋"/>
          <w:sz w:val="32"/>
          <w:szCs w:val="32"/>
        </w:rPr>
        <w:t>；公务接待费</w:t>
      </w:r>
      <w:r>
        <w:rPr>
          <w:rFonts w:hint="eastAsia" w:ascii="仿宋" w:hAnsi="仿宋" w:eastAsia="仿宋"/>
          <w:sz w:val="32"/>
          <w:szCs w:val="32"/>
          <w:lang w:val="en-US" w:eastAsia="zh-CN"/>
        </w:rPr>
        <w:t>6.2</w:t>
      </w:r>
      <w:r>
        <w:rPr>
          <w:rFonts w:hint="eastAsia" w:ascii="仿宋" w:hAnsi="仿宋" w:eastAsia="仿宋"/>
          <w:sz w:val="32"/>
          <w:szCs w:val="32"/>
        </w:rPr>
        <w:t>万</w:t>
      </w:r>
      <w:r>
        <w:rPr>
          <w:rFonts w:ascii="仿宋" w:hAnsi="仿宋" w:eastAsia="仿宋"/>
          <w:sz w:val="32"/>
          <w:szCs w:val="32"/>
        </w:rPr>
        <w:t>元；</w:t>
      </w:r>
      <w:r>
        <w:rPr>
          <w:rFonts w:hint="eastAsia" w:ascii="仿宋" w:hAnsi="仿宋" w:eastAsia="仿宋"/>
          <w:sz w:val="32"/>
          <w:szCs w:val="32"/>
        </w:rPr>
        <w:t>因</w:t>
      </w:r>
      <w:r>
        <w:rPr>
          <w:rFonts w:ascii="仿宋" w:hAnsi="仿宋" w:eastAsia="仿宋"/>
          <w:sz w:val="32"/>
          <w:szCs w:val="32"/>
        </w:rPr>
        <w:t>公出国</w:t>
      </w:r>
      <w:r>
        <w:rPr>
          <w:rFonts w:hint="eastAsia" w:ascii="仿宋" w:hAnsi="仿宋" w:eastAsia="仿宋"/>
          <w:sz w:val="32"/>
          <w:szCs w:val="32"/>
        </w:rPr>
        <w:t>（境）费0元</w:t>
      </w:r>
      <w:r>
        <w:rPr>
          <w:rFonts w:ascii="仿宋" w:hAnsi="仿宋" w:eastAsia="仿宋"/>
          <w:sz w:val="32"/>
          <w:szCs w:val="32"/>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严格遵照中央八项规定以及省、市、区有关“三公”经费管理办法的规定，带</w:t>
      </w:r>
      <w:r>
        <w:rPr>
          <w:rFonts w:ascii="仿宋" w:hAnsi="仿宋" w:eastAsia="仿宋"/>
          <w:sz w:val="32"/>
          <w:szCs w:val="32"/>
        </w:rPr>
        <w:t>头“</w:t>
      </w:r>
      <w:r>
        <w:rPr>
          <w:rFonts w:hint="eastAsia" w:ascii="仿宋" w:hAnsi="仿宋" w:eastAsia="仿宋"/>
          <w:sz w:val="32"/>
          <w:szCs w:val="32"/>
        </w:rPr>
        <w:t>过</w:t>
      </w:r>
      <w:r>
        <w:rPr>
          <w:rFonts w:ascii="仿宋" w:hAnsi="仿宋" w:eastAsia="仿宋"/>
          <w:sz w:val="32"/>
          <w:szCs w:val="32"/>
        </w:rPr>
        <w:t>紧日子”</w:t>
      </w:r>
      <w:r>
        <w:rPr>
          <w:rFonts w:hint="eastAsia" w:ascii="仿宋" w:hAnsi="仿宋" w:eastAsia="仿宋"/>
          <w:sz w:val="32"/>
          <w:szCs w:val="32"/>
        </w:rPr>
        <w:t>，</w:t>
      </w:r>
      <w:r>
        <w:rPr>
          <w:rFonts w:ascii="仿宋" w:hAnsi="仿宋" w:eastAsia="仿宋"/>
          <w:sz w:val="32"/>
          <w:szCs w:val="32"/>
        </w:rPr>
        <w:t>严控“</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开支</w:t>
      </w:r>
      <w:r>
        <w:rPr>
          <w:rFonts w:ascii="仿宋" w:hAnsi="仿宋" w:eastAsia="仿宋"/>
          <w:sz w:val="32"/>
          <w:szCs w:val="32"/>
        </w:rPr>
        <w:t>，</w:t>
      </w:r>
      <w:r>
        <w:rPr>
          <w:rFonts w:hint="eastAsia" w:ascii="仿宋" w:hAnsi="仿宋" w:eastAsia="仿宋"/>
          <w:sz w:val="32"/>
          <w:szCs w:val="32"/>
        </w:rPr>
        <w:t>加</w:t>
      </w:r>
      <w:r>
        <w:rPr>
          <w:rFonts w:ascii="仿宋" w:hAnsi="仿宋" w:eastAsia="仿宋"/>
          <w:sz w:val="32"/>
          <w:szCs w:val="32"/>
        </w:rPr>
        <w:t>之受疫情影响，部分公务活动没有实施。</w:t>
      </w:r>
    </w:p>
    <w:p w14:paraId="65FB68FF">
      <w:pPr>
        <w:rPr>
          <w:rFonts w:ascii="仿宋" w:hAnsi="仿宋" w:eastAsia="仿宋" w:cs="仿宋"/>
          <w:b/>
          <w:bCs/>
          <w:color w:val="000000"/>
          <w:sz w:val="32"/>
          <w:szCs w:val="32"/>
          <w:shd w:val="clear" w:color="auto" w:fill="FFFFFF"/>
        </w:rPr>
      </w:pPr>
      <w:r>
        <w:rPr>
          <w:rFonts w:hint="eastAsia" w:ascii="仿宋" w:hAnsi="仿宋" w:eastAsia="仿宋"/>
          <w:b/>
          <w:bCs/>
          <w:sz w:val="32"/>
          <w:szCs w:val="32"/>
          <w:lang w:val="en-US" w:eastAsia="zh-CN"/>
        </w:rPr>
        <w:t>5、支出不实金额为0万元。</w:t>
      </w:r>
    </w:p>
    <w:p w14:paraId="625781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DD69E"/>
    <w:multiLevelType w:val="singleLevel"/>
    <w:tmpl w:val="9D1DD6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ZGQ3OTk4YWMwMmE1N2YzOGIxY2Y4ZDZlNTNmYmEifQ=="/>
  </w:docVars>
  <w:rsids>
    <w:rsidRoot w:val="00000000"/>
    <w:rsid w:val="04116931"/>
    <w:rsid w:val="077520F8"/>
    <w:rsid w:val="07F92C82"/>
    <w:rsid w:val="69E953E6"/>
    <w:rsid w:val="6F5301E8"/>
    <w:rsid w:val="7A6C6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1994</Words>
  <Characters>2111</Characters>
  <Lines>0</Lines>
  <Paragraphs>0</Paragraphs>
  <TotalTime>4</TotalTime>
  <ScaleCrop>false</ScaleCrop>
  <LinksUpToDate>false</LinksUpToDate>
  <CharactersWithSpaces>2137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Administrator.PC-20181030LCHV</dc:creator>
  <cp:lastModifiedBy>李涛</cp:lastModifiedBy>
  <dcterms:modified xsi:type="dcterms:W3CDTF">2024-12-04T01:32:12Z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823A451A34C045C5AE31F6195E8F0535</vt:lpwstr>
  </property>
</Properties>
</file>