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9D5562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2FED97B4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128D6295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66C7D404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方正小标宋简体"/>
          <w:bCs/>
          <w:sz w:val="44"/>
          <w:szCs w:val="44"/>
        </w:rPr>
      </w:pPr>
    </w:p>
    <w:p w14:paraId="306D4CBC">
      <w:pPr>
        <w:tabs>
          <w:tab w:val="left" w:pos="7560"/>
        </w:tabs>
        <w:adjustRightInd w:val="0"/>
        <w:snapToGrid w:val="0"/>
        <w:jc w:val="center"/>
        <w:rPr>
          <w:rFonts w:eastAsia="方正小标宋简体"/>
          <w:bCs/>
          <w:sz w:val="84"/>
          <w:szCs w:val="84"/>
        </w:rPr>
      </w:pPr>
      <w:r>
        <w:rPr>
          <w:rFonts w:hint="eastAsia" w:eastAsia="方正小标宋简体"/>
          <w:bCs/>
          <w:sz w:val="84"/>
          <w:szCs w:val="84"/>
          <w:lang w:val="en-US" w:eastAsia="zh-CN"/>
        </w:rPr>
        <w:t>醴陵市中医院</w:t>
      </w:r>
      <w:r>
        <w:rPr>
          <w:rFonts w:eastAsia="方正小标宋简体"/>
          <w:bCs/>
          <w:sz w:val="84"/>
          <w:szCs w:val="84"/>
        </w:rPr>
        <w:t>2023年部门预算</w:t>
      </w:r>
    </w:p>
    <w:p w14:paraId="351E2EC2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4E2861EE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0E15E71A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1D4A03F6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2405D0D5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47B6B5DF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643DB4A3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74ED7AA9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6B1386A0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34C50567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0A965D53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3B1E014D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1EB5E474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2FFA5D43">
      <w:pPr>
        <w:tabs>
          <w:tab w:val="left" w:pos="7560"/>
        </w:tabs>
        <w:adjustRightInd w:val="0"/>
        <w:snapToGrid w:val="0"/>
        <w:spacing w:line="560" w:lineRule="exact"/>
        <w:jc w:val="left"/>
        <w:rPr>
          <w:rFonts w:eastAsia="仿宋_GB2312"/>
          <w:bCs/>
          <w:sz w:val="32"/>
          <w:szCs w:val="32"/>
        </w:rPr>
      </w:pPr>
    </w:p>
    <w:p w14:paraId="67B2C7DA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目  录</w:t>
      </w:r>
    </w:p>
    <w:p w14:paraId="5B1A7359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第一部分 部门预算公开说明</w:t>
      </w:r>
    </w:p>
    <w:p w14:paraId="1F91913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一、部门职能职责</w:t>
      </w:r>
    </w:p>
    <w:p w14:paraId="2644880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二、机构设置</w:t>
      </w:r>
    </w:p>
    <w:p w14:paraId="5264643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三、部门预算单位构成</w:t>
      </w:r>
    </w:p>
    <w:p w14:paraId="63128F8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四、部门收支总体情况</w:t>
      </w:r>
    </w:p>
    <w:p w14:paraId="733ABC8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（一）收入预算</w:t>
      </w:r>
    </w:p>
    <w:p w14:paraId="76155E9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（二）支出预算</w:t>
      </w:r>
    </w:p>
    <w:p w14:paraId="54C932C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（三）预算收支增减变化情况说明</w:t>
      </w:r>
    </w:p>
    <w:p w14:paraId="690B5D3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五、一般公共预算拨款支出预算</w:t>
      </w:r>
    </w:p>
    <w:p w14:paraId="6FDA4EB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（一）基本支出</w:t>
      </w:r>
    </w:p>
    <w:p w14:paraId="3C83915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（二）项目支出</w:t>
      </w:r>
    </w:p>
    <w:p w14:paraId="5C8F32F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六、政府性基金预算支出</w:t>
      </w:r>
    </w:p>
    <w:p w14:paraId="26603D0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七、其他重要事项情况说明</w:t>
      </w:r>
    </w:p>
    <w:p w14:paraId="167F678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（一）机关运行经费</w:t>
      </w:r>
    </w:p>
    <w:p w14:paraId="05AB79E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（二）政府采购预算</w:t>
      </w:r>
    </w:p>
    <w:p w14:paraId="06BF887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（三）国有资产占有情况</w:t>
      </w:r>
    </w:p>
    <w:p w14:paraId="2F27E14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（四）重点项目预算的绩效目标等情况</w:t>
      </w:r>
    </w:p>
    <w:p w14:paraId="5D3EB66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（五）一般公共预算“三公”经费预算</w:t>
      </w:r>
    </w:p>
    <w:p w14:paraId="14635B6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（六）会议费、培训费</w:t>
      </w:r>
    </w:p>
    <w:p w14:paraId="5E9D254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（七）其他事项</w:t>
      </w:r>
    </w:p>
    <w:p w14:paraId="6971B7A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八、名词解释</w:t>
      </w:r>
    </w:p>
    <w:p w14:paraId="75BE1328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第二部分 部门预算公开表格</w:t>
      </w:r>
    </w:p>
    <w:p w14:paraId="5F6178C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（一）部门收支总表</w:t>
      </w:r>
    </w:p>
    <w:p w14:paraId="0A895A9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（二）部门收入总表</w:t>
      </w:r>
    </w:p>
    <w:p w14:paraId="3867FFA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（三）部门支出总表</w:t>
      </w:r>
    </w:p>
    <w:p w14:paraId="7CF28AF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（四）支出</w:t>
      </w:r>
      <w:r>
        <w:rPr>
          <w:rFonts w:hint="eastAsia" w:hAnsi="仿宋_GB2312" w:eastAsia="仿宋_GB2312"/>
          <w:sz w:val="32"/>
          <w:szCs w:val="32"/>
          <w:lang w:eastAsia="zh-CN"/>
        </w:rPr>
        <w:t>预算</w:t>
      </w:r>
      <w:r>
        <w:rPr>
          <w:rFonts w:hAnsi="仿宋_GB2312" w:eastAsia="仿宋_GB2312"/>
          <w:sz w:val="32"/>
          <w:szCs w:val="32"/>
        </w:rPr>
        <w:t>分类</w:t>
      </w:r>
      <w:r>
        <w:rPr>
          <w:rFonts w:hint="eastAsia" w:hAnsi="仿宋_GB2312" w:eastAsia="仿宋_GB2312"/>
          <w:sz w:val="32"/>
          <w:szCs w:val="32"/>
          <w:lang w:eastAsia="zh-CN"/>
        </w:rPr>
        <w:t>汇总表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  <w:lang w:eastAsia="zh-CN"/>
        </w:rPr>
        <w:t>按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hint="eastAsia" w:hAnsi="仿宋_GB2312" w:eastAsia="仿宋_GB2312"/>
          <w:sz w:val="32"/>
          <w:szCs w:val="32"/>
          <w:lang w:eastAsia="zh-CN"/>
        </w:rPr>
        <w:t>经济分类</w:t>
      </w:r>
      <w:r>
        <w:rPr>
          <w:rFonts w:eastAsia="仿宋_GB2312"/>
          <w:sz w:val="32"/>
          <w:szCs w:val="32"/>
        </w:rPr>
        <w:t>)</w:t>
      </w:r>
    </w:p>
    <w:p w14:paraId="652697E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（五）支出</w:t>
      </w:r>
      <w:r>
        <w:rPr>
          <w:rFonts w:hint="eastAsia" w:hAnsi="仿宋_GB2312" w:eastAsia="仿宋_GB2312"/>
          <w:sz w:val="32"/>
          <w:szCs w:val="32"/>
          <w:lang w:eastAsia="zh-CN"/>
        </w:rPr>
        <w:t>预算</w:t>
      </w:r>
      <w:r>
        <w:rPr>
          <w:rFonts w:hAnsi="仿宋_GB2312" w:eastAsia="仿宋_GB2312"/>
          <w:sz w:val="32"/>
          <w:szCs w:val="32"/>
        </w:rPr>
        <w:t>分类</w:t>
      </w:r>
      <w:r>
        <w:rPr>
          <w:rFonts w:hint="eastAsia" w:hAnsi="仿宋_GB2312" w:eastAsia="仿宋_GB2312"/>
          <w:sz w:val="32"/>
          <w:szCs w:val="32"/>
          <w:lang w:eastAsia="zh-CN"/>
        </w:rPr>
        <w:t>汇总表</w:t>
      </w:r>
      <w:r>
        <w:rPr>
          <w:rFonts w:eastAsia="仿宋_GB2312"/>
          <w:sz w:val="32"/>
          <w:szCs w:val="32"/>
        </w:rPr>
        <w:t>(</w:t>
      </w:r>
      <w:r>
        <w:rPr>
          <w:rFonts w:hint="eastAsia" w:eastAsia="仿宋_GB2312"/>
          <w:sz w:val="32"/>
          <w:szCs w:val="32"/>
          <w:lang w:eastAsia="zh-CN"/>
        </w:rPr>
        <w:t>按</w:t>
      </w:r>
      <w:r>
        <w:rPr>
          <w:rFonts w:hint="eastAsia" w:hAnsi="仿宋_GB2312" w:eastAsia="仿宋_GB2312"/>
          <w:sz w:val="32"/>
          <w:szCs w:val="32"/>
          <w:lang w:eastAsia="zh-CN"/>
        </w:rPr>
        <w:t>部门</w:t>
      </w:r>
      <w:r>
        <w:rPr>
          <w:rFonts w:hAnsi="仿宋_GB2312" w:eastAsia="仿宋_GB2312"/>
          <w:sz w:val="32"/>
          <w:szCs w:val="32"/>
        </w:rPr>
        <w:t>预算</w:t>
      </w:r>
      <w:r>
        <w:rPr>
          <w:rFonts w:hint="eastAsia" w:hAnsi="仿宋_GB2312" w:eastAsia="仿宋_GB2312"/>
          <w:sz w:val="32"/>
          <w:szCs w:val="32"/>
          <w:lang w:eastAsia="zh-CN"/>
        </w:rPr>
        <w:t>经济分类</w:t>
      </w:r>
      <w:r>
        <w:rPr>
          <w:rFonts w:eastAsia="仿宋_GB2312"/>
          <w:sz w:val="32"/>
          <w:szCs w:val="32"/>
        </w:rPr>
        <w:t>)</w:t>
      </w:r>
    </w:p>
    <w:p w14:paraId="2D787DC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（六）财政拨款收支总表</w:t>
      </w:r>
    </w:p>
    <w:p w14:paraId="1053523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Ansi="仿宋_GB2312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（七）一般</w:t>
      </w:r>
      <w:r>
        <w:rPr>
          <w:rFonts w:hint="eastAsia" w:hAnsi="仿宋_GB2312" w:eastAsia="仿宋_GB2312"/>
          <w:sz w:val="32"/>
          <w:szCs w:val="32"/>
          <w:lang w:eastAsia="zh-CN"/>
        </w:rPr>
        <w:t>公共</w:t>
      </w:r>
      <w:r>
        <w:rPr>
          <w:rFonts w:hAnsi="仿宋_GB2312" w:eastAsia="仿宋_GB2312"/>
          <w:sz w:val="32"/>
          <w:szCs w:val="32"/>
        </w:rPr>
        <w:t>预算支出表</w:t>
      </w:r>
    </w:p>
    <w:p w14:paraId="1F6A1AE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hAnsi="仿宋_GB2312" w:eastAsia="仿宋_GB2312"/>
          <w:sz w:val="32"/>
          <w:szCs w:val="32"/>
          <w:lang w:eastAsia="zh-CN"/>
        </w:rPr>
      </w:pPr>
      <w:r>
        <w:rPr>
          <w:rFonts w:hint="eastAsia" w:hAnsi="仿宋_GB2312" w:eastAsia="仿宋_GB2312"/>
          <w:sz w:val="32"/>
          <w:szCs w:val="32"/>
          <w:lang w:eastAsia="zh-CN"/>
        </w:rPr>
        <w:t>（八）一般公共预算基本支出表</w:t>
      </w:r>
    </w:p>
    <w:p w14:paraId="4D56B30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（九）工资福利（政府预算）</w:t>
      </w:r>
    </w:p>
    <w:p w14:paraId="1514AA1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（九）工资福利</w:t>
      </w:r>
    </w:p>
    <w:p w14:paraId="54077AA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（十一）个人家庭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320A87A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（十二）个人家庭</w:t>
      </w:r>
    </w:p>
    <w:p w14:paraId="06D5F2C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（十三）商品服务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08050C2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（十四）商品服务</w:t>
      </w:r>
    </w:p>
    <w:p w14:paraId="26593E1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Ansi="仿宋_GB2312" w:eastAsia="仿宋_GB2312"/>
          <w:sz w:val="32"/>
          <w:szCs w:val="32"/>
        </w:rPr>
        <w:t>（十五）</w:t>
      </w:r>
      <w:r>
        <w:rPr>
          <w:rFonts w:hint="eastAsia" w:hAnsi="仿宋_GB2312" w:eastAsia="仿宋_GB2312"/>
          <w:sz w:val="32"/>
          <w:szCs w:val="32"/>
          <w:lang w:eastAsia="zh-CN"/>
        </w:rPr>
        <w:t>一般公共预算“三公”经费支出表</w:t>
      </w:r>
    </w:p>
    <w:p w14:paraId="1D8BF88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Ansi="仿宋_GB2312" w:eastAsia="仿宋_GB2312"/>
          <w:sz w:val="32"/>
          <w:szCs w:val="32"/>
        </w:rPr>
        <w:t>（十六）政府性基金</w:t>
      </w:r>
      <w:r>
        <w:rPr>
          <w:rFonts w:hint="eastAsia" w:hAnsi="仿宋_GB2312" w:eastAsia="仿宋_GB2312"/>
          <w:sz w:val="32"/>
          <w:szCs w:val="32"/>
          <w:lang w:eastAsia="zh-CN"/>
        </w:rPr>
        <w:t>预算支出表</w:t>
      </w:r>
    </w:p>
    <w:p w14:paraId="5344CF2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（十七）政府性基金</w:t>
      </w:r>
      <w:r>
        <w:rPr>
          <w:rFonts w:hint="eastAsia" w:hAnsi="仿宋_GB2312" w:eastAsia="仿宋_GB2312"/>
          <w:sz w:val="32"/>
          <w:szCs w:val="32"/>
          <w:lang w:eastAsia="zh-CN"/>
        </w:rPr>
        <w:t>预算支出分类汇总表</w:t>
      </w:r>
      <w:r>
        <w:rPr>
          <w:rFonts w:eastAsia="仿宋_GB2312"/>
          <w:sz w:val="32"/>
          <w:szCs w:val="32"/>
        </w:rPr>
        <w:t>(</w:t>
      </w:r>
      <w:r>
        <w:rPr>
          <w:rFonts w:hAnsi="仿宋_GB2312" w:eastAsia="仿宋_GB2312"/>
          <w:sz w:val="32"/>
          <w:szCs w:val="32"/>
        </w:rPr>
        <w:t>政府预算</w:t>
      </w:r>
      <w:r>
        <w:rPr>
          <w:rFonts w:eastAsia="仿宋_GB2312"/>
          <w:sz w:val="32"/>
          <w:szCs w:val="32"/>
        </w:rPr>
        <w:t>)</w:t>
      </w:r>
    </w:p>
    <w:p w14:paraId="038B461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（十八）政府性基金</w:t>
      </w:r>
      <w:r>
        <w:rPr>
          <w:rFonts w:hint="eastAsia" w:hAnsi="仿宋_GB2312" w:eastAsia="仿宋_GB2312"/>
          <w:sz w:val="32"/>
          <w:szCs w:val="32"/>
          <w:lang w:eastAsia="zh-CN"/>
        </w:rPr>
        <w:t>预算支出分类汇总表</w:t>
      </w:r>
      <w:r>
        <w:rPr>
          <w:rFonts w:eastAsia="仿宋_GB2312"/>
          <w:sz w:val="32"/>
          <w:szCs w:val="32"/>
        </w:rPr>
        <w:t>(</w:t>
      </w:r>
      <w:r>
        <w:rPr>
          <w:rFonts w:hint="eastAsia" w:hAnsi="仿宋_GB2312" w:eastAsia="仿宋_GB2312"/>
          <w:sz w:val="32"/>
          <w:szCs w:val="32"/>
          <w:lang w:eastAsia="zh-CN"/>
        </w:rPr>
        <w:t>部门</w:t>
      </w:r>
      <w:r>
        <w:rPr>
          <w:rFonts w:hAnsi="仿宋_GB2312" w:eastAsia="仿宋_GB2312"/>
          <w:sz w:val="32"/>
          <w:szCs w:val="32"/>
        </w:rPr>
        <w:t>预算</w:t>
      </w:r>
      <w:r>
        <w:rPr>
          <w:rFonts w:eastAsia="仿宋_GB2312"/>
          <w:sz w:val="32"/>
          <w:szCs w:val="32"/>
        </w:rPr>
        <w:t>)</w:t>
      </w:r>
    </w:p>
    <w:p w14:paraId="38C1114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Ansi="仿宋_GB2312" w:eastAsia="仿宋_GB2312"/>
          <w:sz w:val="32"/>
          <w:szCs w:val="32"/>
        </w:rPr>
        <w:t>（十九）国有资本经营预算</w:t>
      </w:r>
      <w:r>
        <w:rPr>
          <w:rFonts w:hint="eastAsia" w:hAnsi="仿宋_GB2312" w:eastAsia="仿宋_GB2312"/>
          <w:sz w:val="32"/>
          <w:szCs w:val="32"/>
          <w:lang w:eastAsia="zh-CN"/>
        </w:rPr>
        <w:t>支出表</w:t>
      </w:r>
    </w:p>
    <w:p w14:paraId="241741B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Ansi="仿宋_GB2312" w:eastAsia="仿宋_GB2312"/>
          <w:sz w:val="32"/>
          <w:szCs w:val="32"/>
        </w:rPr>
        <w:t>（二十）财政专户管理资金</w:t>
      </w:r>
      <w:r>
        <w:rPr>
          <w:rFonts w:hint="eastAsia" w:hAnsi="仿宋_GB2312" w:eastAsia="仿宋_GB2312"/>
          <w:sz w:val="32"/>
          <w:szCs w:val="32"/>
          <w:lang w:eastAsia="zh-CN"/>
        </w:rPr>
        <w:t>预算支出表</w:t>
      </w:r>
    </w:p>
    <w:p w14:paraId="6371E7B9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（二十一）专项</w:t>
      </w:r>
      <w:r>
        <w:rPr>
          <w:rFonts w:hint="eastAsia" w:hAnsi="仿宋_GB2312" w:eastAsia="仿宋_GB2312"/>
          <w:sz w:val="32"/>
          <w:szCs w:val="32"/>
          <w:lang w:eastAsia="zh-CN"/>
        </w:rPr>
        <w:t>资金预算汇总表</w:t>
      </w:r>
    </w:p>
    <w:p w14:paraId="34018AF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（二十二）项目支出绩效目标表</w:t>
      </w:r>
    </w:p>
    <w:p w14:paraId="72C5223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Ansi="仿宋_GB2312" w:eastAsia="仿宋_GB2312"/>
          <w:sz w:val="32"/>
          <w:szCs w:val="32"/>
        </w:rPr>
        <w:t>（二十</w:t>
      </w:r>
      <w:r>
        <w:rPr>
          <w:rFonts w:hint="eastAsia" w:hAnsi="仿宋_GB2312" w:eastAsia="仿宋_GB2312"/>
          <w:sz w:val="32"/>
          <w:szCs w:val="32"/>
          <w:lang w:eastAsia="zh-CN"/>
        </w:rPr>
        <w:t>三</w:t>
      </w:r>
      <w:r>
        <w:rPr>
          <w:rFonts w:hAnsi="仿宋_GB2312" w:eastAsia="仿宋_GB2312"/>
          <w:sz w:val="32"/>
          <w:szCs w:val="32"/>
        </w:rPr>
        <w:t>）整体支出绩效目标表</w:t>
      </w:r>
    </w:p>
    <w:p w14:paraId="19FADA8A">
      <w:pPr>
        <w:tabs>
          <w:tab w:val="left" w:pos="7560"/>
        </w:tabs>
        <w:adjustRightInd w:val="0"/>
        <w:snapToGrid w:val="0"/>
        <w:spacing w:line="560" w:lineRule="exact"/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 w:bidi="ar-SA"/>
        </w:rPr>
        <w:t>（注：本套报表金额单位转换时可能存在尾数误差）</w:t>
      </w:r>
    </w:p>
    <w:p w14:paraId="777502BB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2098" w:right="1531" w:bottom="1985" w:left="1531" w:header="851" w:footer="1588" w:gutter="0"/>
          <w:cols w:space="720" w:num="1"/>
          <w:titlePg/>
          <w:docGrid w:linePitch="312" w:charSpace="0"/>
        </w:sectPr>
      </w:pPr>
    </w:p>
    <w:p w14:paraId="2FE58EC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第一部分：</w:t>
      </w:r>
    </w:p>
    <w:p w14:paraId="454AF87B">
      <w:pPr>
        <w:tabs>
          <w:tab w:val="left" w:pos="7560"/>
        </w:tabs>
        <w:adjustRightInd w:val="0"/>
        <w:snapToGrid w:val="0"/>
        <w:spacing w:line="560" w:lineRule="exact"/>
        <w:rPr>
          <w:rFonts w:eastAsia="方正小标宋简体"/>
          <w:bCs/>
          <w:sz w:val="44"/>
          <w:szCs w:val="44"/>
        </w:rPr>
      </w:pPr>
    </w:p>
    <w:p w14:paraId="196AF8D8">
      <w:pPr>
        <w:tabs>
          <w:tab w:val="left" w:pos="7560"/>
        </w:tabs>
        <w:adjustRightInd w:val="0"/>
        <w:snapToGrid w:val="0"/>
        <w:spacing w:line="560" w:lineRule="exact"/>
        <w:jc w:val="center"/>
        <w:rPr>
          <w:rFonts w:eastAsia="黑体"/>
          <w:sz w:val="32"/>
          <w:szCs w:val="32"/>
        </w:rPr>
      </w:pPr>
      <w:r>
        <w:rPr>
          <w:rFonts w:hint="eastAsia" w:eastAsia="方正小标宋简体"/>
          <w:bCs/>
          <w:sz w:val="44"/>
          <w:szCs w:val="44"/>
          <w:lang w:val="en-US" w:eastAsia="zh-CN"/>
        </w:rPr>
        <w:t>醴陵市中医院</w:t>
      </w:r>
      <w:r>
        <w:rPr>
          <w:rFonts w:eastAsia="方正小标宋简体"/>
          <w:bCs/>
          <w:sz w:val="44"/>
          <w:szCs w:val="44"/>
        </w:rPr>
        <w:t>2023年部门预算说明</w:t>
      </w:r>
    </w:p>
    <w:p w14:paraId="58D95FB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4B7978C0">
      <w:pPr>
        <w:numPr>
          <w:ilvl w:val="0"/>
          <w:numId w:val="1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部门职能职责</w:t>
      </w:r>
    </w:p>
    <w:p w14:paraId="0CC9B672">
      <w:pPr>
        <w:tabs>
          <w:tab w:val="left" w:pos="7560"/>
        </w:tabs>
        <w:adjustRightInd w:val="0"/>
        <w:snapToGrid w:val="0"/>
        <w:spacing w:line="560" w:lineRule="exact"/>
        <w:ind w:left="319" w:leftChars="152" w:firstLine="0" w:firstLineChars="0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</w:rPr>
        <w:t>（一）提供急、危、重症、疑难病症的中医诊疗服务。</w:t>
      </w:r>
    </w:p>
    <w:p w14:paraId="0E45F6BA">
      <w:pPr>
        <w:tabs>
          <w:tab w:val="left" w:pos="7560"/>
        </w:tabs>
        <w:adjustRightInd w:val="0"/>
        <w:snapToGrid w:val="0"/>
        <w:spacing w:line="560" w:lineRule="exact"/>
        <w:ind w:left="319" w:leftChars="152" w:firstLine="0" w:firstLineChars="0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</w:rPr>
        <w:t>（二）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提供</w:t>
      </w:r>
      <w:r>
        <w:rPr>
          <w:rFonts w:hint="eastAsia" w:eastAsia="仿宋_GB2312"/>
          <w:color w:val="auto"/>
          <w:sz w:val="32"/>
          <w:szCs w:val="32"/>
        </w:rPr>
        <w:t>中医优势病种的中医门诊诊疗服务。</w:t>
      </w:r>
    </w:p>
    <w:p w14:paraId="63CFE235">
      <w:pPr>
        <w:tabs>
          <w:tab w:val="left" w:pos="7560"/>
        </w:tabs>
        <w:adjustRightInd w:val="0"/>
        <w:snapToGrid w:val="0"/>
        <w:spacing w:line="560" w:lineRule="exact"/>
        <w:ind w:left="319" w:leftChars="152" w:firstLine="0" w:firstLineChars="0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</w:rPr>
        <w:t>（三）承担中医治疗临床总结工作，成为医学教育和临床科研的基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地</w:t>
      </w:r>
      <w:r>
        <w:rPr>
          <w:rFonts w:hint="eastAsia" w:eastAsia="仿宋_GB2312"/>
          <w:color w:val="auto"/>
          <w:sz w:val="32"/>
          <w:szCs w:val="32"/>
        </w:rPr>
        <w:t>。</w:t>
      </w:r>
    </w:p>
    <w:p w14:paraId="11046DE3">
      <w:pPr>
        <w:tabs>
          <w:tab w:val="left" w:pos="7560"/>
        </w:tabs>
        <w:adjustRightInd w:val="0"/>
        <w:snapToGrid w:val="0"/>
        <w:spacing w:line="560" w:lineRule="exact"/>
        <w:ind w:left="319" w:leftChars="152" w:firstLine="0" w:firstLineChars="0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</w:rPr>
        <w:t>（四）积极开展中医治未病工作，成为基层中医药人员医疗技术的指导和培训中心。</w:t>
      </w:r>
    </w:p>
    <w:p w14:paraId="777F277F">
      <w:pPr>
        <w:tabs>
          <w:tab w:val="left" w:pos="7560"/>
        </w:tabs>
        <w:adjustRightInd w:val="0"/>
        <w:snapToGrid w:val="0"/>
        <w:spacing w:line="560" w:lineRule="exact"/>
        <w:ind w:left="319" w:leftChars="152" w:firstLine="0" w:firstLineChars="0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</w:rPr>
        <w:t>（五）发挥中医药在疾病预防控制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的作用</w:t>
      </w:r>
      <w:r>
        <w:rPr>
          <w:rFonts w:hint="eastAsia" w:eastAsia="仿宋_GB2312"/>
          <w:color w:val="auto"/>
          <w:sz w:val="32"/>
          <w:szCs w:val="32"/>
        </w:rPr>
        <w:t>。</w:t>
      </w:r>
    </w:p>
    <w:p w14:paraId="006422FD">
      <w:pPr>
        <w:tabs>
          <w:tab w:val="left" w:pos="7560"/>
        </w:tabs>
        <w:adjustRightInd w:val="0"/>
        <w:snapToGrid w:val="0"/>
        <w:spacing w:line="560" w:lineRule="exact"/>
        <w:ind w:left="319" w:leftChars="152" w:firstLine="0" w:firstLineChars="0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hint="eastAsia" w:eastAsia="仿宋_GB2312"/>
          <w:color w:val="auto"/>
          <w:sz w:val="32"/>
          <w:szCs w:val="32"/>
        </w:rPr>
        <w:t>（六）应对突发公共卫生事件方面的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救治</w:t>
      </w:r>
      <w:r>
        <w:rPr>
          <w:rFonts w:hint="eastAsia" w:eastAsia="仿宋_GB2312"/>
          <w:color w:val="auto"/>
          <w:sz w:val="32"/>
          <w:szCs w:val="32"/>
        </w:rPr>
        <w:t>。</w:t>
      </w:r>
    </w:p>
    <w:p w14:paraId="2BDDD926">
      <w:pPr>
        <w:tabs>
          <w:tab w:val="left" w:pos="7560"/>
        </w:tabs>
        <w:adjustRightInd w:val="0"/>
        <w:snapToGrid w:val="0"/>
        <w:spacing w:line="560" w:lineRule="exact"/>
        <w:ind w:left="319" w:leftChars="152" w:firstLine="0" w:firstLineChars="0"/>
        <w:rPr>
          <w:rFonts w:eastAsia="仿宋_GB2312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（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七</w:t>
      </w:r>
      <w:r>
        <w:rPr>
          <w:rFonts w:hint="eastAsia" w:eastAsia="仿宋_GB2312"/>
          <w:color w:val="auto"/>
          <w:sz w:val="32"/>
          <w:szCs w:val="32"/>
        </w:rPr>
        <w:t>）承办市委、市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人民政府</w:t>
      </w:r>
      <w:r>
        <w:rPr>
          <w:rFonts w:hint="eastAsia" w:eastAsia="仿宋_GB2312"/>
          <w:color w:val="auto"/>
          <w:sz w:val="32"/>
          <w:szCs w:val="32"/>
        </w:rPr>
        <w:t>交办的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医疗、公共突发事件的处 置</w:t>
      </w:r>
      <w:r>
        <w:rPr>
          <w:rFonts w:hint="eastAsia" w:eastAsia="仿宋_GB2312"/>
          <w:color w:val="auto"/>
          <w:sz w:val="32"/>
          <w:szCs w:val="32"/>
        </w:rPr>
        <w:t>。</w:t>
      </w:r>
    </w:p>
    <w:p w14:paraId="2EAAE59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二、机构设置</w:t>
      </w:r>
    </w:p>
    <w:p w14:paraId="6E77300A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Cs/>
          <w:color w:val="FF0000"/>
          <w:sz w:val="32"/>
          <w:szCs w:val="32"/>
        </w:rPr>
        <w:t> </w:t>
      </w:r>
      <w:r>
        <w:rPr>
          <w:rFonts w:eastAsia="仿宋_GB2312"/>
          <w:sz w:val="32"/>
          <w:szCs w:val="32"/>
        </w:rPr>
        <w:t>本部门共有编制人数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516</w:t>
      </w:r>
      <w:r>
        <w:rPr>
          <w:rFonts w:eastAsia="仿宋_GB2312"/>
          <w:sz w:val="32"/>
          <w:szCs w:val="32"/>
        </w:rPr>
        <w:t>人，实有人数</w:t>
      </w:r>
      <w:r>
        <w:rPr>
          <w:rFonts w:hint="eastAsia" w:eastAsia="仿宋_GB2312"/>
          <w:sz w:val="32"/>
          <w:szCs w:val="32"/>
          <w:lang w:val="en-US" w:eastAsia="zh-CN"/>
        </w:rPr>
        <w:t>1185</w:t>
      </w:r>
      <w:r>
        <w:rPr>
          <w:rFonts w:eastAsia="仿宋_GB2312"/>
          <w:sz w:val="32"/>
          <w:szCs w:val="32"/>
        </w:rPr>
        <w:t xml:space="preserve">人。内设科室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62</w:t>
      </w:r>
      <w:r>
        <w:rPr>
          <w:rFonts w:eastAsia="仿宋_GB2312"/>
          <w:sz w:val="32"/>
          <w:szCs w:val="32"/>
        </w:rPr>
        <w:t>个，分别为：</w:t>
      </w:r>
      <w:r>
        <w:rPr>
          <w:rFonts w:hint="eastAsia" w:eastAsia="仿宋_GB2312"/>
          <w:color w:val="auto"/>
          <w:sz w:val="32"/>
          <w:szCs w:val="32"/>
          <w:lang w:eastAsia="zh-CN"/>
        </w:rPr>
        <w:t>党政办、全质办、党建办、医务部、护理部、财务部、人事部科、后勤科、医保科、药务科、院感办、事业部、病友服务中心、纪检监察室、设备科、信息科、药学办公室、综治办、内审、工会等科室。</w:t>
      </w:r>
    </w:p>
    <w:p w14:paraId="246175E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三、部门预算单位构成</w:t>
      </w:r>
    </w:p>
    <w:p w14:paraId="69D9659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本单位无下属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预算</w:t>
      </w:r>
      <w:r>
        <w:rPr>
          <w:rFonts w:eastAsia="仿宋_GB2312"/>
          <w:color w:val="000000"/>
          <w:sz w:val="32"/>
          <w:szCs w:val="32"/>
        </w:rPr>
        <w:t>机构。</w:t>
      </w:r>
    </w:p>
    <w:p w14:paraId="45AC5CA0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 部门收支总体情况</w:t>
      </w:r>
    </w:p>
    <w:p w14:paraId="356679D5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eastAsia="zh-CN"/>
        </w:rPr>
        <w:t>醴陵市中医院</w:t>
      </w:r>
      <w:r>
        <w:rPr>
          <w:rFonts w:eastAsia="仿宋_GB2312"/>
          <w:sz w:val="32"/>
          <w:szCs w:val="32"/>
        </w:rPr>
        <w:t>公开的部门预算为</w:t>
      </w:r>
      <w:r>
        <w:rPr>
          <w:rFonts w:hint="eastAsia" w:eastAsia="仿宋_GB2312"/>
          <w:sz w:val="32"/>
          <w:szCs w:val="32"/>
          <w:lang w:val="en-US" w:eastAsia="zh-CN"/>
        </w:rPr>
        <w:t>本</w:t>
      </w:r>
      <w:r>
        <w:rPr>
          <w:rFonts w:eastAsia="仿宋_GB2312"/>
          <w:sz w:val="32"/>
          <w:szCs w:val="32"/>
        </w:rPr>
        <w:t>单位预算。收入包括一般公共预算收入；支出包括直属单位基本运行的经费。（详见附表）</w:t>
      </w:r>
    </w:p>
    <w:p w14:paraId="25388B0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（一）收入预算</w:t>
      </w:r>
      <w:r>
        <w:rPr>
          <w:rFonts w:eastAsia="楷体_GB2312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2023年年初预算数</w:t>
      </w:r>
      <w:r>
        <w:rPr>
          <w:rFonts w:hint="eastAsia" w:eastAsia="仿宋_GB2312"/>
          <w:sz w:val="32"/>
          <w:szCs w:val="32"/>
          <w:lang w:val="en-US" w:eastAsia="zh-CN"/>
        </w:rPr>
        <w:t>288</w:t>
      </w:r>
      <w:r>
        <w:rPr>
          <w:rFonts w:eastAsia="仿宋_GB2312"/>
          <w:sz w:val="32"/>
          <w:szCs w:val="32"/>
        </w:rPr>
        <w:t>万元，其中，一般公共预算拨款</w:t>
      </w:r>
      <w:r>
        <w:rPr>
          <w:rFonts w:hint="eastAsia" w:eastAsia="仿宋_GB2312"/>
          <w:sz w:val="32"/>
          <w:szCs w:val="32"/>
          <w:lang w:val="en-US" w:eastAsia="zh-CN"/>
        </w:rPr>
        <w:t>288</w:t>
      </w:r>
      <w:r>
        <w:rPr>
          <w:rFonts w:eastAsia="仿宋_GB2312"/>
          <w:sz w:val="32"/>
          <w:szCs w:val="32"/>
        </w:rPr>
        <w:t>万元；政府性基金拨款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万元；财政专户管理的非税收入拨款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万元；上级财政补助收入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万元。因上年结转数暂未最终确定，本年度收支预算中均不含上年结转数字。</w:t>
      </w:r>
    </w:p>
    <w:p w14:paraId="68C7B82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（二）支出预算：</w:t>
      </w:r>
      <w:r>
        <w:rPr>
          <w:rFonts w:eastAsia="仿宋_GB2312"/>
          <w:sz w:val="32"/>
          <w:szCs w:val="32"/>
        </w:rPr>
        <w:t>2023年年初预算数</w:t>
      </w:r>
      <w:r>
        <w:rPr>
          <w:rFonts w:hint="eastAsia" w:eastAsia="仿宋_GB2312"/>
          <w:sz w:val="32"/>
          <w:szCs w:val="32"/>
          <w:lang w:val="en-US" w:eastAsia="zh-CN"/>
        </w:rPr>
        <w:t>288</w:t>
      </w:r>
      <w:r>
        <w:rPr>
          <w:rFonts w:eastAsia="仿宋_GB2312"/>
          <w:sz w:val="32"/>
          <w:szCs w:val="32"/>
        </w:rPr>
        <w:t>万元，其中，</w:t>
      </w:r>
      <w:r>
        <w:rPr>
          <w:rFonts w:hint="eastAsia" w:eastAsia="仿宋_GB2312"/>
          <w:color w:val="auto"/>
          <w:sz w:val="32"/>
          <w:szCs w:val="32"/>
          <w:lang w:eastAsia="zh-CN"/>
        </w:rPr>
        <w:t>卫生健康支出</w:t>
      </w:r>
      <w:r>
        <w:rPr>
          <w:rFonts w:hint="eastAsia" w:eastAsia="仿宋_GB2312"/>
          <w:sz w:val="32"/>
          <w:szCs w:val="32"/>
          <w:lang w:val="en-US" w:eastAsia="zh-CN"/>
        </w:rPr>
        <w:t>288</w:t>
      </w:r>
      <w:r>
        <w:rPr>
          <w:rFonts w:eastAsia="仿宋_GB2312"/>
          <w:sz w:val="32"/>
          <w:szCs w:val="32"/>
        </w:rPr>
        <w:t>万元。</w:t>
      </w:r>
    </w:p>
    <w:p w14:paraId="436BA54E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1.基本支出：</w:t>
      </w:r>
      <w:r>
        <w:rPr>
          <w:rFonts w:eastAsia="仿宋_GB2312"/>
          <w:color w:val="000000"/>
          <w:sz w:val="32"/>
          <w:szCs w:val="32"/>
        </w:rPr>
        <w:t>2023年年初预算数为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288</w:t>
      </w:r>
      <w:r>
        <w:rPr>
          <w:rFonts w:eastAsia="仿宋_GB2312"/>
          <w:color w:val="000000"/>
          <w:sz w:val="32"/>
          <w:szCs w:val="32"/>
        </w:rPr>
        <w:t>万元，是指为保障单位机构正常运转、完成日常工作任务而发生的各项支出，包括用于基本工资、津贴补贴等人员经费以及日常公用经费、业务性商品和服务支出。其中包括基本工资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288</w:t>
      </w:r>
      <w:r>
        <w:rPr>
          <w:rFonts w:eastAsia="仿宋_GB2312"/>
          <w:color w:val="000000"/>
          <w:sz w:val="32"/>
          <w:szCs w:val="32"/>
        </w:rPr>
        <w:t>万元、津贴补贴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eastAsia="仿宋_GB2312"/>
          <w:color w:val="000000"/>
          <w:sz w:val="32"/>
          <w:szCs w:val="32"/>
        </w:rPr>
        <w:t>万元、奖金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eastAsia="仿宋_GB2312"/>
          <w:color w:val="000000"/>
          <w:sz w:val="32"/>
          <w:szCs w:val="32"/>
        </w:rPr>
        <w:t>万元、其他工资福利支出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eastAsia="仿宋_GB2312"/>
          <w:color w:val="000000"/>
          <w:sz w:val="32"/>
          <w:szCs w:val="32"/>
        </w:rPr>
        <w:t>万元、公用经费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eastAsia="仿宋_GB2312"/>
          <w:color w:val="000000"/>
          <w:sz w:val="32"/>
          <w:szCs w:val="32"/>
        </w:rPr>
        <w:t>万元等。</w:t>
      </w:r>
    </w:p>
    <w:p w14:paraId="7057C065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b/>
          <w:color w:val="000000"/>
          <w:sz w:val="32"/>
          <w:szCs w:val="32"/>
        </w:rPr>
        <w:t>2.项目支出：</w:t>
      </w:r>
      <w:r>
        <w:rPr>
          <w:rFonts w:hint="eastAsia" w:eastAsia="仿宋_GB2312"/>
          <w:color w:val="000000"/>
          <w:sz w:val="32"/>
          <w:szCs w:val="32"/>
        </w:rPr>
        <w:t>2023</w:t>
      </w:r>
      <w:r>
        <w:rPr>
          <w:rFonts w:eastAsia="仿宋_GB2312"/>
          <w:color w:val="000000"/>
          <w:sz w:val="32"/>
          <w:szCs w:val="32"/>
        </w:rPr>
        <w:t>年年初预算数为</w:t>
      </w:r>
      <w:r>
        <w:rPr>
          <w:rFonts w:hint="eastAsia" w:eastAsia="仿宋_GB2312"/>
          <w:color w:val="000000"/>
          <w:sz w:val="32"/>
          <w:szCs w:val="32"/>
          <w:lang w:val="en-US" w:eastAsia="zh-CN"/>
        </w:rPr>
        <w:t>0</w:t>
      </w:r>
      <w:r>
        <w:rPr>
          <w:rFonts w:eastAsia="仿宋_GB2312"/>
          <w:color w:val="000000"/>
          <w:sz w:val="32"/>
          <w:szCs w:val="32"/>
        </w:rPr>
        <w:t>万元，是指单位为完成特定行政工作任务或事业发展目标而发生的支出，包括有关事业发展专项、基本建设支出、资本性支出等。</w:t>
      </w:r>
    </w:p>
    <w:p w14:paraId="6761367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eastAsia="楷体_GB2312"/>
          <w:bCs/>
          <w:sz w:val="32"/>
          <w:szCs w:val="32"/>
        </w:rPr>
        <w:t>（三）预算收支增减变化情况说明：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年度本部门年初预算数为</w:t>
      </w:r>
      <w:r>
        <w:rPr>
          <w:rFonts w:hint="eastAsia" w:eastAsia="仿宋_GB2312"/>
          <w:sz w:val="32"/>
          <w:szCs w:val="32"/>
          <w:lang w:val="en-US" w:eastAsia="zh-CN"/>
        </w:rPr>
        <w:t>288</w:t>
      </w:r>
      <w:r>
        <w:rPr>
          <w:rFonts w:eastAsia="仿宋_GB2312"/>
          <w:sz w:val="32"/>
          <w:szCs w:val="32"/>
        </w:rPr>
        <w:t>万元，比上年增加</w:t>
      </w:r>
      <w:r>
        <w:rPr>
          <w:rFonts w:hint="eastAsia" w:eastAsia="仿宋_GB2312"/>
          <w:sz w:val="32"/>
          <w:szCs w:val="32"/>
          <w:lang w:val="en-US" w:eastAsia="zh-CN"/>
        </w:rPr>
        <w:t>50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主要原因是因人员增加，造成人员经费上涨。</w:t>
      </w:r>
    </w:p>
    <w:p w14:paraId="1DE662B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五、一般公共预算拨款支出预算</w:t>
      </w:r>
    </w:p>
    <w:p w14:paraId="131E615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年本部门一般公共预算拨款支出</w:t>
      </w:r>
      <w:r>
        <w:rPr>
          <w:rFonts w:hint="eastAsia" w:eastAsia="仿宋_GB2312"/>
          <w:sz w:val="32"/>
          <w:szCs w:val="32"/>
          <w:lang w:val="en-US" w:eastAsia="zh-CN"/>
        </w:rPr>
        <w:t>288</w:t>
      </w:r>
      <w:r>
        <w:rPr>
          <w:rFonts w:eastAsia="仿宋_GB2312"/>
          <w:sz w:val="32"/>
          <w:szCs w:val="32"/>
        </w:rPr>
        <w:t>万元，具体安排如下：</w:t>
      </w:r>
    </w:p>
    <w:p w14:paraId="742DDEB7">
      <w:pPr>
        <w:widowControl w:val="0"/>
        <w:numPr>
          <w:ilvl w:val="0"/>
          <w:numId w:val="2"/>
        </w:numPr>
        <w:adjustRightInd/>
        <w:spacing w:line="360" w:lineRule="auto"/>
        <w:ind w:left="0" w:leftChars="0" w:firstLine="640" w:firstLineChars="200"/>
        <w:jc w:val="both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卫生健康支出（类）公立医院（款）中医（民族）医院（项）</w:t>
      </w:r>
    </w:p>
    <w:p w14:paraId="4C9DBBFE">
      <w:pPr>
        <w:widowControl w:val="0"/>
        <w:numPr>
          <w:ilvl w:val="0"/>
          <w:numId w:val="0"/>
        </w:numPr>
        <w:adjustRightInd/>
        <w:spacing w:line="360" w:lineRule="auto"/>
        <w:ind w:leftChars="200" w:firstLine="320" w:firstLineChars="100"/>
        <w:jc w:val="both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2023年预算支出288万元。</w:t>
      </w:r>
    </w:p>
    <w:p w14:paraId="4DD7063E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（一）基本支出</w:t>
      </w:r>
    </w:p>
    <w:p w14:paraId="4DECABCD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1、人员类支出。2023</w:t>
      </w:r>
      <w:r>
        <w:rPr>
          <w:rFonts w:eastAsia="仿宋_GB2312"/>
          <w:sz w:val="32"/>
          <w:szCs w:val="32"/>
        </w:rPr>
        <w:t>年年初预算数为</w:t>
      </w:r>
      <w:r>
        <w:rPr>
          <w:rFonts w:hint="eastAsia" w:eastAsia="仿宋_GB2312"/>
          <w:sz w:val="32"/>
          <w:szCs w:val="32"/>
          <w:lang w:val="en-US" w:eastAsia="zh-CN"/>
        </w:rPr>
        <w:t>288</w:t>
      </w:r>
      <w:r>
        <w:rPr>
          <w:rFonts w:eastAsia="仿宋_GB2312"/>
          <w:sz w:val="32"/>
          <w:szCs w:val="32"/>
        </w:rPr>
        <w:t>万元。其中包括基本工资</w:t>
      </w:r>
      <w:r>
        <w:rPr>
          <w:rFonts w:hint="eastAsia" w:eastAsia="仿宋_GB2312"/>
          <w:sz w:val="32"/>
          <w:szCs w:val="32"/>
          <w:lang w:val="en-US" w:eastAsia="zh-CN"/>
        </w:rPr>
        <w:t>288</w:t>
      </w:r>
      <w:r>
        <w:rPr>
          <w:rFonts w:eastAsia="仿宋_GB2312"/>
          <w:sz w:val="32"/>
          <w:szCs w:val="32"/>
        </w:rPr>
        <w:t>万元、津贴补贴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万元、奖金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万元、其他工资福利支出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。</w:t>
      </w:r>
    </w:p>
    <w:p w14:paraId="03DFAF23">
      <w:pPr>
        <w:numPr>
          <w:ilvl w:val="0"/>
          <w:numId w:val="3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政府性基金预算支出</w:t>
      </w:r>
    </w:p>
    <w:p w14:paraId="1D29EF2F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color w:val="auto"/>
          <w:sz w:val="32"/>
          <w:szCs w:val="32"/>
        </w:rPr>
      </w:pPr>
      <w:r>
        <w:rPr>
          <w:rFonts w:eastAsia="仿宋_GB2312"/>
          <w:bCs/>
          <w:color w:val="auto"/>
          <w:sz w:val="32"/>
          <w:szCs w:val="32"/>
        </w:rPr>
        <w:t>20</w:t>
      </w:r>
      <w:r>
        <w:rPr>
          <w:rFonts w:hint="eastAsia" w:eastAsia="仿宋_GB2312"/>
          <w:bCs/>
          <w:color w:val="auto"/>
          <w:sz w:val="32"/>
          <w:szCs w:val="32"/>
        </w:rPr>
        <w:t>23</w:t>
      </w:r>
      <w:r>
        <w:rPr>
          <w:rFonts w:eastAsia="仿宋_GB2312"/>
          <w:bCs/>
          <w:color w:val="auto"/>
          <w:sz w:val="32"/>
          <w:szCs w:val="32"/>
        </w:rPr>
        <w:t>年度本部门无政府性基金预算安排的支出</w:t>
      </w:r>
    </w:p>
    <w:p w14:paraId="486B2231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七、其他重要事项情况说明</w:t>
      </w:r>
    </w:p>
    <w:p w14:paraId="629E75A3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eastAsia="楷体_GB2312"/>
          <w:bCs/>
          <w:sz w:val="32"/>
          <w:szCs w:val="32"/>
          <w:highlight w:val="none"/>
        </w:rPr>
        <w:t>（一）机关运行经费：</w:t>
      </w:r>
      <w:r>
        <w:rPr>
          <w:rFonts w:eastAsia="仿宋_GB2312"/>
          <w:sz w:val="32"/>
          <w:szCs w:val="32"/>
          <w:highlight w:val="none"/>
        </w:rPr>
        <w:t>本部门</w:t>
      </w:r>
      <w:r>
        <w:rPr>
          <w:rFonts w:hint="eastAsia" w:eastAsia="仿宋_GB2312"/>
          <w:sz w:val="32"/>
          <w:szCs w:val="32"/>
          <w:highlight w:val="none"/>
        </w:rPr>
        <w:t>202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eastAsia="仿宋_GB2312"/>
          <w:sz w:val="32"/>
          <w:szCs w:val="32"/>
          <w:highlight w:val="none"/>
        </w:rPr>
        <w:t>年年初预算机关运行经费(</w:t>
      </w:r>
      <w:r>
        <w:rPr>
          <w:rFonts w:hint="eastAsia" w:eastAsia="仿宋_GB2312"/>
          <w:sz w:val="32"/>
          <w:szCs w:val="32"/>
          <w:highlight w:val="none"/>
        </w:rPr>
        <w:t>公用类</w:t>
      </w:r>
      <w:r>
        <w:rPr>
          <w:rFonts w:eastAsia="仿宋_GB2312"/>
          <w:sz w:val="32"/>
          <w:szCs w:val="32"/>
          <w:highlight w:val="none"/>
        </w:rPr>
        <w:t>+</w:t>
      </w:r>
      <w:r>
        <w:rPr>
          <w:rFonts w:hint="eastAsia" w:eastAsia="仿宋_GB2312"/>
          <w:sz w:val="32"/>
          <w:szCs w:val="32"/>
          <w:highlight w:val="none"/>
        </w:rPr>
        <w:t>其他运转类</w:t>
      </w:r>
      <w:r>
        <w:rPr>
          <w:rFonts w:eastAsia="仿宋_GB2312"/>
          <w:sz w:val="32"/>
          <w:szCs w:val="32"/>
          <w:highlight w:val="none"/>
        </w:rPr>
        <w:t>)共安排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sz w:val="32"/>
          <w:szCs w:val="32"/>
          <w:highlight w:val="none"/>
        </w:rPr>
        <w:t>万元</w:t>
      </w:r>
      <w:r>
        <w:rPr>
          <w:rFonts w:eastAsia="仿宋_GB2312"/>
          <w:color w:val="auto"/>
          <w:sz w:val="32"/>
          <w:szCs w:val="32"/>
          <w:highlight w:val="none"/>
        </w:rPr>
        <w:t>，比上年度预算增加（减少）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  <w:highlight w:val="none"/>
        </w:rPr>
        <w:t>万元。</w:t>
      </w:r>
    </w:p>
    <w:p w14:paraId="21201679"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（二) 政府采购预算</w:t>
      </w:r>
      <w:r>
        <w:rPr>
          <w:rFonts w:hAnsi="华文楷体" w:eastAsia="华文楷体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本部门（单位）2023年年初预算数为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货物类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万元，工程类0万元，服务类0万元</w:t>
      </w:r>
      <w:r>
        <w:rPr>
          <w:rFonts w:eastAsia="仿宋_GB2312"/>
          <w:sz w:val="32"/>
          <w:szCs w:val="32"/>
        </w:rPr>
        <w:t>。</w:t>
      </w:r>
    </w:p>
    <w:p w14:paraId="2247B956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（三）国有资产占有情况：</w:t>
      </w:r>
      <w:r>
        <w:rPr>
          <w:rFonts w:eastAsia="仿宋_GB2312"/>
          <w:sz w:val="32"/>
          <w:szCs w:val="32"/>
        </w:rPr>
        <w:t>截止20</w:t>
      </w:r>
      <w:r>
        <w:rPr>
          <w:rFonts w:hint="eastAsia" w:eastAsia="仿宋_GB2312"/>
          <w:sz w:val="32"/>
          <w:szCs w:val="32"/>
        </w:rPr>
        <w:t>22</w:t>
      </w:r>
      <w:r>
        <w:rPr>
          <w:rFonts w:eastAsia="仿宋_GB2312"/>
          <w:sz w:val="32"/>
          <w:szCs w:val="32"/>
        </w:rPr>
        <w:t>年12月31日，本部门共有办公及业务</w:t>
      </w:r>
      <w:r>
        <w:rPr>
          <w:rFonts w:eastAsia="仿宋_GB2312"/>
          <w:sz w:val="32"/>
          <w:szCs w:val="32"/>
          <w:highlight w:val="none"/>
        </w:rPr>
        <w:t>用房</w:t>
      </w: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82000</w:t>
      </w:r>
      <w:r>
        <w:rPr>
          <w:rFonts w:eastAsia="仿宋_GB2312"/>
          <w:sz w:val="32"/>
          <w:szCs w:val="32"/>
          <w:highlight w:val="none"/>
        </w:rPr>
        <w:t>平方米；车辆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11</w:t>
      </w:r>
      <w:r>
        <w:rPr>
          <w:rFonts w:eastAsia="仿宋_GB2312"/>
          <w:sz w:val="32"/>
          <w:szCs w:val="32"/>
          <w:highlight w:val="none"/>
        </w:rPr>
        <w:t>辆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，</w:t>
      </w:r>
      <w:r>
        <w:rPr>
          <w:rFonts w:eastAsia="仿宋_GB2312"/>
          <w:sz w:val="32"/>
          <w:szCs w:val="32"/>
          <w:highlight w:val="none"/>
        </w:rPr>
        <w:t>其中</w:t>
      </w:r>
      <w:r>
        <w:rPr>
          <w:rFonts w:hint="eastAsia" w:eastAsia="仿宋_GB2312"/>
          <w:sz w:val="32"/>
          <w:szCs w:val="32"/>
          <w:highlight w:val="none"/>
        </w:rPr>
        <w:t>专业技术类车（救护车）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11辆、</w:t>
      </w:r>
      <w:r>
        <w:rPr>
          <w:rFonts w:eastAsia="仿宋_GB2312"/>
          <w:sz w:val="32"/>
          <w:szCs w:val="32"/>
          <w:highlight w:val="none"/>
        </w:rPr>
        <w:t>一般公务用车</w:t>
      </w:r>
      <w:r>
        <w:rPr>
          <w:rFonts w:hint="eastAsia" w:eastAsia="仿宋_GB2312"/>
          <w:sz w:val="32"/>
          <w:szCs w:val="32"/>
          <w:highlight w:val="none"/>
        </w:rPr>
        <w:t>0</w:t>
      </w:r>
      <w:r>
        <w:rPr>
          <w:rFonts w:eastAsia="仿宋_GB2312"/>
          <w:sz w:val="32"/>
          <w:szCs w:val="32"/>
          <w:highlight w:val="none"/>
        </w:rPr>
        <w:t>辆、一般执法执勤用车</w:t>
      </w:r>
      <w:r>
        <w:rPr>
          <w:rFonts w:hint="eastAsia" w:eastAsia="仿宋_GB2312"/>
          <w:sz w:val="32"/>
          <w:szCs w:val="32"/>
          <w:highlight w:val="none"/>
        </w:rPr>
        <w:t>0</w:t>
      </w:r>
      <w:r>
        <w:rPr>
          <w:rFonts w:eastAsia="仿宋_GB2312"/>
          <w:sz w:val="32"/>
          <w:szCs w:val="32"/>
          <w:highlight w:val="none"/>
        </w:rPr>
        <w:t>辆、货币化用车</w:t>
      </w:r>
      <w:r>
        <w:rPr>
          <w:rFonts w:hint="eastAsia" w:eastAsia="仿宋_GB2312"/>
          <w:sz w:val="32"/>
          <w:szCs w:val="32"/>
          <w:highlight w:val="none"/>
        </w:rPr>
        <w:t>0</w:t>
      </w:r>
      <w:r>
        <w:rPr>
          <w:rFonts w:eastAsia="仿宋_GB2312"/>
          <w:sz w:val="32"/>
          <w:szCs w:val="32"/>
          <w:highlight w:val="none"/>
        </w:rPr>
        <w:t>辆；单</w:t>
      </w:r>
      <w:r>
        <w:rPr>
          <w:rFonts w:eastAsia="仿宋_GB2312"/>
          <w:sz w:val="32"/>
          <w:szCs w:val="32"/>
        </w:rPr>
        <w:t>位价值200万以上大型设备</w:t>
      </w:r>
      <w:r>
        <w:rPr>
          <w:rFonts w:hint="eastAsia" w:eastAsia="仿宋_GB2312"/>
          <w:sz w:val="32"/>
          <w:szCs w:val="32"/>
          <w:lang w:val="en-US" w:eastAsia="zh-CN"/>
        </w:rPr>
        <w:t>14</w:t>
      </w:r>
      <w:r>
        <w:rPr>
          <w:rFonts w:eastAsia="仿宋_GB2312"/>
          <w:sz w:val="32"/>
          <w:szCs w:val="32"/>
        </w:rPr>
        <w:t>套。20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年部门预算安排购置车辆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辆，预算安排购置价值200万以上大型设备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套。</w:t>
      </w:r>
    </w:p>
    <w:p w14:paraId="758D4924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b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（四）重点项目预算的绩效目标等情况：</w:t>
      </w:r>
      <w:r>
        <w:rPr>
          <w:rFonts w:eastAsia="仿宋_GB2312"/>
          <w:sz w:val="32"/>
          <w:szCs w:val="32"/>
        </w:rPr>
        <w:t>本部门整体支出和项目支出实行绩效目标管理，纳入20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年部门整体支出绩效目标的金额为</w:t>
      </w:r>
      <w:r>
        <w:rPr>
          <w:rFonts w:hint="eastAsia" w:eastAsia="仿宋_GB2312"/>
          <w:sz w:val="32"/>
          <w:szCs w:val="32"/>
          <w:lang w:val="en-US" w:eastAsia="zh-CN"/>
        </w:rPr>
        <w:t>288</w:t>
      </w:r>
      <w:r>
        <w:rPr>
          <w:rFonts w:eastAsia="仿宋_GB2312"/>
          <w:sz w:val="32"/>
          <w:szCs w:val="32"/>
        </w:rPr>
        <w:t>万元，其中，基本支出</w:t>
      </w:r>
      <w:r>
        <w:rPr>
          <w:rFonts w:hint="eastAsia" w:eastAsia="仿宋_GB2312"/>
          <w:sz w:val="32"/>
          <w:szCs w:val="32"/>
          <w:lang w:val="en-US" w:eastAsia="zh-CN"/>
        </w:rPr>
        <w:t>288</w:t>
      </w:r>
      <w:r>
        <w:rPr>
          <w:rFonts w:eastAsia="仿宋_GB2312"/>
          <w:sz w:val="32"/>
          <w:szCs w:val="32"/>
        </w:rPr>
        <w:t>万元，项目支出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万元（详见附表）。 </w:t>
      </w:r>
    </w:p>
    <w:p w14:paraId="4D3E299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（五）一般公共预算“三公”经费情况：</w:t>
      </w:r>
    </w:p>
    <w:p w14:paraId="4C0655A7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本单位无公共财政拨款三公经费预算</w:t>
      </w:r>
      <w:bookmarkStart w:id="0" w:name="OLE_LINK1"/>
      <w:r>
        <w:rPr>
          <w:rFonts w:hint="eastAsia" w:eastAsia="仿宋_GB2312"/>
          <w:color w:val="000000"/>
          <w:sz w:val="32"/>
          <w:szCs w:val="32"/>
        </w:rPr>
        <w:t>，其中：“因公出国（境）费”0万元、“公务用车购置及运行费”0万元（公务用车购置费0万元、公务用车运行费0万元）、“公务接待费”0万元</w:t>
      </w:r>
      <w:bookmarkEnd w:id="0"/>
      <w:r>
        <w:rPr>
          <w:rFonts w:hint="eastAsia" w:eastAsia="仿宋_GB2312"/>
          <w:color w:val="000000"/>
          <w:sz w:val="32"/>
          <w:szCs w:val="32"/>
          <w:lang w:eastAsia="zh-CN"/>
        </w:rPr>
        <w:t>。</w:t>
      </w:r>
      <w:r>
        <w:rPr>
          <w:rFonts w:hint="eastAsia" w:eastAsia="仿宋_GB2312"/>
          <w:color w:val="auto"/>
          <w:sz w:val="32"/>
          <w:szCs w:val="32"/>
          <w:lang w:eastAsia="zh-CN"/>
        </w:rPr>
        <w:t>无上年数，无此项安排</w:t>
      </w:r>
      <w:r>
        <w:rPr>
          <w:rFonts w:eastAsia="仿宋_GB2312"/>
          <w:color w:val="auto"/>
          <w:sz w:val="32"/>
          <w:szCs w:val="32"/>
        </w:rPr>
        <w:t>。</w:t>
      </w:r>
    </w:p>
    <w:p w14:paraId="308E9AAC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eastAsia="楷体_GB2312"/>
          <w:bCs/>
          <w:sz w:val="32"/>
          <w:szCs w:val="32"/>
        </w:rPr>
        <w:t>（六）会议费、培训费预算：</w:t>
      </w:r>
      <w:bookmarkStart w:id="1" w:name="_GoBack"/>
      <w:bookmarkEnd w:id="1"/>
    </w:p>
    <w:p w14:paraId="7504C6E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23</w:t>
      </w:r>
      <w:r>
        <w:rPr>
          <w:rFonts w:eastAsia="仿宋_GB2312"/>
          <w:sz w:val="32"/>
          <w:szCs w:val="32"/>
        </w:rPr>
        <w:t>年预算安排会议费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万元。</w:t>
      </w:r>
    </w:p>
    <w:p w14:paraId="7BA60388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>20</w:t>
      </w:r>
      <w:r>
        <w:rPr>
          <w:rFonts w:hint="eastAsia" w:eastAsia="仿宋_GB2312"/>
          <w:color w:val="auto"/>
          <w:sz w:val="32"/>
          <w:szCs w:val="32"/>
        </w:rPr>
        <w:t>23</w:t>
      </w:r>
      <w:r>
        <w:rPr>
          <w:rFonts w:eastAsia="仿宋_GB2312"/>
          <w:color w:val="auto"/>
          <w:sz w:val="32"/>
          <w:szCs w:val="32"/>
        </w:rPr>
        <w:t>年预算安排培训费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0</w:t>
      </w:r>
      <w:r>
        <w:rPr>
          <w:rFonts w:eastAsia="仿宋_GB2312"/>
          <w:color w:val="auto"/>
          <w:sz w:val="32"/>
          <w:szCs w:val="32"/>
        </w:rPr>
        <w:t>万元。</w:t>
      </w:r>
      <w:r>
        <w:rPr>
          <w:rFonts w:hint="eastAsia" w:ascii="仿宋" w:hAnsi="仿宋" w:eastAsia="仿宋" w:cs="仿宋"/>
          <w:sz w:val="32"/>
          <w:szCs w:val="32"/>
        </w:rPr>
        <w:t>未计划举办节庆、晚会、论坛、赛事活动。</w:t>
      </w:r>
    </w:p>
    <w:p w14:paraId="16649458">
      <w:pPr>
        <w:numPr>
          <w:ilvl w:val="0"/>
          <w:numId w:val="4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color w:val="auto"/>
          <w:sz w:val="32"/>
          <w:szCs w:val="32"/>
          <w:lang w:eastAsia="zh-CN"/>
        </w:rPr>
      </w:pPr>
      <w:r>
        <w:rPr>
          <w:rFonts w:eastAsia="楷体_GB2312"/>
          <w:bCs/>
          <w:sz w:val="32"/>
          <w:szCs w:val="32"/>
        </w:rPr>
        <w:t>其他事项。</w:t>
      </w:r>
      <w:r>
        <w:rPr>
          <w:rFonts w:eastAsia="仿宋_GB2312"/>
          <w:color w:val="auto"/>
          <w:sz w:val="32"/>
          <w:szCs w:val="32"/>
        </w:rPr>
        <w:t>本单位20</w:t>
      </w:r>
      <w:r>
        <w:rPr>
          <w:rFonts w:hint="eastAsia" w:eastAsia="仿宋_GB2312"/>
          <w:color w:val="auto"/>
          <w:sz w:val="32"/>
          <w:szCs w:val="32"/>
        </w:rPr>
        <w:t>2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3</w:t>
      </w:r>
      <w:r>
        <w:rPr>
          <w:rFonts w:eastAsia="仿宋_GB2312"/>
          <w:color w:val="auto"/>
          <w:sz w:val="32"/>
          <w:szCs w:val="32"/>
        </w:rPr>
        <w:t>年预算未安排政府性基金收支预算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</w:rPr>
        <w:t>本部门无纳入专户管理的非税收入，已在本单位门户网站及政府网公开</w:t>
      </w:r>
      <w:r>
        <w:rPr>
          <w:rFonts w:hint="eastAsia" w:eastAsia="仿宋_GB2312"/>
          <w:color w:val="auto"/>
          <w:sz w:val="32"/>
          <w:szCs w:val="32"/>
          <w:lang w:eastAsia="zh-CN"/>
        </w:rPr>
        <w:t>。</w:t>
      </w:r>
    </w:p>
    <w:p w14:paraId="7F6ADE32"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hAnsi="黑体" w:eastAsia="黑体"/>
          <w:bCs/>
          <w:sz w:val="32"/>
          <w:szCs w:val="32"/>
        </w:rPr>
        <w:t>八、名词解释</w:t>
      </w:r>
    </w:p>
    <w:p w14:paraId="53D3CC20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（一）一般公共预算:</w:t>
      </w:r>
      <w:r>
        <w:rPr>
          <w:rFonts w:eastAsia="仿宋_GB2312"/>
          <w:sz w:val="32"/>
          <w:szCs w:val="32"/>
        </w:rPr>
        <w:t xml:space="preserve"> 是对以税收为主体的财政收入，安排用于保障和改善民生、推动经济社会发展、维护国家安全、维持国家机构正常运转等方面的收支预算。一般公共预算收入即通常所指的“财政收入”，按照2015年1月1日起施行的新《预算法》，改称“一般公共预算收入”。全市一般公共预算收入由地方收入、上划中央收入、上划省级收入三部分构成。</w:t>
      </w:r>
    </w:p>
    <w:p w14:paraId="73123C85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（二）政府性基金预算:</w:t>
      </w:r>
      <w:r>
        <w:rPr>
          <w:rFonts w:eastAsia="仿宋_GB2312"/>
          <w:sz w:val="32"/>
          <w:szCs w:val="32"/>
        </w:rPr>
        <w:t xml:space="preserve"> 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 w14:paraId="2F3F8905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 xml:space="preserve">（三）国有资本经营预算: </w:t>
      </w:r>
      <w:r>
        <w:rPr>
          <w:rFonts w:eastAsia="仿宋_GB2312"/>
          <w:sz w:val="32"/>
          <w:szCs w:val="32"/>
        </w:rPr>
        <w:t>是对国有资本收益作出支出安排的收支预算。应当按照收支平衡的原则编制，不列赤字，并安排资金调入一般公共预算。</w:t>
      </w:r>
    </w:p>
    <w:p w14:paraId="71DBCDFD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（四）社会保险基金预算:</w:t>
      </w:r>
      <w:r>
        <w:rPr>
          <w:rFonts w:eastAsia="仿宋_GB2312"/>
          <w:sz w:val="32"/>
          <w:szCs w:val="32"/>
        </w:rPr>
        <w:t xml:space="preserve"> 是对社会保险缴款、一般公共预算安排和其他方式筹集的资金，专项用于社会保险的收支预算。应当按照统筹层次和社会保险项目分别编制，做到收支平衡。</w:t>
      </w:r>
    </w:p>
    <w:p w14:paraId="24B624C6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eastAsia="仿宋_GB2312"/>
          <w:b/>
          <w:sz w:val="32"/>
          <w:szCs w:val="32"/>
        </w:rPr>
        <w:t>（五）“三公”经费：</w:t>
      </w:r>
      <w:r>
        <w:rPr>
          <w:rFonts w:eastAsia="仿宋_GB2312"/>
          <w:sz w:val="32"/>
          <w:szCs w:val="32"/>
        </w:rPr>
        <w:t>是指商品和服务支出中的因公出国（境）费用、公务用车购置及运行维护费和公务接待费。</w:t>
      </w:r>
    </w:p>
    <w:p w14:paraId="2852956C">
      <w:pPr>
        <w:tabs>
          <w:tab w:val="left" w:pos="7560"/>
        </w:tabs>
        <w:adjustRightInd w:val="0"/>
        <w:snapToGrid w:val="0"/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（六）机关运行经费：</w:t>
      </w:r>
      <w:r>
        <w:rPr>
          <w:rFonts w:eastAsia="仿宋_GB2312"/>
          <w:sz w:val="32"/>
          <w:szCs w:val="32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sectPr>
      <w:pgSz w:w="11906" w:h="16838"/>
      <w:pgMar w:top="2098" w:right="1531" w:bottom="1985" w:left="1531" w:header="851" w:footer="1588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554B4">
    <w:pPr>
      <w:pStyle w:val="8"/>
      <w:framePr w:wrap="around" w:vAnchor="text" w:hAnchor="margin" w:xAlign="outside" w:y="1"/>
      <w:rPr>
        <w:rStyle w:val="13"/>
        <w:rFonts w:ascii="宋体"/>
        <w:sz w:val="28"/>
        <w:szCs w:val="28"/>
      </w:rPr>
    </w:pPr>
    <w:r>
      <w:rPr>
        <w:rStyle w:val="13"/>
        <w:rFonts w:hint="eastAsia" w:ascii="宋体"/>
        <w:color w:val="FFFFFF"/>
        <w:sz w:val="28"/>
        <w:szCs w:val="28"/>
      </w:rPr>
      <w:t>—</w:t>
    </w:r>
    <w:r>
      <w:rPr>
        <w:rStyle w:val="13"/>
        <w:rFonts w:hint="eastAsia" w:ascii="宋体"/>
        <w:sz w:val="28"/>
        <w:szCs w:val="28"/>
      </w:rPr>
      <w:t xml:space="preserve">— </w:t>
    </w:r>
    <w:r>
      <w:rPr>
        <w:rFonts w:hint="eastAsia" w:ascii="宋体"/>
        <w:sz w:val="28"/>
        <w:szCs w:val="28"/>
      </w:rPr>
      <w:fldChar w:fldCharType="begin"/>
    </w:r>
    <w:r>
      <w:rPr>
        <w:rStyle w:val="13"/>
        <w:rFonts w:hint="eastAsia" w:ascii="宋体"/>
        <w:sz w:val="28"/>
        <w:szCs w:val="28"/>
      </w:rPr>
      <w:instrText xml:space="preserve">PAGE  </w:instrText>
    </w:r>
    <w:r>
      <w:rPr>
        <w:rFonts w:hint="eastAsia" w:ascii="宋体"/>
        <w:sz w:val="28"/>
        <w:szCs w:val="28"/>
      </w:rPr>
      <w:fldChar w:fldCharType="separate"/>
    </w:r>
    <w:r>
      <w:rPr>
        <w:rStyle w:val="13"/>
        <w:rFonts w:ascii="宋体"/>
        <w:sz w:val="28"/>
        <w:szCs w:val="28"/>
      </w:rPr>
      <w:t>2</w:t>
    </w:r>
    <w:r>
      <w:rPr>
        <w:rFonts w:hint="eastAsia" w:ascii="宋体"/>
        <w:sz w:val="28"/>
        <w:szCs w:val="28"/>
      </w:rPr>
      <w:fldChar w:fldCharType="end"/>
    </w:r>
    <w:r>
      <w:rPr>
        <w:rStyle w:val="13"/>
        <w:rFonts w:hint="eastAsia" w:ascii="宋体"/>
        <w:sz w:val="28"/>
        <w:szCs w:val="28"/>
      </w:rPr>
      <w:t xml:space="preserve"> —</w:t>
    </w:r>
    <w:r>
      <w:rPr>
        <w:rStyle w:val="13"/>
        <w:rFonts w:hint="eastAsia" w:ascii="宋体"/>
        <w:color w:val="FFFFFF"/>
        <w:sz w:val="28"/>
        <w:szCs w:val="28"/>
      </w:rPr>
      <w:t>—</w:t>
    </w:r>
  </w:p>
  <w:p w14:paraId="5D4A2E03">
    <w:pPr>
      <w:pStyle w:val="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825AF">
    <w:pPr>
      <w:pStyle w:val="8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 xml:space="preserve"> </w:t>
    </w:r>
    <w:r>
      <w:fldChar w:fldCharType="end"/>
    </w:r>
  </w:p>
  <w:p w14:paraId="5A02D7B0"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18431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E4C371"/>
    <w:multiLevelType w:val="singleLevel"/>
    <w:tmpl w:val="3FE4C371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52742798"/>
    <w:multiLevelType w:val="singleLevel"/>
    <w:tmpl w:val="52742798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D2866CE"/>
    <w:multiLevelType w:val="singleLevel"/>
    <w:tmpl w:val="5D2866CE"/>
    <w:lvl w:ilvl="0" w:tentative="0">
      <w:start w:val="7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09387F8"/>
    <w:multiLevelType w:val="singleLevel"/>
    <w:tmpl w:val="609387F8"/>
    <w:lvl w:ilvl="0" w:tentative="0">
      <w:start w:val="6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597"/>
  <w:displayHorizont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VhNGJiMWVmZTg4ZjFhYWZhYWFiMzBkODkwYWRkZmUifQ=="/>
  </w:docVars>
  <w:rsids>
    <w:rsidRoot w:val="002E2B1B"/>
    <w:rsid w:val="0000195D"/>
    <w:rsid w:val="00010812"/>
    <w:rsid w:val="00030000"/>
    <w:rsid w:val="00031DF4"/>
    <w:rsid w:val="00037F1B"/>
    <w:rsid w:val="0004493F"/>
    <w:rsid w:val="00066A5A"/>
    <w:rsid w:val="0008151E"/>
    <w:rsid w:val="000D06F4"/>
    <w:rsid w:val="000D45A1"/>
    <w:rsid w:val="00113607"/>
    <w:rsid w:val="0013739C"/>
    <w:rsid w:val="001457D5"/>
    <w:rsid w:val="001772EC"/>
    <w:rsid w:val="001A089A"/>
    <w:rsid w:val="001D3B4D"/>
    <w:rsid w:val="001F5ACF"/>
    <w:rsid w:val="00206F1B"/>
    <w:rsid w:val="0022719A"/>
    <w:rsid w:val="00231C79"/>
    <w:rsid w:val="002370E4"/>
    <w:rsid w:val="002466AF"/>
    <w:rsid w:val="00260D91"/>
    <w:rsid w:val="00265785"/>
    <w:rsid w:val="002714D1"/>
    <w:rsid w:val="002A26A6"/>
    <w:rsid w:val="002C3689"/>
    <w:rsid w:val="002D3CE8"/>
    <w:rsid w:val="002E2B1B"/>
    <w:rsid w:val="002F7AA3"/>
    <w:rsid w:val="003501B5"/>
    <w:rsid w:val="003504E8"/>
    <w:rsid w:val="00363614"/>
    <w:rsid w:val="00373BE7"/>
    <w:rsid w:val="003A1BB9"/>
    <w:rsid w:val="003C2973"/>
    <w:rsid w:val="00401FB6"/>
    <w:rsid w:val="00430A9C"/>
    <w:rsid w:val="00433ED6"/>
    <w:rsid w:val="00435B70"/>
    <w:rsid w:val="00445518"/>
    <w:rsid w:val="0045726B"/>
    <w:rsid w:val="004670F6"/>
    <w:rsid w:val="00474F5A"/>
    <w:rsid w:val="004A03B1"/>
    <w:rsid w:val="004A19BD"/>
    <w:rsid w:val="004D786C"/>
    <w:rsid w:val="00500044"/>
    <w:rsid w:val="005010F2"/>
    <w:rsid w:val="005039CF"/>
    <w:rsid w:val="00503F68"/>
    <w:rsid w:val="005132D3"/>
    <w:rsid w:val="005534D4"/>
    <w:rsid w:val="005642F6"/>
    <w:rsid w:val="00567389"/>
    <w:rsid w:val="00570537"/>
    <w:rsid w:val="005E5CA5"/>
    <w:rsid w:val="00607E1C"/>
    <w:rsid w:val="006169B1"/>
    <w:rsid w:val="006403BA"/>
    <w:rsid w:val="00644971"/>
    <w:rsid w:val="00650E5E"/>
    <w:rsid w:val="006C039F"/>
    <w:rsid w:val="006E40CD"/>
    <w:rsid w:val="006E6B10"/>
    <w:rsid w:val="006F4B30"/>
    <w:rsid w:val="00705275"/>
    <w:rsid w:val="00720A77"/>
    <w:rsid w:val="0072241A"/>
    <w:rsid w:val="00724ADC"/>
    <w:rsid w:val="007257DA"/>
    <w:rsid w:val="00732E06"/>
    <w:rsid w:val="007A25E3"/>
    <w:rsid w:val="007C73B3"/>
    <w:rsid w:val="007E1371"/>
    <w:rsid w:val="007E32B0"/>
    <w:rsid w:val="007F1129"/>
    <w:rsid w:val="008B57F4"/>
    <w:rsid w:val="008C209B"/>
    <w:rsid w:val="008E5844"/>
    <w:rsid w:val="008F6F39"/>
    <w:rsid w:val="0090015B"/>
    <w:rsid w:val="00913329"/>
    <w:rsid w:val="00921151"/>
    <w:rsid w:val="00964BEA"/>
    <w:rsid w:val="009B79D0"/>
    <w:rsid w:val="009E3264"/>
    <w:rsid w:val="009F6947"/>
    <w:rsid w:val="00A00F31"/>
    <w:rsid w:val="00A01ED1"/>
    <w:rsid w:val="00A10BFD"/>
    <w:rsid w:val="00A31AFB"/>
    <w:rsid w:val="00A60651"/>
    <w:rsid w:val="00AA17FE"/>
    <w:rsid w:val="00AE4D18"/>
    <w:rsid w:val="00AE7532"/>
    <w:rsid w:val="00AF5641"/>
    <w:rsid w:val="00B10628"/>
    <w:rsid w:val="00B23E06"/>
    <w:rsid w:val="00B52BE1"/>
    <w:rsid w:val="00B8481D"/>
    <w:rsid w:val="00BB5CCB"/>
    <w:rsid w:val="00BC1507"/>
    <w:rsid w:val="00BE3036"/>
    <w:rsid w:val="00C16E6F"/>
    <w:rsid w:val="00C351AF"/>
    <w:rsid w:val="00C759D0"/>
    <w:rsid w:val="00C810D3"/>
    <w:rsid w:val="00CA61A9"/>
    <w:rsid w:val="00CE7D68"/>
    <w:rsid w:val="00CF238D"/>
    <w:rsid w:val="00D11D99"/>
    <w:rsid w:val="00D2296D"/>
    <w:rsid w:val="00D22A06"/>
    <w:rsid w:val="00D72B4C"/>
    <w:rsid w:val="00DA3F1E"/>
    <w:rsid w:val="00DA73AF"/>
    <w:rsid w:val="00DC3353"/>
    <w:rsid w:val="00DC3EE3"/>
    <w:rsid w:val="00E15E55"/>
    <w:rsid w:val="00E471F8"/>
    <w:rsid w:val="00E511F6"/>
    <w:rsid w:val="00E526F2"/>
    <w:rsid w:val="00E62B3D"/>
    <w:rsid w:val="00E70DF0"/>
    <w:rsid w:val="00E85D67"/>
    <w:rsid w:val="00EA4C52"/>
    <w:rsid w:val="00EC7158"/>
    <w:rsid w:val="00ED1218"/>
    <w:rsid w:val="00EF3194"/>
    <w:rsid w:val="00F9083D"/>
    <w:rsid w:val="00FA3895"/>
    <w:rsid w:val="00FB5286"/>
    <w:rsid w:val="00FB7A2D"/>
    <w:rsid w:val="01046419"/>
    <w:rsid w:val="020D6941"/>
    <w:rsid w:val="0CE25AB9"/>
    <w:rsid w:val="0D797D23"/>
    <w:rsid w:val="13947AD3"/>
    <w:rsid w:val="149A23A4"/>
    <w:rsid w:val="158A2658"/>
    <w:rsid w:val="164B6794"/>
    <w:rsid w:val="16B14386"/>
    <w:rsid w:val="172E5DC1"/>
    <w:rsid w:val="1871248E"/>
    <w:rsid w:val="18FA2EDF"/>
    <w:rsid w:val="1AFD5B77"/>
    <w:rsid w:val="1C1C77F0"/>
    <w:rsid w:val="1C2C5946"/>
    <w:rsid w:val="1D35335A"/>
    <w:rsid w:val="1D7F02EE"/>
    <w:rsid w:val="1D8F3C53"/>
    <w:rsid w:val="1E5932A8"/>
    <w:rsid w:val="2165505F"/>
    <w:rsid w:val="24227894"/>
    <w:rsid w:val="2BA030C2"/>
    <w:rsid w:val="2BD433D6"/>
    <w:rsid w:val="2C792640"/>
    <w:rsid w:val="32464A4D"/>
    <w:rsid w:val="32A9256B"/>
    <w:rsid w:val="32AE6AA0"/>
    <w:rsid w:val="3330097C"/>
    <w:rsid w:val="36952654"/>
    <w:rsid w:val="36BB1984"/>
    <w:rsid w:val="36CC0A3E"/>
    <w:rsid w:val="37562E11"/>
    <w:rsid w:val="37DA1C37"/>
    <w:rsid w:val="39E529B5"/>
    <w:rsid w:val="3A5510BC"/>
    <w:rsid w:val="3A55415D"/>
    <w:rsid w:val="3AF45AE4"/>
    <w:rsid w:val="3CF864FD"/>
    <w:rsid w:val="3D823F0E"/>
    <w:rsid w:val="3E1C4D32"/>
    <w:rsid w:val="40426D63"/>
    <w:rsid w:val="4060496F"/>
    <w:rsid w:val="42C4798B"/>
    <w:rsid w:val="4496707C"/>
    <w:rsid w:val="453B36EE"/>
    <w:rsid w:val="4BAD15EE"/>
    <w:rsid w:val="4C19436A"/>
    <w:rsid w:val="4C1F1C7B"/>
    <w:rsid w:val="4CF55F1E"/>
    <w:rsid w:val="4E3F2145"/>
    <w:rsid w:val="51290117"/>
    <w:rsid w:val="51593E0B"/>
    <w:rsid w:val="519B63B5"/>
    <w:rsid w:val="541A704A"/>
    <w:rsid w:val="54846CD3"/>
    <w:rsid w:val="5511138C"/>
    <w:rsid w:val="58F2629D"/>
    <w:rsid w:val="599B5F9A"/>
    <w:rsid w:val="5C3F77E0"/>
    <w:rsid w:val="5C4200CE"/>
    <w:rsid w:val="5C7566EB"/>
    <w:rsid w:val="5C79326A"/>
    <w:rsid w:val="5D0A064E"/>
    <w:rsid w:val="5DFB707D"/>
    <w:rsid w:val="612A51A9"/>
    <w:rsid w:val="67561771"/>
    <w:rsid w:val="67DA1238"/>
    <w:rsid w:val="680E1037"/>
    <w:rsid w:val="691F2659"/>
    <w:rsid w:val="6AF66E49"/>
    <w:rsid w:val="6C5E7352"/>
    <w:rsid w:val="6DE273CB"/>
    <w:rsid w:val="74177616"/>
    <w:rsid w:val="74824FCD"/>
    <w:rsid w:val="748D0AF0"/>
    <w:rsid w:val="7627167B"/>
    <w:rsid w:val="76E316D1"/>
    <w:rsid w:val="790A14F7"/>
    <w:rsid w:val="791752BB"/>
    <w:rsid w:val="7A2516E6"/>
    <w:rsid w:val="7BD80ACC"/>
    <w:rsid w:val="7C4C19A1"/>
    <w:rsid w:val="7E69341C"/>
    <w:rsid w:val="7E975501"/>
    <w:rsid w:val="7F182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paragraph" w:styleId="3">
    <w:name w:val="Body Text"/>
    <w:basedOn w:val="1"/>
    <w:qFormat/>
    <w:uiPriority w:val="0"/>
    <w:pPr>
      <w:spacing w:line="400" w:lineRule="atLeast"/>
    </w:pPr>
    <w:rPr>
      <w:rFonts w:ascii="楷体_GB2312" w:eastAsia="楷体_GB2312"/>
      <w:sz w:val="32"/>
    </w:rPr>
  </w:style>
  <w:style w:type="paragraph" w:styleId="4">
    <w:name w:val="Body Text Indent"/>
    <w:basedOn w:val="1"/>
    <w:qFormat/>
    <w:uiPriority w:val="0"/>
    <w:pPr>
      <w:spacing w:line="360" w:lineRule="auto"/>
      <w:ind w:firstLine="200" w:firstLineChars="200"/>
    </w:pPr>
    <w:rPr>
      <w:rFonts w:ascii="方正仿宋_GBK" w:eastAsia="方正仿宋_GBK"/>
      <w:sz w:val="30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Date"/>
    <w:basedOn w:val="1"/>
    <w:next w:val="1"/>
    <w:link w:val="14"/>
    <w:qFormat/>
    <w:uiPriority w:val="0"/>
    <w:pPr>
      <w:ind w:left="100" w:leftChars="2500"/>
    </w:p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character" w:styleId="13">
    <w:name w:val="page number"/>
    <w:basedOn w:val="12"/>
    <w:qFormat/>
    <w:uiPriority w:val="0"/>
  </w:style>
  <w:style w:type="character" w:customStyle="1" w:styleId="14">
    <w:name w:val="日期 字符"/>
    <w:basedOn w:val="12"/>
    <w:link w:val="6"/>
    <w:qFormat/>
    <w:uiPriority w:val="0"/>
    <w:rPr>
      <w:rFonts w:eastAsia="宋体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</Company>
  <Pages>9</Pages>
  <Words>2693</Words>
  <Characters>2799</Characters>
  <Lines>25</Lines>
  <Paragraphs>7</Paragraphs>
  <TotalTime>0</TotalTime>
  <ScaleCrop>false</ScaleCrop>
  <LinksUpToDate>false</LinksUpToDate>
  <CharactersWithSpaces>2814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2023-02-15T01:06:00Z</dcterms:created>
  <dc:creator>lzlyc</dc:creator>
  <cp:lastModifiedBy>白日梦</cp:lastModifiedBy>
  <cp:lastPrinted>2023-02-06T09:18:00Z</cp:lastPrinted>
  <dcterms:modified xsi:type="dcterms:W3CDTF">2024-11-22T08:54:27Z</dcterms:modified>
  <dc:title>此件拟比照国务院办公厅发文由省政府办公厅转发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EA771C49069C4C8AA6B28154DAEC9BBA_12</vt:lpwstr>
  </property>
</Properties>
</file>