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8A7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A8B941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7E2A7E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D2E631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C684E3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醴陵市疾病预防控制中心</w:t>
      </w:r>
      <w:r>
        <w:rPr>
          <w:rFonts w:eastAsia="方正小标宋简体"/>
          <w:bCs/>
          <w:sz w:val="84"/>
          <w:szCs w:val="84"/>
        </w:rPr>
        <w:t>2023年部门预算</w:t>
      </w:r>
    </w:p>
    <w:p w14:paraId="20678C5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仿宋_GB2312"/>
          <w:bCs/>
          <w:sz w:val="32"/>
          <w:szCs w:val="32"/>
        </w:rPr>
      </w:pPr>
    </w:p>
    <w:p w14:paraId="2C2AFE1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2CB209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DD1E2E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70BA17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6F2994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C37EB4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5DF00F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2D4072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134194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8E8BB4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A547B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912763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CDC37E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0ACAE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088043F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62225B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ED22F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30D9DE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21F519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190B08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7A64C6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61CCF3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6D47DA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3EC51B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56D8A6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291795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0DEEEB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48393E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4B415A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65DA45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2A9A88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264935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598E58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3A10C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29B8AE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1D8F18D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0A8674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4D57BE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57E2EC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646970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2D293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00F6FD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211C95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37E448B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47A8A8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2DCE277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6B6525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D5785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2C8B91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59086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3E2642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 w14:paraId="486379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7E274F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0F0EA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52A839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431F8A7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64B5CB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119C87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586F6A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66ADE02B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7E5F9CA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4AB337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46780DF9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58D26B3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醴陵市疾病预防控制中心</w:t>
      </w:r>
    </w:p>
    <w:p w14:paraId="6748099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12E058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E9383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1EB1D1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醴陵市市疾病预防控制中心是全额拨款的事业单位。主要职责是肩负着全市疾病预防控制，突发公共卫生事件应急处置，疫情报告及健康相关信息报告管理，健康教育与健康促进，健康危害因素监测与干预，实验室检测分析与评价，技术指导与应用研究等。</w:t>
      </w:r>
    </w:p>
    <w:p w14:paraId="267265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1A3CF3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醴陵市卫生健康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局下属二级预算单位，属于公益一类事业单位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共有编制人数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人，实有人数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。内设科室内设科室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个，分别为：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、后勤保障股、财务股、应急办、传染病预防控制防股、学校卫生股、免疫规划股、结核病防治股、性病艾滋病防治股、慢性非传染病疾病预防控制股、突发公共卫生事件监测股、劳动卫生与职业病预防控制股、检验测中心、健康教育与健康促进股、体检中心、病媒生物防治股、质量管理控制股。</w:t>
      </w:r>
    </w:p>
    <w:p w14:paraId="290C2E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4A8FCC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醴陵市市疾病预防控制中心只有本级，没有其他预算单位，因此纳入2023年部门预算编制范围的只有醴陵市市疾病预防控制中心本级</w:t>
      </w:r>
      <w:r>
        <w:rPr>
          <w:rFonts w:eastAsia="仿宋_GB2312"/>
          <w:color w:val="000000"/>
          <w:sz w:val="32"/>
          <w:szCs w:val="32"/>
        </w:rPr>
        <w:t>。</w:t>
      </w:r>
    </w:p>
    <w:p w14:paraId="3F33AC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4F7FF7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  <w:lang w:eastAsia="zh-CN"/>
        </w:rPr>
        <w:t>醴陵市疾病预防控制中心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hint="eastAsia" w:eastAsia="仿宋_GB2312"/>
          <w:sz w:val="32"/>
          <w:szCs w:val="32"/>
          <w:lang w:eastAsia="zh-CN"/>
        </w:rPr>
        <w:t>醴陵市卫生健康</w:t>
      </w:r>
      <w:r>
        <w:rPr>
          <w:rFonts w:eastAsia="仿宋_GB2312"/>
          <w:sz w:val="32"/>
          <w:szCs w:val="32"/>
        </w:rPr>
        <w:t>局所属二级预算单位预算。收入包括一般公共预算收入；支出既包括保障</w:t>
      </w:r>
      <w:r>
        <w:rPr>
          <w:rFonts w:hint="eastAsia" w:eastAsia="仿宋_GB2312"/>
          <w:sz w:val="32"/>
          <w:szCs w:val="32"/>
          <w:lang w:eastAsia="zh-CN"/>
        </w:rPr>
        <w:t>中心</w:t>
      </w:r>
      <w:r>
        <w:rPr>
          <w:rFonts w:eastAsia="仿宋_GB2312"/>
          <w:sz w:val="32"/>
          <w:szCs w:val="32"/>
        </w:rPr>
        <w:t>基本运行的经费，也包括</w:t>
      </w:r>
      <w:r>
        <w:rPr>
          <w:rFonts w:hint="eastAsia" w:eastAsia="仿宋_GB2312"/>
          <w:sz w:val="32"/>
          <w:szCs w:val="32"/>
          <w:lang w:eastAsia="zh-CN"/>
        </w:rPr>
        <w:t>重点项目</w:t>
      </w:r>
      <w:r>
        <w:rPr>
          <w:rFonts w:eastAsia="仿宋_GB2312"/>
          <w:sz w:val="32"/>
          <w:szCs w:val="32"/>
        </w:rPr>
        <w:t>专项经费。</w:t>
      </w:r>
    </w:p>
    <w:p w14:paraId="0DA329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838.86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838.86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708A15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838.86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686.86万元（人员、公用及工作性专项支出）；重点专项支出152万元。</w:t>
      </w:r>
    </w:p>
    <w:p w14:paraId="0384E96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686.86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239.49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122.98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115.41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机关事业单位基本养老保险缴费76.46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万元、职工基本医疗保险缴费19.97万元、住房公积金63.36万元</w:t>
      </w:r>
      <w:r>
        <w:rPr>
          <w:rFonts w:eastAsia="仿宋_GB2312"/>
          <w:color w:val="000000"/>
          <w:sz w:val="32"/>
          <w:szCs w:val="32"/>
        </w:rPr>
        <w:t>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49.20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4E64691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152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717A12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疾病预防控制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62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降低重点传染病的暴发和流行，及时处置各类突发公共卫生事件，降低传染病的流行和死亡病例的发生。每月二次城区饮用水监测抽检，并将结果及时向社会公告；疑似食物中毒（食源性疾病）、传染病疫情等调查处置；工矿企业职业卫生监测；管理肺结核病患者；对艾滋病感染者和病人进行抽血化验，化验结果CD4小于350进行免费治疗；按时完成任务，上报有关监测数据。</w:t>
      </w:r>
    </w:p>
    <w:p w14:paraId="4E207A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基本公共卫生服务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疾病预防控制、健康教育、慢性病防治、免疫规划等</w:t>
      </w:r>
      <w:r>
        <w:rPr>
          <w:rFonts w:hint="eastAsia" w:eastAsia="仿宋_GB2312"/>
          <w:color w:val="000000"/>
          <w:sz w:val="32"/>
          <w:szCs w:val="32"/>
        </w:rPr>
        <w:t>基本公共卫生服务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28EEB17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3）其他计划生育事务支出50万元。</w:t>
      </w:r>
      <w:r>
        <w:rPr>
          <w:rFonts w:eastAsia="仿宋_GB2312"/>
          <w:color w:val="000000"/>
          <w:sz w:val="32"/>
          <w:szCs w:val="32"/>
        </w:rPr>
        <w:t>主要用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于预防性体检，根据《中华人民共和国食品安全法》、《公共场所卫生管理条例》等相关法律法规规定，对全市的公共场所的从业人员进行预防性体检和健康证的办理，为有效防止传染病的传播，全年完成预防性体检10000人次。</w:t>
      </w:r>
    </w:p>
    <w:p w14:paraId="5E27F5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838.86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132.67</w:t>
      </w:r>
      <w:r>
        <w:rPr>
          <w:rFonts w:ascii="Times New Roman" w:hAnsi="Times New Roman" w:eastAsia="仿宋_GB2312" w:cs="Times New Roman"/>
          <w:sz w:val="32"/>
          <w:szCs w:val="32"/>
        </w:rPr>
        <w:t>万元，主要原因是人员增加，造成人员经费和运转经费上涨等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3054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36976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838.86</w:t>
      </w:r>
      <w:r>
        <w:rPr>
          <w:rFonts w:eastAsia="仿宋_GB2312"/>
          <w:sz w:val="32"/>
          <w:szCs w:val="32"/>
        </w:rPr>
        <w:t>万元，具体安排如下：</w:t>
      </w:r>
    </w:p>
    <w:p w14:paraId="3C363D5E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01D874D6">
      <w:pPr>
        <w:pStyle w:val="3"/>
        <w:numPr>
          <w:ilvl w:val="0"/>
          <w:numId w:val="0"/>
        </w:numPr>
        <w:ind w:leftChars="200" w:firstLine="320" w:firstLineChars="1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2023年预算支出76.46万元。</w:t>
      </w:r>
    </w:p>
    <w:p w14:paraId="742DDEB7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卫生健康支出（类）公共卫生（款）疾病预防控制机构（项）</w:t>
      </w:r>
    </w:p>
    <w:p w14:paraId="4C9DBBFE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2023年预算支出589.08万元。</w:t>
      </w:r>
    </w:p>
    <w:p w14:paraId="36898072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卫生健康支出（类）公共卫生（款）基本公共卫生服务（项）</w:t>
      </w:r>
    </w:p>
    <w:p w14:paraId="233F531A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2023年预算支出40万元。</w:t>
      </w:r>
    </w:p>
    <w:p w14:paraId="7BF783F4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卫生健康支出（类）计划生育事务支出（款）其他计划生育事务支出（项）</w:t>
      </w:r>
    </w:p>
    <w:p w14:paraId="127FAAB5">
      <w:pPr>
        <w:pStyle w:val="2"/>
        <w:numPr>
          <w:numId w:val="0"/>
        </w:numPr>
        <w:ind w:left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2023年预算支出50万元。</w:t>
      </w:r>
    </w:p>
    <w:p w14:paraId="6DEB1D2A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33692A53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2023年预算支出19.97万元。</w:t>
      </w:r>
    </w:p>
    <w:p w14:paraId="5B81AC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6、住房保障支出（类）住房改革支出（款）住房公积金（项）2023年预算支出63.36万元。</w:t>
      </w:r>
    </w:p>
    <w:p w14:paraId="523E22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1FEF8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06A52A8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637.66</w:t>
      </w:r>
      <w:r>
        <w:rPr>
          <w:rFonts w:eastAsia="仿宋_GB2312"/>
          <w:sz w:val="32"/>
          <w:szCs w:val="32"/>
        </w:rPr>
        <w:t>万元。其中包括</w:t>
      </w:r>
      <w:r>
        <w:rPr>
          <w:rFonts w:eastAsia="仿宋_GB2312"/>
          <w:color w:val="000000"/>
          <w:sz w:val="32"/>
          <w:szCs w:val="32"/>
        </w:rPr>
        <w:t>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239.49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122.97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115.41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机关事业单位基本养老保险缴费76.46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万元、职工基本医疗保险缴费19.97万元、住房公积金63.36万元</w:t>
      </w:r>
      <w:r>
        <w:rPr>
          <w:rFonts w:eastAsia="仿宋_GB2312"/>
          <w:color w:val="000000"/>
          <w:sz w:val="32"/>
          <w:szCs w:val="32"/>
        </w:rPr>
        <w:t>。</w:t>
      </w:r>
    </w:p>
    <w:p w14:paraId="786201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49.20</w:t>
      </w:r>
      <w:r>
        <w:rPr>
          <w:rFonts w:hint="eastAsia" w:eastAsia="仿宋_GB2312"/>
          <w:sz w:val="32"/>
          <w:szCs w:val="32"/>
        </w:rPr>
        <w:t>万元。其中：</w:t>
      </w:r>
      <w:r>
        <w:rPr>
          <w:rFonts w:eastAsia="仿宋_GB2312"/>
          <w:sz w:val="32"/>
          <w:szCs w:val="32"/>
        </w:rPr>
        <w:t>办公费16.80万元，工会经费10.56万元，福利费15.84万元，公务用车运行维护费6万元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14E97D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07C662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58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，其中运转经费</w:t>
      </w:r>
      <w:r>
        <w:rPr>
          <w:rFonts w:hint="eastAsia" w:eastAsia="仿宋_GB2312"/>
          <w:sz w:val="32"/>
          <w:szCs w:val="32"/>
          <w:lang w:val="en-US" w:eastAsia="zh-CN"/>
        </w:rPr>
        <w:t>58万元。</w:t>
      </w:r>
    </w:p>
    <w:p w14:paraId="45FFAC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94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，其中</w:t>
      </w:r>
    </w:p>
    <w:p w14:paraId="0DB1DE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疾病预防控制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降低重点传染病的暴发和流行，及时处置各类突发公共卫生事件，降低传染病的流行和死亡病例的发生。每月二次城区饮用水监测抽检，并将结果及时向社会公告；疑似食物中毒（食源性疾病）、传染病疫情等调查处置；工矿企业职业卫生监测；管理肺结核病患者；对艾滋病感染者和病人进行抽血化验，化验结果CD4小于350进行免费治疗；按时完成任务，上报有关监测数据。</w:t>
      </w:r>
    </w:p>
    <w:p w14:paraId="347556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健康教育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提高公民健康素养水平，推进健康醴陵建设。</w:t>
      </w:r>
    </w:p>
    <w:p w14:paraId="0EFA6B6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3）慢性病防治专项5万元。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创造和维护健康的社会环境，居民健康素养提升到25%，降低因慢性病造成的过早死亡，有效控制慢性病疾病负担增长，推进健康醴陵建设。</w:t>
      </w:r>
    </w:p>
    <w:p w14:paraId="46BB18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（4）免疫规划专项5万元。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预防和控制疫苗针对疾病的发生与流行，实现消除麻疹、维持无脊灰状态成果。</w:t>
      </w:r>
    </w:p>
    <w:p w14:paraId="536FC4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5）预防性体检专项50万元。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根据《中华人民共和国食品安全法》、《公共场所卫生管理条例》等相关法律法规规定，对全市的公共场所的从业人员进行预防性体检和健康证的办理，为有效防止传染病的传播，全年完成预防性体检10000人次，</w:t>
      </w:r>
    </w:p>
    <w:p w14:paraId="3D6EBBC8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6F00E3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2023年度本部门无政府性基金预算安排的支出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6E02EF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49F6C3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门2023年年初预算机关运行经费共安排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万元，比上年度预算增加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3.76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万元，增加的主要原因是：人员增加，造成运转经费上涨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C96A2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95</w:t>
      </w:r>
      <w:r>
        <w:rPr>
          <w:rFonts w:eastAsia="仿宋_GB2312"/>
          <w:sz w:val="32"/>
          <w:szCs w:val="32"/>
        </w:rPr>
        <w:t>万元。包含：政府采购货物</w:t>
      </w:r>
      <w:r>
        <w:rPr>
          <w:rFonts w:hint="eastAsia" w:eastAsia="仿宋_GB2312"/>
          <w:sz w:val="32"/>
          <w:szCs w:val="32"/>
          <w:lang w:val="en-US" w:eastAsia="zh-CN"/>
        </w:rPr>
        <w:t>类25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  <w:lang w:val="en-US" w:eastAsia="zh-CN"/>
        </w:rPr>
        <w:t>类5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类65</w:t>
      </w:r>
      <w:r>
        <w:rPr>
          <w:rFonts w:eastAsia="仿宋_GB2312"/>
          <w:sz w:val="32"/>
          <w:szCs w:val="32"/>
        </w:rPr>
        <w:t>万元。</w:t>
      </w:r>
    </w:p>
    <w:p w14:paraId="649843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5091.71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79234B1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838.86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686.86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152</w:t>
      </w:r>
      <w:r>
        <w:rPr>
          <w:rFonts w:hint="eastAsia" w:eastAsia="仿宋_GB2312"/>
          <w:sz w:val="32"/>
          <w:szCs w:val="32"/>
          <w:lang w:val="en-US" w:eastAsia="zh-CN"/>
        </w:rPr>
        <w:t>.00</w:t>
      </w:r>
      <w:r>
        <w:rPr>
          <w:rFonts w:eastAsia="仿宋_GB2312"/>
          <w:sz w:val="32"/>
          <w:szCs w:val="32"/>
        </w:rPr>
        <w:t>万元（详见附表）。 </w:t>
      </w:r>
    </w:p>
    <w:p w14:paraId="3F7A48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2023年“三公”经费预算数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</w:rPr>
        <w:t>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（公务用车购置费0万元、公务用车</w:t>
      </w:r>
      <w:r>
        <w:rPr>
          <w:rFonts w:hint="eastAsia" w:eastAsia="仿宋_GB2312"/>
          <w:color w:val="auto"/>
          <w:sz w:val="32"/>
          <w:szCs w:val="32"/>
        </w:rPr>
        <w:t>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05E55D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eastAsia="zh-CN"/>
        </w:rPr>
        <w:t>与</w:t>
      </w:r>
      <w:r>
        <w:rPr>
          <w:rFonts w:eastAsia="仿宋_GB2312"/>
          <w:sz w:val="32"/>
          <w:szCs w:val="32"/>
        </w:rPr>
        <w:t>2022年</w:t>
      </w:r>
      <w:r>
        <w:rPr>
          <w:rFonts w:hint="eastAsia" w:eastAsia="仿宋_GB2312"/>
          <w:sz w:val="32"/>
          <w:szCs w:val="32"/>
          <w:lang w:eastAsia="zh-CN"/>
        </w:rPr>
        <w:t>相比无变化，</w:t>
      </w:r>
      <w:r>
        <w:rPr>
          <w:rFonts w:hint="eastAsia" w:eastAsia="仿宋_GB2312"/>
          <w:sz w:val="32"/>
          <w:szCs w:val="32"/>
          <w:lang w:val="en-US" w:eastAsia="zh-CN"/>
        </w:rPr>
        <w:t>主要是：严格按上年控制，厉行节约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0396C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0E34391B">
      <w:p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</w:p>
    <w:p w14:paraId="567CA567">
      <w:p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未计划举办节庆、晚会、论坛、赛事活动。</w:t>
      </w:r>
    </w:p>
    <w:p w14:paraId="5057B42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  <w:bookmarkStart w:id="0" w:name="_GoBack"/>
      <w:bookmarkEnd w:id="0"/>
    </w:p>
    <w:p w14:paraId="2BFACC1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年预算未安排政府性基金收支预算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国有资本经营</w:t>
      </w:r>
      <w:r>
        <w:rPr>
          <w:rFonts w:ascii="Times New Roman" w:hAnsi="Times New Roman" w:eastAsia="仿宋_GB2312" w:cs="Times New Roman"/>
          <w:sz w:val="32"/>
          <w:szCs w:val="32"/>
        </w:rPr>
        <w:t>收支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预算、财政专户管理资金</w:t>
      </w:r>
      <w:r>
        <w:rPr>
          <w:rFonts w:ascii="Times New Roman" w:hAnsi="Times New Roman" w:eastAsia="仿宋_GB2312" w:cs="Times New Roman"/>
          <w:sz w:val="32"/>
          <w:szCs w:val="32"/>
        </w:rPr>
        <w:t>收支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本单位无门户网站，已在政府网站统一公开。</w:t>
      </w:r>
    </w:p>
    <w:p w14:paraId="6D297C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5414DB0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9E3207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128241B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0CF948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077523C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5CF65EB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C6B85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5DB8">
    <w:pPr>
      <w:pStyle w:val="15"/>
      <w:framePr w:wrap="around" w:vAnchor="text" w:hAnchor="margin" w:xAlign="outside" w:y="1"/>
      <w:rPr>
        <w:rStyle w:val="19"/>
        <w:rFonts w:ascii="宋体"/>
        <w:sz w:val="28"/>
        <w:szCs w:val="28"/>
      </w:rPr>
    </w:pPr>
    <w:r>
      <w:rPr>
        <w:rStyle w:val="19"/>
        <w:rFonts w:hint="eastAsia" w:ascii="宋体"/>
        <w:color w:val="FFFFFF"/>
        <w:sz w:val="28"/>
        <w:szCs w:val="28"/>
      </w:rPr>
      <w:t>—</w:t>
    </w:r>
    <w:r>
      <w:rPr>
        <w:rStyle w:val="19"/>
        <w:rFonts w:hint="eastAsia" w:ascii="宋体"/>
        <w:sz w:val="28"/>
        <w:szCs w:val="28"/>
      </w:rPr>
      <w:t xml:space="preserve">— </w:t>
    </w:r>
    <w:r>
      <w:rPr>
        <w:rStyle w:val="19"/>
        <w:rFonts w:hint="eastAsia" w:ascii="宋体"/>
        <w:sz w:val="28"/>
        <w:szCs w:val="28"/>
      </w:rPr>
      <w:fldChar w:fldCharType="begin"/>
    </w:r>
    <w:r>
      <w:rPr>
        <w:rStyle w:val="1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9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9"/>
        <w:rFonts w:hint="eastAsia" w:ascii="宋体"/>
        <w:sz w:val="28"/>
        <w:szCs w:val="28"/>
      </w:rPr>
      <w:t xml:space="preserve"> —</w:t>
    </w:r>
    <w:r>
      <w:rPr>
        <w:rStyle w:val="19"/>
        <w:rFonts w:hint="eastAsia" w:ascii="宋体"/>
        <w:color w:val="FFFFFF"/>
        <w:sz w:val="28"/>
        <w:szCs w:val="28"/>
      </w:rPr>
      <w:t>—</w:t>
    </w:r>
  </w:p>
  <w:p w14:paraId="00357FB2"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71D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B02B7"/>
    <w:multiLevelType w:val="singleLevel"/>
    <w:tmpl w:val="4F5B02B7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VhNGJiMWVmZTg4ZjFhYWZhYWFiMzBkODkwYWRkZmUifQ=="/>
  </w:docVars>
  <w:rsids>
    <w:rsidRoot w:val="00000000"/>
    <w:rsid w:val="043C4DC9"/>
    <w:rsid w:val="22D9000F"/>
    <w:rsid w:val="47DA3080"/>
    <w:rsid w:val="5C7763D3"/>
    <w:rsid w:val="5C8D480F"/>
    <w:rsid w:val="62992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1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Date"/>
    <w:basedOn w:val="1"/>
    <w:next w:val="1"/>
    <w:qFormat/>
    <w:uiPriority w:val="0"/>
    <w:pPr>
      <w:ind w:left="2500" w:leftChars="2500"/>
    </w:p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9">
    <w:name w:val="page number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12</Pages>
  <Words>3766</Words>
  <Characters>4040</Characters>
  <Lines>0</Lines>
  <Paragraphs>121</Paragraphs>
  <TotalTime>0</TotalTime>
  <ScaleCrop>false</ScaleCrop>
  <LinksUpToDate>false</LinksUpToDate>
  <CharactersWithSpaces>4053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2024-11-22T08:50:19Z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A59B8B670F3A4C879A1B5B6B6330E584_13</vt:lpwstr>
  </property>
</Properties>
</file>