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1F7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0AEA820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27AD665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3F1D907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0122F03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  <w:bookmarkStart w:id="0" w:name="_GoBack"/>
      <w:bookmarkEnd w:id="0"/>
    </w:p>
    <w:p w14:paraId="12076E8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 w14:paraId="11E487FE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hint="eastAsia" w:eastAsia="方正小标宋简体"/>
          <w:bCs/>
          <w:sz w:val="84"/>
          <w:szCs w:val="84"/>
          <w:highlight w:val="none"/>
          <w:lang w:eastAsia="zh-CN"/>
        </w:rPr>
        <w:t>醴陵市烈士陵园管理所</w:t>
      </w:r>
      <w:r>
        <w:rPr>
          <w:rFonts w:eastAsia="方正小标宋简体"/>
          <w:bCs/>
          <w:sz w:val="84"/>
          <w:szCs w:val="84"/>
          <w:highlight w:val="none"/>
        </w:rPr>
        <w:t>2023年部门预算</w:t>
      </w:r>
    </w:p>
    <w:p w14:paraId="7E5DDDBD">
      <w:pPr>
        <w:tabs>
          <w:tab w:val="left" w:pos="7560"/>
        </w:tabs>
        <w:adjustRightInd w:val="0"/>
        <w:snapToGrid w:val="0"/>
        <w:jc w:val="center"/>
        <w:rPr>
          <w:rFonts w:eastAsia="楷体_GB2312"/>
          <w:bCs/>
          <w:sz w:val="32"/>
          <w:szCs w:val="32"/>
          <w:highlight w:val="none"/>
        </w:rPr>
      </w:pPr>
    </w:p>
    <w:p w14:paraId="3D50E2D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2448E9B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708DF7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7A23009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4E4251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D2A10C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61253C7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72ABE1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B393B0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121660C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0D1C1B4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 w14:paraId="3D2F1A8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  <w:highlight w:val="none"/>
        </w:rPr>
      </w:pPr>
      <w:r>
        <w:rPr>
          <w:rFonts w:eastAsia="黑体"/>
          <w:bCs/>
          <w:sz w:val="32"/>
          <w:szCs w:val="32"/>
          <w:highlight w:val="none"/>
        </w:rPr>
        <w:t>目  录</w:t>
      </w:r>
    </w:p>
    <w:p w14:paraId="6C0432C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第一部分 部门预算公开说明</w:t>
      </w:r>
    </w:p>
    <w:p w14:paraId="351737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一、部门职能职责</w:t>
      </w:r>
    </w:p>
    <w:p w14:paraId="599EF3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二、机构设置</w:t>
      </w:r>
    </w:p>
    <w:p w14:paraId="384F657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三、部门预算单位构成</w:t>
      </w:r>
    </w:p>
    <w:p w14:paraId="496607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四、部门收支总体情况</w:t>
      </w:r>
    </w:p>
    <w:p w14:paraId="17A28E7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（一）收入预算</w:t>
      </w:r>
    </w:p>
    <w:p w14:paraId="02E134F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（二）支出预算</w:t>
      </w:r>
    </w:p>
    <w:p w14:paraId="318E9EF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（三）预算收支增减变化情况说明</w:t>
      </w:r>
    </w:p>
    <w:p w14:paraId="4B99F7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五、一般公共预算拨款支出预算</w:t>
      </w:r>
    </w:p>
    <w:p w14:paraId="15B20C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（一）基本支出</w:t>
      </w:r>
    </w:p>
    <w:p w14:paraId="68B24C2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（二）项目支出</w:t>
      </w:r>
    </w:p>
    <w:p w14:paraId="3012EE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六、政府性基金预算支出</w:t>
      </w:r>
    </w:p>
    <w:p w14:paraId="597120F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七、其他重要事项情况说明</w:t>
      </w:r>
    </w:p>
    <w:p w14:paraId="249EFE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（一）机关运行经费</w:t>
      </w:r>
    </w:p>
    <w:p w14:paraId="4401D1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（二）政府采购预算</w:t>
      </w:r>
    </w:p>
    <w:p w14:paraId="03D30EC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（三）国有资产占有情况</w:t>
      </w:r>
    </w:p>
    <w:p w14:paraId="196273E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（四）重点项目预算的绩效目标等情况</w:t>
      </w:r>
    </w:p>
    <w:p w14:paraId="0551EA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（五）一般公共预算“三公”经费预算</w:t>
      </w:r>
    </w:p>
    <w:p w14:paraId="299B32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（六）会议费、培训费</w:t>
      </w:r>
    </w:p>
    <w:p w14:paraId="7FBC2F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（七）其他事项</w:t>
      </w:r>
    </w:p>
    <w:p w14:paraId="0A9A85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八、名词解释</w:t>
      </w:r>
    </w:p>
    <w:p w14:paraId="62744B7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第二部分 部门预算公开表格</w:t>
      </w:r>
    </w:p>
    <w:p w14:paraId="782174D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</w:t>
      </w:r>
      <w:r>
        <w:rPr>
          <w:rFonts w:hint="eastAsia" w:hAnsi="仿宋_GB2312" w:eastAsia="仿宋_GB2312"/>
          <w:sz w:val="32"/>
          <w:szCs w:val="32"/>
          <w:highlight w:val="none"/>
        </w:rPr>
        <w:t>部门收支总体情况表</w:t>
      </w:r>
    </w:p>
    <w:p w14:paraId="477C06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</w:t>
      </w:r>
      <w:r>
        <w:rPr>
          <w:rFonts w:hint="eastAsia" w:hAnsi="仿宋_GB2312" w:eastAsia="仿宋_GB2312"/>
          <w:sz w:val="32"/>
          <w:szCs w:val="32"/>
          <w:highlight w:val="none"/>
        </w:rPr>
        <w:t>部门收入总体情况表</w:t>
      </w:r>
    </w:p>
    <w:p w14:paraId="57A448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</w:t>
      </w:r>
      <w:r>
        <w:rPr>
          <w:rFonts w:hint="eastAsia" w:hAnsi="仿宋_GB2312" w:eastAsia="仿宋_GB2312"/>
          <w:sz w:val="32"/>
          <w:szCs w:val="32"/>
          <w:highlight w:val="none"/>
        </w:rPr>
        <w:t>部门支出总体情况表</w:t>
      </w:r>
    </w:p>
    <w:p w14:paraId="72D91E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（四）支出分类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203D41F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（五）支出分类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46390E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（六）</w:t>
      </w:r>
      <w:r>
        <w:rPr>
          <w:rFonts w:hint="eastAsia" w:hAnsi="仿宋_GB2312" w:eastAsia="仿宋_GB2312"/>
          <w:sz w:val="32"/>
          <w:szCs w:val="32"/>
          <w:highlight w:val="none"/>
        </w:rPr>
        <w:t>财政拨款收支总体情况表</w:t>
      </w:r>
    </w:p>
    <w:p w14:paraId="0308E4B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（七）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一般公共预算支出情况表</w:t>
      </w:r>
    </w:p>
    <w:p w14:paraId="2F6060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（八）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一般公共预算基本支出情况表</w:t>
      </w:r>
    </w:p>
    <w:p w14:paraId="24D163B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Ansi="仿宋_GB2312" w:eastAsia="仿宋_GB2312"/>
          <w:sz w:val="32"/>
          <w:szCs w:val="32"/>
          <w:highlight w:val="none"/>
        </w:rPr>
        <w:t>工资福利（政府预算）</w:t>
      </w:r>
    </w:p>
    <w:p w14:paraId="5A728D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（十）工资福利</w:t>
      </w:r>
    </w:p>
    <w:p w14:paraId="4D09E2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（十一）个人家庭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44BE92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（十二）个人家庭</w:t>
      </w:r>
    </w:p>
    <w:p w14:paraId="673107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（十三）商品服务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61391C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（十四）商品服务</w:t>
      </w:r>
    </w:p>
    <w:p w14:paraId="44E087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（十五）</w:t>
      </w:r>
      <w:r>
        <w:rPr>
          <w:rFonts w:hint="eastAsia" w:hAnsi="仿宋_GB2312" w:eastAsia="仿宋_GB2312"/>
          <w:sz w:val="32"/>
          <w:szCs w:val="32"/>
          <w:highlight w:val="none"/>
        </w:rPr>
        <w:t>一般公共预算“三公”经费支出情况表</w:t>
      </w:r>
    </w:p>
    <w:p w14:paraId="1DFB22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（十六）</w:t>
      </w:r>
      <w:r>
        <w:rPr>
          <w:rFonts w:hint="eastAsia" w:hAnsi="仿宋_GB2312" w:eastAsia="仿宋_GB2312"/>
          <w:sz w:val="32"/>
          <w:szCs w:val="32"/>
          <w:highlight w:val="none"/>
        </w:rPr>
        <w:t>政府性基金预算支出情况表</w:t>
      </w:r>
    </w:p>
    <w:p w14:paraId="20DEBF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（十七）政府性基金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政府预算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345B6A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（十八）政府性基金</w:t>
      </w:r>
      <w:r>
        <w:rPr>
          <w:rFonts w:eastAsia="仿宋_GB2312"/>
          <w:sz w:val="32"/>
          <w:szCs w:val="32"/>
          <w:highlight w:val="none"/>
        </w:rPr>
        <w:t>(</w:t>
      </w:r>
      <w:r>
        <w:rPr>
          <w:rFonts w:hAnsi="仿宋_GB2312" w:eastAsia="仿宋_GB2312"/>
          <w:sz w:val="32"/>
          <w:szCs w:val="32"/>
          <w:highlight w:val="none"/>
        </w:rPr>
        <w:t>部门预算</w:t>
      </w:r>
      <w:r>
        <w:rPr>
          <w:rFonts w:eastAsia="仿宋_GB2312"/>
          <w:sz w:val="32"/>
          <w:szCs w:val="32"/>
          <w:highlight w:val="none"/>
        </w:rPr>
        <w:t>)</w:t>
      </w:r>
    </w:p>
    <w:p w14:paraId="56F5D1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（十九）国有资本经营预算</w:t>
      </w:r>
    </w:p>
    <w:p w14:paraId="61872B8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（二十）财政专户管理资金</w:t>
      </w:r>
    </w:p>
    <w:p w14:paraId="4DB547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（二十一）专项清单</w:t>
      </w:r>
    </w:p>
    <w:p w14:paraId="5AA4AF4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（二十二）项目支出绩效目标表</w:t>
      </w:r>
    </w:p>
    <w:p w14:paraId="7A9A67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（二十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Ansi="仿宋_GB2312" w:eastAsia="仿宋_GB2312"/>
          <w:sz w:val="32"/>
          <w:szCs w:val="32"/>
          <w:highlight w:val="none"/>
        </w:rPr>
        <w:t>）整体支出绩效目标表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6E26E3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>表金额单位转换时可能存在尾数误差）</w:t>
      </w:r>
      <w:r>
        <w:rPr>
          <w:rFonts w:eastAsia="仿宋_GB2312"/>
          <w:sz w:val="32"/>
          <w:szCs w:val="32"/>
          <w:highlight w:val="none"/>
        </w:rPr>
        <w:t xml:space="preserve"> </w:t>
      </w:r>
    </w:p>
    <w:p w14:paraId="1A224D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000937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第一部分：</w:t>
      </w:r>
    </w:p>
    <w:p w14:paraId="7F295DCD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  <w:highlight w:val="none"/>
        </w:rPr>
      </w:pPr>
    </w:p>
    <w:p w14:paraId="77B122B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醴陵市烈士陵园管理所</w:t>
      </w:r>
      <w:r>
        <w:rPr>
          <w:rFonts w:eastAsia="方正小标宋简体"/>
          <w:bCs/>
          <w:sz w:val="44"/>
          <w:szCs w:val="44"/>
          <w:highlight w:val="none"/>
        </w:rPr>
        <w:t>2023年部门预算说明</w:t>
      </w:r>
    </w:p>
    <w:p w14:paraId="1A96204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</w:p>
    <w:p w14:paraId="5926475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一、</w:t>
      </w:r>
      <w:r>
        <w:rPr>
          <w:rFonts w:eastAsia="黑体"/>
          <w:sz w:val="32"/>
          <w:szCs w:val="32"/>
          <w:highlight w:val="none"/>
        </w:rPr>
        <w:t>部门职能职责</w:t>
      </w:r>
    </w:p>
    <w:p w14:paraId="55069A3D">
      <w:pPr>
        <w:spacing w:line="560" w:lineRule="exact"/>
        <w:ind w:firstLine="640" w:firstLineChars="200"/>
        <w:rPr>
          <w:rFonts w:hint="eastAsia" w:hAnsi="仿宋" w:eastAsia="仿宋_GB2312" w:cs="仿宋"/>
          <w:sz w:val="32"/>
          <w:szCs w:val="32"/>
          <w:highlight w:val="none"/>
        </w:rPr>
      </w:pPr>
      <w:r>
        <w:rPr>
          <w:rFonts w:hint="eastAsia" w:hAnsi="仿宋" w:eastAsia="仿宋_GB2312" w:cs="仿宋"/>
          <w:sz w:val="32"/>
          <w:szCs w:val="32"/>
          <w:highlight w:val="none"/>
        </w:rPr>
        <w:t>负责全市烈士及退役军人荣誉奖励、军人公墓管理维护、纪念活动等工作，依法承担英雄烈士保护相关工作，负责列入全省重点保护单位的烈士纪念建筑物名录的申报工作，总结表彰和宣扬退役军人、退役军人工作单位和个人先进典型事迹。</w:t>
      </w:r>
    </w:p>
    <w:p w14:paraId="09D522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二、机构设置</w:t>
      </w:r>
    </w:p>
    <w:p w14:paraId="2E0D9DFF">
      <w:pPr>
        <w:spacing w:line="560" w:lineRule="exact"/>
        <w:ind w:firstLine="640" w:firstLineChars="200"/>
        <w:rPr>
          <w:rFonts w:hint="eastAsia" w:hAnsi="仿宋" w:eastAsia="仿宋_GB2312" w:cs="仿宋"/>
          <w:sz w:val="32"/>
          <w:szCs w:val="32"/>
          <w:highlight w:val="none"/>
          <w:lang w:val="en-US"/>
        </w:rPr>
      </w:pPr>
      <w:r>
        <w:rPr>
          <w:rFonts w:hint="eastAsia" w:hAnsi="仿宋" w:eastAsia="仿宋_GB2312" w:cs="仿宋"/>
          <w:sz w:val="32"/>
          <w:szCs w:val="32"/>
          <w:highlight w:val="none"/>
          <w:lang w:val="en-US"/>
        </w:rPr>
        <w:t>本单位共有</w:t>
      </w:r>
      <w:r>
        <w:rPr>
          <w:rFonts w:hint="eastAsia" w:hAnsi="仿宋" w:eastAsia="仿宋_GB2312" w:cs="仿宋"/>
          <w:sz w:val="32"/>
          <w:szCs w:val="32"/>
          <w:highlight w:val="none"/>
        </w:rPr>
        <w:t>事业编制数3人，</w:t>
      </w:r>
      <w:r>
        <w:rPr>
          <w:rFonts w:hint="eastAsia" w:hAnsi="仿宋" w:eastAsia="仿宋_GB2312" w:cs="仿宋"/>
          <w:sz w:val="32"/>
          <w:szCs w:val="32"/>
          <w:highlight w:val="none"/>
          <w:lang w:val="en-US"/>
        </w:rPr>
        <w:t>实有人数3人，内设部门有3个，分别是办公室、财务室和接待室。</w:t>
      </w:r>
    </w:p>
    <w:p w14:paraId="7A277664">
      <w:pPr>
        <w:numPr>
          <w:ilvl w:val="0"/>
          <w:numId w:val="1"/>
        </w:numPr>
        <w:spacing w:line="560" w:lineRule="exact"/>
        <w:ind w:left="720" w:firstLine="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部门预算单位构成</w:t>
      </w:r>
    </w:p>
    <w:p w14:paraId="754E6746">
      <w:pPr>
        <w:spacing w:line="560" w:lineRule="exact"/>
        <w:ind w:firstLine="640" w:firstLineChars="200"/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hAnsi="仿宋" w:eastAsia="仿宋_GB2312" w:cs="仿宋"/>
          <w:sz w:val="32"/>
          <w:szCs w:val="32"/>
          <w:highlight w:val="none"/>
          <w:lang w:eastAsia="zh-CN"/>
        </w:rPr>
        <w:t>醴陵市烈士陵园管理所只有本级，没有其他预算单位，因此纳入2023年部门预算编制范围的只有醴陵市烈士陵园管理所本级。</w:t>
      </w:r>
    </w:p>
    <w:p w14:paraId="4BD2B8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四、 部门收支总体情况</w:t>
      </w:r>
    </w:p>
    <w:p w14:paraId="0D3DA26B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" w:eastAsia="仿宋_GB2312" w:cs="仿宋"/>
          <w:sz w:val="32"/>
          <w:szCs w:val="32"/>
          <w:highlight w:val="none"/>
        </w:rPr>
        <w:t>202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" w:eastAsia="仿宋_GB2312" w:cs="仿宋"/>
          <w:sz w:val="32"/>
          <w:szCs w:val="32"/>
          <w:highlight w:val="none"/>
        </w:rPr>
        <w:t>年部门预算编报范围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为醴陵市烈士陵园管理所</w:t>
      </w:r>
      <w:r>
        <w:rPr>
          <w:rFonts w:hint="eastAsia" w:hAnsi="仿宋" w:eastAsia="仿宋_GB2312" w:cs="仿宋"/>
          <w:sz w:val="32"/>
          <w:szCs w:val="32"/>
          <w:highlight w:val="none"/>
        </w:rPr>
        <w:t>。收入包括一般公共预算收入；支出既包括保障单位基本运行的经费，也包括归口管理、面向全市分配的专项经费。</w:t>
      </w:r>
      <w:r>
        <w:rPr>
          <w:rFonts w:eastAsia="仿宋_GB2312"/>
          <w:sz w:val="32"/>
          <w:szCs w:val="32"/>
          <w:highlight w:val="none"/>
        </w:rPr>
        <w:t>（详见附表）</w:t>
      </w:r>
    </w:p>
    <w:p w14:paraId="048A14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万元；政府性基金拨款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万元；财政专户管理的非税收入拨款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万元；上级财政补助收入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万元。因上年结转数暂未最终确定，本年度收支预算中均不含上年结转数字。</w:t>
      </w:r>
    </w:p>
    <w:p w14:paraId="3169C7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（二）支出预算：</w:t>
      </w:r>
      <w:r>
        <w:rPr>
          <w:rFonts w:eastAsia="仿宋_GB2312"/>
          <w:sz w:val="32"/>
          <w:szCs w:val="32"/>
          <w:highlight w:val="none"/>
        </w:rPr>
        <w:t>2023年年初预算数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万元，其中，社会保障和就业支出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43.67</w:t>
      </w:r>
      <w:r>
        <w:rPr>
          <w:rFonts w:eastAsia="仿宋_GB2312"/>
          <w:sz w:val="32"/>
          <w:szCs w:val="32"/>
          <w:highlight w:val="none"/>
        </w:rPr>
        <w:t>万元；卫生健康支出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1.07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；住房保障支出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3.4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289131B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1.基本支出：</w:t>
      </w:r>
      <w:r>
        <w:rPr>
          <w:rFonts w:eastAsia="仿宋_GB2312"/>
          <w:color w:val="000000"/>
          <w:sz w:val="32"/>
          <w:szCs w:val="32"/>
          <w:highlight w:val="none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33.54</w:t>
      </w:r>
      <w:r>
        <w:rPr>
          <w:rFonts w:eastAsia="仿宋_GB2312"/>
          <w:color w:val="000000"/>
          <w:sz w:val="32"/>
          <w:szCs w:val="32"/>
          <w:highlight w:val="none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12.89</w:t>
      </w:r>
      <w:r>
        <w:rPr>
          <w:rFonts w:eastAsia="仿宋_GB2312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6.59</w:t>
      </w:r>
      <w:r>
        <w:rPr>
          <w:rFonts w:eastAsia="仿宋_GB2312"/>
          <w:color w:val="000000"/>
          <w:sz w:val="32"/>
          <w:szCs w:val="32"/>
          <w:highlight w:val="none"/>
        </w:rPr>
        <w:t>万元、奖金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5.58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8.48</w:t>
      </w:r>
      <w:r>
        <w:rPr>
          <w:rFonts w:eastAsia="仿宋_GB2312"/>
          <w:color w:val="000000"/>
          <w:sz w:val="32"/>
          <w:szCs w:val="32"/>
          <w:highlight w:val="none"/>
        </w:rPr>
        <w:t>万元等。</w:t>
      </w:r>
    </w:p>
    <w:p w14:paraId="728DB3A2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b/>
          <w:color w:val="000000"/>
          <w:sz w:val="32"/>
          <w:szCs w:val="32"/>
          <w:highlight w:val="none"/>
        </w:rPr>
        <w:t>2.项目支出：</w:t>
      </w:r>
      <w:r>
        <w:rPr>
          <w:rFonts w:hint="eastAsia" w:eastAsia="仿宋_GB2312"/>
          <w:color w:val="000000"/>
          <w:sz w:val="32"/>
          <w:szCs w:val="32"/>
          <w:highlight w:val="none"/>
        </w:rPr>
        <w:t>2023</w:t>
      </w:r>
      <w:r>
        <w:rPr>
          <w:rFonts w:eastAsia="仿宋_GB2312"/>
          <w:color w:val="000000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14.6</w:t>
      </w:r>
      <w:r>
        <w:rPr>
          <w:rFonts w:eastAsia="仿宋_GB2312"/>
          <w:color w:val="000000"/>
          <w:sz w:val="32"/>
          <w:szCs w:val="32"/>
          <w:highlight w:val="none"/>
        </w:rPr>
        <w:t>万元，是指单位为完成特定行政工作任务或事业发展目标而发生的支出，包括有关事业发展专项、基本建设支出、资本性支出等。其中：</w:t>
      </w:r>
    </w:p>
    <w:p w14:paraId="3109D893">
      <w:pPr>
        <w:spacing w:line="560" w:lineRule="exact"/>
        <w:ind w:firstLine="640" w:firstLineChars="200"/>
        <w:rPr>
          <w:rFonts w:hAnsi="仿宋" w:eastAsia="仿宋_GB2312" w:cs="仿宋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（1）烈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士公祭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  <w:highlight w:val="none"/>
        </w:rPr>
        <w:t>万元。</w:t>
      </w:r>
      <w:r>
        <w:rPr>
          <w:rFonts w:hAnsi="仿宋" w:eastAsia="仿宋_GB2312" w:cs="仿宋"/>
          <w:color w:val="000000"/>
          <w:sz w:val="32"/>
          <w:szCs w:val="32"/>
          <w:highlight w:val="none"/>
        </w:rPr>
        <w:t>主要用于202</w:t>
      </w:r>
      <w:r>
        <w:rPr>
          <w:rFonts w:hint="eastAsia" w:hAnsi="仿宋" w:eastAsia="仿宋_GB2312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Ansi="仿宋" w:eastAsia="仿宋_GB2312" w:cs="仿宋"/>
          <w:color w:val="000000"/>
          <w:sz w:val="32"/>
          <w:szCs w:val="32"/>
          <w:highlight w:val="none"/>
        </w:rPr>
        <w:t>年9月30日烈士公祭日烈士陵园开展全市烈士公祭活动费用支出。</w:t>
      </w:r>
    </w:p>
    <w:p w14:paraId="1454C2FD">
      <w:pPr>
        <w:spacing w:line="560" w:lineRule="exact"/>
        <w:ind w:firstLine="640" w:firstLineChars="200"/>
        <w:rPr>
          <w:rFonts w:hint="eastAsia" w:hAnsi="仿宋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仿宋" w:eastAsia="仿宋_GB2312" w:cs="仿宋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hAnsi="仿宋" w:eastAsia="仿宋_GB2312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仿宋" w:eastAsia="仿宋_GB2312" w:cs="仿宋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事业运行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9.6万元。</w:t>
      </w:r>
    </w:p>
    <w:p w14:paraId="4A8983E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（三）预算收支增减变化情况说明：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年度本部门年初预算数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万元，比上年增加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5.38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主要原因是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基本支出中</w:t>
      </w:r>
      <w:r>
        <w:rPr>
          <w:rFonts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员经费增加基础绩效奖预算。</w:t>
      </w:r>
    </w:p>
    <w:p w14:paraId="13779D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五、一般公共预算拨款支出预算</w:t>
      </w:r>
    </w:p>
    <w:p w14:paraId="2E8CFF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年本部门一般公共预算拨款支出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万元，具体安排如下：</w:t>
      </w:r>
    </w:p>
    <w:p w14:paraId="56E3C74B"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5ABE4724">
      <w:pPr>
        <w:pStyle w:val="3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社会保障和就业支出（类）退役军人管理事务（款）事业运行（项）</w:t>
      </w:r>
    </w:p>
    <w:p w14:paraId="7A615BC8">
      <w:pPr>
        <w:pStyle w:val="3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2023年预算支出34.66万元。</w:t>
      </w:r>
    </w:p>
    <w:p w14:paraId="7515A041"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社会保障和就业支出（类）抚恤（款）烈士纪念设施管理维护（项）</w:t>
      </w:r>
    </w:p>
    <w:p w14:paraId="63DEBA07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2023年预算支出5万元。</w:t>
      </w:r>
    </w:p>
    <w:p w14:paraId="3C363D5E">
      <w:pPr>
        <w:pStyle w:val="3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社会保障和就业支出（类）行政事业单位养老支出（款）机关事业单位基本养老保险缴费支出（项）</w:t>
      </w:r>
    </w:p>
    <w:p w14:paraId="01D874D6">
      <w:pPr>
        <w:pStyle w:val="3"/>
        <w:numPr>
          <w:ilvl w:val="0"/>
          <w:numId w:val="0"/>
        </w:numPr>
        <w:ind w:leftChars="200" w:firstLine="320" w:firstLineChars="10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2023年预算支出4.01万元。</w:t>
      </w:r>
    </w:p>
    <w:p w14:paraId="6DEB1D2A">
      <w:pPr>
        <w:pStyle w:val="2"/>
        <w:numPr>
          <w:ilvl w:val="0"/>
          <w:numId w:val="2"/>
        </w:numPr>
        <w:ind w:left="0" w:leftChars="0"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33692A53">
      <w:pPr>
        <w:pStyle w:val="2"/>
        <w:numPr>
          <w:ilvl w:val="0"/>
          <w:numId w:val="0"/>
        </w:numPr>
        <w:ind w:leftChars="200" w:firstLine="320" w:firstLineChars="1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2023年预算支出1.07万元。</w:t>
      </w:r>
    </w:p>
    <w:p w14:paraId="0BED1F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6、住房保障支出（类）城乡社区住宅（款）住房公积金管理（项）2023年预算支出3.4万元。</w:t>
      </w:r>
    </w:p>
    <w:p w14:paraId="5674F4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（一）基本支出</w:t>
      </w:r>
    </w:p>
    <w:p w14:paraId="18EF6E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1、人员类支出。2023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33.54</w:t>
      </w:r>
      <w:r>
        <w:rPr>
          <w:rFonts w:eastAsia="仿宋_GB2312"/>
          <w:sz w:val="32"/>
          <w:szCs w:val="32"/>
          <w:highlight w:val="none"/>
        </w:rPr>
        <w:t>万元。其中包</w:t>
      </w:r>
      <w:r>
        <w:rPr>
          <w:rFonts w:eastAsia="仿宋_GB2312"/>
          <w:color w:val="000000"/>
          <w:sz w:val="32"/>
          <w:szCs w:val="32"/>
          <w:highlight w:val="none"/>
        </w:rPr>
        <w:t>括基本工资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12.89</w:t>
      </w:r>
      <w:r>
        <w:rPr>
          <w:rFonts w:eastAsia="仿宋_GB2312"/>
          <w:color w:val="000000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6.59</w:t>
      </w:r>
      <w:r>
        <w:rPr>
          <w:rFonts w:eastAsia="仿宋_GB2312"/>
          <w:color w:val="000000"/>
          <w:sz w:val="32"/>
          <w:szCs w:val="32"/>
          <w:highlight w:val="none"/>
        </w:rPr>
        <w:t>万元、奖金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5.58</w:t>
      </w:r>
      <w:r>
        <w:rPr>
          <w:rFonts w:eastAsia="仿宋_GB2312"/>
          <w:color w:val="000000"/>
          <w:sz w:val="32"/>
          <w:szCs w:val="32"/>
          <w:highlight w:val="none"/>
        </w:rPr>
        <w:t>万元、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社会保障缴费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8.48</w:t>
      </w:r>
      <w:r>
        <w:rPr>
          <w:rFonts w:eastAsia="仿宋_GB2312"/>
          <w:color w:val="000000"/>
          <w:sz w:val="32"/>
          <w:szCs w:val="32"/>
          <w:highlight w:val="none"/>
        </w:rPr>
        <w:t>万元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。</w:t>
      </w:r>
    </w:p>
    <w:p w14:paraId="6AC192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2、公用类支出。2023年年初预算数为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 w14:paraId="3AC8DD0C">
      <w:pPr>
        <w:tabs>
          <w:tab w:val="left" w:pos="7560"/>
        </w:tabs>
        <w:adjustRightInd w:val="0"/>
        <w:snapToGrid w:val="0"/>
        <w:spacing w:line="560" w:lineRule="exact"/>
        <w:ind w:firstLine="320" w:firstLineChars="1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（二）项目支出</w:t>
      </w:r>
    </w:p>
    <w:p w14:paraId="1EE8C7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1、其他运转类支出。2023年年初预算数为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9.6</w:t>
      </w:r>
      <w:r>
        <w:rPr>
          <w:rFonts w:hint="eastAsia"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其中：事业运行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9.6万元。</w:t>
      </w:r>
    </w:p>
    <w:p w14:paraId="5F1D362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2、特定目标类支出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万元。其中：</w:t>
      </w:r>
    </w:p>
    <w:p w14:paraId="3EE97CD6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（1）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烈士公祭</w:t>
      </w:r>
      <w:r>
        <w:rPr>
          <w:rFonts w:hint="eastAsia" w:eastAsia="仿宋_GB2312"/>
          <w:sz w:val="32"/>
          <w:szCs w:val="32"/>
          <w:highlight w:val="none"/>
        </w:rPr>
        <w:t>专项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sz w:val="32"/>
          <w:szCs w:val="32"/>
          <w:highlight w:val="none"/>
        </w:rPr>
        <w:t>万元。</w:t>
      </w:r>
      <w:r>
        <w:rPr>
          <w:rFonts w:hint="eastAsia" w:hAnsi="仿宋" w:eastAsia="仿宋_GB2312" w:cs="仿宋"/>
          <w:sz w:val="32"/>
          <w:szCs w:val="32"/>
          <w:highlight w:val="none"/>
        </w:rPr>
        <w:t>主要用于202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" w:eastAsia="仿宋_GB2312" w:cs="仿宋"/>
          <w:sz w:val="32"/>
          <w:szCs w:val="32"/>
          <w:highlight w:val="none"/>
        </w:rPr>
        <w:t>年9月30日烈士公祭日烈士陵园开展全市烈士公祭活动费用支出。</w:t>
      </w:r>
    </w:p>
    <w:p w14:paraId="0B485802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eastAsia="zh-CN"/>
        </w:rPr>
        <w:t>六、</w:t>
      </w:r>
      <w:r>
        <w:rPr>
          <w:rFonts w:eastAsia="黑体"/>
          <w:sz w:val="32"/>
          <w:szCs w:val="32"/>
          <w:highlight w:val="none"/>
        </w:rPr>
        <w:t>政府性基金预算支出</w:t>
      </w:r>
    </w:p>
    <w:p w14:paraId="41080E79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rPr>
          <w:rFonts w:eastAsia="仿宋_GB2312"/>
          <w:bCs/>
          <w:sz w:val="32"/>
          <w:szCs w:val="32"/>
          <w:highlight w:val="none"/>
        </w:rPr>
      </w:pPr>
      <w:r>
        <w:rPr>
          <w:rFonts w:eastAsia="仿宋_GB2312"/>
          <w:bCs/>
          <w:sz w:val="32"/>
          <w:szCs w:val="32"/>
          <w:highlight w:val="none"/>
        </w:rPr>
        <w:t>202</w:t>
      </w:r>
      <w:r>
        <w:rPr>
          <w:rFonts w:hint="eastAsia" w:eastAsia="仿宋_GB2312"/>
          <w:bCs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bCs/>
          <w:sz w:val="32"/>
          <w:szCs w:val="32"/>
          <w:highlight w:val="none"/>
        </w:rPr>
        <w:t>年度本部门无政府性基金预算安排的支出</w:t>
      </w:r>
    </w:p>
    <w:p w14:paraId="14AEEA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七、其他重要事项情况说明</w:t>
      </w:r>
    </w:p>
    <w:p w14:paraId="3734C6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（一）机关运行经费：</w:t>
      </w:r>
      <w:r>
        <w:rPr>
          <w:rFonts w:eastAsia="仿宋_GB2312"/>
          <w:sz w:val="32"/>
          <w:szCs w:val="32"/>
          <w:highlight w:val="none"/>
        </w:rPr>
        <w:t>本部门</w:t>
      </w:r>
      <w:r>
        <w:rPr>
          <w:rFonts w:hint="eastAsia" w:eastAsia="仿宋_GB2312"/>
          <w:sz w:val="32"/>
          <w:szCs w:val="32"/>
          <w:highlight w:val="none"/>
        </w:rPr>
        <w:t>2023</w:t>
      </w:r>
      <w:r>
        <w:rPr>
          <w:rFonts w:eastAsia="仿宋_GB2312"/>
          <w:sz w:val="32"/>
          <w:szCs w:val="32"/>
          <w:highlight w:val="none"/>
        </w:rPr>
        <w:t>年年初预算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单位</w:t>
      </w:r>
      <w:r>
        <w:rPr>
          <w:rFonts w:eastAsia="仿宋_GB2312"/>
          <w:sz w:val="32"/>
          <w:szCs w:val="32"/>
          <w:highlight w:val="none"/>
        </w:rPr>
        <w:t>运行经费共安排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9.6</w:t>
      </w:r>
      <w:r>
        <w:rPr>
          <w:rFonts w:eastAsia="仿宋_GB2312"/>
          <w:sz w:val="32"/>
          <w:szCs w:val="32"/>
          <w:highlight w:val="none"/>
        </w:rPr>
        <w:t>万元，比上年度预算减少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2.5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bCs/>
          <w:sz w:val="32"/>
          <w:szCs w:val="32"/>
          <w:highlight w:val="none"/>
        </w:rPr>
        <w:t>减少的主要原因是：</w:t>
      </w:r>
      <w:r>
        <w:rPr>
          <w:rFonts w:hint="eastAsia" w:eastAsia="仿宋_GB2312"/>
          <w:bCs/>
          <w:sz w:val="32"/>
          <w:szCs w:val="32"/>
          <w:highlight w:val="none"/>
          <w:lang w:eastAsia="zh-CN"/>
        </w:rPr>
        <w:t>节约公用经费支出。</w:t>
      </w:r>
    </w:p>
    <w:p w14:paraId="6E9A650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（二) 政府采购预算</w:t>
      </w:r>
      <w:r>
        <w:rPr>
          <w:rFonts w:hAnsi="华文楷体" w:eastAsia="华文楷体"/>
          <w:sz w:val="32"/>
          <w:szCs w:val="32"/>
          <w:highlight w:val="none"/>
        </w:rPr>
        <w:t>：</w:t>
      </w:r>
      <w:r>
        <w:rPr>
          <w:rFonts w:eastAsia="仿宋_GB2312"/>
          <w:sz w:val="32"/>
          <w:szCs w:val="32"/>
          <w:highlight w:val="none"/>
        </w:rPr>
        <w:t>本部门2023年年初预算数为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632</w:t>
      </w:r>
      <w:r>
        <w:rPr>
          <w:rFonts w:eastAsia="仿宋_GB2312"/>
          <w:sz w:val="32"/>
          <w:szCs w:val="32"/>
          <w:highlight w:val="none"/>
        </w:rPr>
        <w:t>万元。包含：政府采购货物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eastAsia="仿宋_GB2312"/>
          <w:sz w:val="32"/>
          <w:szCs w:val="32"/>
          <w:highlight w:val="none"/>
        </w:rPr>
        <w:t>万元，政府采购工程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600</w:t>
      </w:r>
      <w:r>
        <w:rPr>
          <w:rFonts w:eastAsia="仿宋_GB2312"/>
          <w:sz w:val="32"/>
          <w:szCs w:val="32"/>
          <w:highlight w:val="none"/>
        </w:rPr>
        <w:t>万元，政府采购服务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eastAsia="仿宋_GB2312"/>
          <w:sz w:val="32"/>
          <w:szCs w:val="32"/>
          <w:highlight w:val="none"/>
        </w:rPr>
        <w:t>万元。</w:t>
      </w:r>
    </w:p>
    <w:p w14:paraId="053BEB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年12月31日，本部门共有办公及业务用房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1000</w:t>
      </w:r>
      <w:r>
        <w:rPr>
          <w:rFonts w:eastAsia="仿宋_GB2312"/>
          <w:sz w:val="32"/>
          <w:szCs w:val="32"/>
          <w:highlight w:val="none"/>
        </w:rPr>
        <w:t xml:space="preserve">平方米；车辆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辆，其中一般公务用车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辆、一般执法执勤用车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辆、货币化用车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辆；单位价值200万以上大型设备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年部门预算安排购置车辆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辆，预算安排购置价值200万以上大型设备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套。</w:t>
      </w:r>
    </w:p>
    <w:p w14:paraId="333C4D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（四）重点项目预算的绩效目标等情况：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23</w:t>
      </w:r>
      <w:r>
        <w:rPr>
          <w:rFonts w:eastAsia="仿宋_GB2312"/>
          <w:sz w:val="32"/>
          <w:szCs w:val="32"/>
          <w:highlight w:val="none"/>
        </w:rPr>
        <w:t>年部门整体支出绩效目标的金额为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48.14</w:t>
      </w:r>
      <w:r>
        <w:rPr>
          <w:rFonts w:eastAsia="仿宋_GB2312"/>
          <w:sz w:val="32"/>
          <w:szCs w:val="32"/>
          <w:highlight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33.54</w:t>
      </w:r>
      <w:r>
        <w:rPr>
          <w:rFonts w:eastAsia="仿宋_GB2312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14.6</w:t>
      </w:r>
      <w:r>
        <w:rPr>
          <w:rFonts w:eastAsia="仿宋_GB2312"/>
          <w:sz w:val="32"/>
          <w:szCs w:val="32"/>
          <w:highlight w:val="none"/>
        </w:rPr>
        <w:t>万元（详见附表）。 </w:t>
      </w:r>
    </w:p>
    <w:p w14:paraId="50ED0E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（五）一般公共预算“三公”经费情况：</w:t>
      </w:r>
      <w:r>
        <w:rPr>
          <w:rFonts w:eastAsia="仿宋_GB2312"/>
          <w:sz w:val="32"/>
          <w:szCs w:val="32"/>
          <w:highlight w:val="none"/>
        </w:rPr>
        <w:t>2023年“三公”经费预算数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0.5</w:t>
      </w:r>
      <w:r>
        <w:rPr>
          <w:rFonts w:eastAsia="仿宋_GB2312"/>
          <w:sz w:val="32"/>
          <w:szCs w:val="32"/>
          <w:highlight w:val="none"/>
        </w:rPr>
        <w:t>万元，其中：“因公出国（境）费”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万元、“公务用车购置及运行费”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（其中，公务用车购置费0万元，公务用车运行费0万元）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sz w:val="32"/>
          <w:szCs w:val="32"/>
          <w:highlight w:val="none"/>
        </w:rPr>
        <w:t>“公务接待费”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0.5</w:t>
      </w:r>
      <w:r>
        <w:rPr>
          <w:rFonts w:eastAsia="仿宋_GB2312"/>
          <w:sz w:val="32"/>
          <w:szCs w:val="32"/>
          <w:highlight w:val="none"/>
        </w:rPr>
        <w:t>万元。</w:t>
      </w:r>
      <w:r>
        <w:rPr>
          <w:rFonts w:hint="eastAsia" w:eastAsia="仿宋_GB2312"/>
          <w:sz w:val="32"/>
          <w:szCs w:val="32"/>
          <w:highlight w:val="none"/>
        </w:rPr>
        <w:t>2023年公务用车购置数0台。</w:t>
      </w:r>
    </w:p>
    <w:p w14:paraId="0DA020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2023年“三公”经费预算数与2022年持平，主要是厉行节约要求，从严控制“三公”经费开支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23530E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楷体_GB2312"/>
          <w:bCs/>
          <w:color w:val="000000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</w:p>
    <w:p w14:paraId="12D8ECC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hAnsi="仿宋" w:eastAsia="仿宋_GB2312" w:cs="仿宋"/>
          <w:sz w:val="32"/>
          <w:szCs w:val="32"/>
          <w:highlight w:val="none"/>
        </w:rPr>
        <w:t>202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" w:eastAsia="仿宋_GB2312" w:cs="仿宋"/>
          <w:sz w:val="32"/>
          <w:szCs w:val="32"/>
          <w:highlight w:val="none"/>
        </w:rPr>
        <w:t>年预算安排会议费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hAnsi="仿宋" w:eastAsia="仿宋_GB2312" w:cs="仿宋"/>
          <w:sz w:val="32"/>
          <w:szCs w:val="32"/>
          <w:highlight w:val="none"/>
        </w:rPr>
        <w:t>万元</w:t>
      </w:r>
      <w:r>
        <w:rPr>
          <w:rFonts w:hint="eastAsia" w:hAnsi="仿宋" w:eastAsia="仿宋_GB2312" w:cs="仿宋"/>
          <w:sz w:val="32"/>
          <w:szCs w:val="32"/>
          <w:highlight w:val="none"/>
          <w:lang w:eastAsia="zh-CN"/>
        </w:rPr>
        <w:t>。</w:t>
      </w:r>
    </w:p>
    <w:p w14:paraId="5D13C2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仿宋" w:eastAsia="仿宋_GB2312" w:cs="仿宋"/>
          <w:sz w:val="32"/>
          <w:szCs w:val="32"/>
          <w:highlight w:val="none"/>
        </w:rPr>
      </w:pPr>
      <w:r>
        <w:rPr>
          <w:rFonts w:hint="eastAsia" w:hAnsi="仿宋" w:eastAsia="仿宋_GB2312" w:cs="仿宋"/>
          <w:sz w:val="32"/>
          <w:szCs w:val="32"/>
          <w:highlight w:val="none"/>
        </w:rPr>
        <w:t>202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hAnsi="仿宋" w:eastAsia="仿宋_GB2312" w:cs="仿宋"/>
          <w:sz w:val="32"/>
          <w:szCs w:val="32"/>
          <w:highlight w:val="none"/>
        </w:rPr>
        <w:t>年预算安排培训费</w:t>
      </w:r>
      <w:r>
        <w:rPr>
          <w:rFonts w:hint="eastAsia" w:hAnsi="仿宋" w:eastAsia="仿宋_GB2312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hAnsi="仿宋" w:eastAsia="仿宋_GB2312" w:cs="仿宋"/>
          <w:sz w:val="32"/>
          <w:szCs w:val="32"/>
          <w:highlight w:val="none"/>
        </w:rPr>
        <w:t>万元</w:t>
      </w:r>
      <w:r>
        <w:rPr>
          <w:rFonts w:hint="eastAsia" w:hAnsi="仿宋" w:eastAsia="仿宋_GB2312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仿宋" w:eastAsia="仿宋_GB2312" w:cs="仿宋"/>
          <w:sz w:val="32"/>
          <w:szCs w:val="32"/>
          <w:highlight w:val="none"/>
          <w:lang w:val="en-US" w:eastAsia="zh-CN"/>
        </w:rPr>
        <w:t>未计划举办节庆、晚会、论坛、赛事活动。</w:t>
      </w:r>
    </w:p>
    <w:p w14:paraId="5B18E0FA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其他事项。</w:t>
      </w:r>
    </w:p>
    <w:p w14:paraId="63BB22C8">
      <w:pPr>
        <w:tabs>
          <w:tab w:val="left" w:pos="7560"/>
        </w:tabs>
        <w:adjustRightInd w:val="0"/>
        <w:snapToGrid w:val="0"/>
        <w:spacing w:line="560" w:lineRule="exact"/>
        <w:ind w:left="0" w:firstLine="640" w:firstLineChars="200"/>
        <w:jc w:val="left"/>
        <w:rPr>
          <w:rFonts w:eastAsia="仿宋_GB2312"/>
          <w:bCs/>
          <w:sz w:val="32"/>
          <w:szCs w:val="32"/>
          <w:highlight w:val="none"/>
        </w:rPr>
      </w:pPr>
      <w:r>
        <w:rPr>
          <w:rFonts w:hAnsi="仿宋" w:eastAsia="仿宋_GB2312"/>
          <w:sz w:val="32"/>
          <w:szCs w:val="32"/>
          <w:highlight w:val="none"/>
        </w:rPr>
        <w:t>本单位</w:t>
      </w:r>
      <w:r>
        <w:rPr>
          <w:rFonts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Ansi="仿宋" w:eastAsia="仿宋_GB2312"/>
          <w:sz w:val="32"/>
          <w:szCs w:val="32"/>
          <w:highlight w:val="none"/>
        </w:rPr>
        <w:t>年预算未安排政府性基金收支预算、未安排纳入专户管理的非税收入拨款预算</w:t>
      </w:r>
      <w:r>
        <w:rPr>
          <w:rFonts w:hint="eastAsia" w:hAnsi="仿宋" w:eastAsia="仿宋_GB2312"/>
          <w:sz w:val="32"/>
          <w:szCs w:val="32"/>
          <w:highlight w:val="none"/>
        </w:rPr>
        <w:t>,无</w:t>
      </w:r>
      <w:r>
        <w:rPr>
          <w:rFonts w:eastAsia="仿宋_GB2312"/>
          <w:sz w:val="32"/>
          <w:szCs w:val="32"/>
          <w:highlight w:val="none"/>
        </w:rPr>
        <w:t>政府性基金收支预算</w:t>
      </w:r>
      <w:r>
        <w:rPr>
          <w:rFonts w:hint="eastAsia" w:eastAsia="仿宋_GB2312"/>
          <w:sz w:val="32"/>
          <w:szCs w:val="32"/>
          <w:highlight w:val="none"/>
        </w:rPr>
        <w:t>、国有资本经营收支预算、财政专户管理资金收支预算。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hAnsi="仿宋" w:eastAsia="仿宋_GB2312"/>
          <w:sz w:val="32"/>
          <w:szCs w:val="32"/>
          <w:highlight w:val="none"/>
        </w:rPr>
        <w:t>单位无门户网站，统一在政府门户网站上公开</w:t>
      </w:r>
      <w:r>
        <w:rPr>
          <w:rFonts w:hAnsi="仿宋" w:eastAsia="仿宋_GB2312"/>
          <w:sz w:val="32"/>
          <w:szCs w:val="32"/>
          <w:highlight w:val="none"/>
        </w:rPr>
        <w:t>。</w:t>
      </w:r>
    </w:p>
    <w:p w14:paraId="46394A3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  <w:highlight w:val="none"/>
        </w:rPr>
      </w:pPr>
      <w:r>
        <w:rPr>
          <w:rFonts w:hAnsi="黑体" w:eastAsia="黑体"/>
          <w:bCs/>
          <w:sz w:val="32"/>
          <w:szCs w:val="32"/>
          <w:highlight w:val="none"/>
        </w:rPr>
        <w:t>八、名词解释</w:t>
      </w:r>
    </w:p>
    <w:p w14:paraId="3E5B76D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（一）一般公共预算:</w:t>
      </w:r>
      <w:r>
        <w:rPr>
          <w:rFonts w:eastAsia="仿宋_GB2312"/>
          <w:sz w:val="32"/>
          <w:szCs w:val="32"/>
          <w:highlight w:val="none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05AD760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（二）政府性基金预算:</w:t>
      </w:r>
      <w:r>
        <w:rPr>
          <w:rFonts w:eastAsia="仿宋_GB2312"/>
          <w:sz w:val="32"/>
          <w:szCs w:val="32"/>
          <w:highlight w:val="none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0365A5B3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 xml:space="preserve">（三）国有资本经营预算: </w:t>
      </w:r>
      <w:r>
        <w:rPr>
          <w:rFonts w:eastAsia="仿宋_GB2312"/>
          <w:sz w:val="32"/>
          <w:szCs w:val="32"/>
          <w:highlight w:val="none"/>
        </w:rPr>
        <w:t>是对国有资本收益作出支出安排的收支预算。应当按照收支平衡的原则编制，不列赤字，并安排资金调入一般公共预算。</w:t>
      </w:r>
    </w:p>
    <w:p w14:paraId="3B999B5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>（四）社会保险基金预算:</w:t>
      </w:r>
      <w:r>
        <w:rPr>
          <w:rFonts w:eastAsia="仿宋_GB2312"/>
          <w:sz w:val="32"/>
          <w:szCs w:val="32"/>
          <w:highlight w:val="none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710D759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b/>
          <w:sz w:val="32"/>
          <w:szCs w:val="32"/>
          <w:highlight w:val="none"/>
        </w:rPr>
        <w:t>（五）“三公”经费：</w:t>
      </w:r>
      <w:r>
        <w:rPr>
          <w:rFonts w:eastAsia="仿宋_GB2312"/>
          <w:sz w:val="32"/>
          <w:szCs w:val="32"/>
          <w:highlight w:val="none"/>
        </w:rPr>
        <w:t>是指商品和服务支出中的因公出国（境）费用、公务用车购置及运行维护费和公务接待费。</w:t>
      </w:r>
    </w:p>
    <w:p w14:paraId="6ABD3C6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sz w:val="32"/>
          <w:szCs w:val="32"/>
          <w:highlight w:val="none"/>
        </w:rPr>
        <w:t xml:space="preserve">    （六）机关运行经费：</w:t>
      </w:r>
      <w:r>
        <w:rPr>
          <w:rFonts w:eastAsia="仿宋_GB2312"/>
          <w:sz w:val="32"/>
          <w:szCs w:val="32"/>
          <w:highlight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7D612">
    <w:pPr>
      <w:pStyle w:val="14"/>
      <w:framePr w:wrap="around" w:vAnchor="text" w:hAnchor="margin" w:xAlign="outside" w:y="1"/>
      <w:rPr>
        <w:rStyle w:val="18"/>
        <w:rFonts w:hint="eastAsia" w:ascii="宋体"/>
        <w:sz w:val="28"/>
        <w:szCs w:val="28"/>
      </w:rPr>
    </w:pPr>
    <w:r>
      <w:rPr>
        <w:rStyle w:val="18"/>
        <w:rFonts w:hint="eastAsia" w:ascii="宋体"/>
        <w:color w:val="FFFFFF"/>
        <w:sz w:val="28"/>
        <w:szCs w:val="28"/>
      </w:rPr>
      <w:t>—</w:t>
    </w:r>
    <w:r>
      <w:rPr>
        <w:rStyle w:val="18"/>
        <w:rFonts w:hint="eastAsia" w:ascii="宋体"/>
        <w:sz w:val="28"/>
        <w:szCs w:val="28"/>
      </w:rPr>
      <w:t xml:space="preserve">— </w:t>
    </w:r>
    <w:r>
      <w:rPr>
        <w:rStyle w:val="18"/>
        <w:rFonts w:hint="eastAsia" w:ascii="宋体"/>
        <w:sz w:val="28"/>
        <w:szCs w:val="28"/>
      </w:rPr>
      <w:fldChar w:fldCharType="begin"/>
    </w:r>
    <w:r>
      <w:rPr>
        <w:rStyle w:val="18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8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8"/>
        <w:rFonts w:hint="eastAsia" w:ascii="宋体"/>
        <w:sz w:val="28"/>
        <w:szCs w:val="28"/>
      </w:rPr>
      <w:t xml:space="preserve"> —</w:t>
    </w:r>
    <w:r>
      <w:rPr>
        <w:rStyle w:val="18"/>
        <w:rFonts w:hint="eastAsia" w:ascii="宋体"/>
        <w:color w:val="FFFFFF"/>
        <w:sz w:val="28"/>
        <w:szCs w:val="28"/>
      </w:rPr>
      <w:t>—</w:t>
    </w:r>
  </w:p>
  <w:p w14:paraId="7FBF4083">
    <w:pPr>
      <w:pStyle w:val="1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4A5F">
    <w:pPr>
      <w:pStyle w:val="14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 w14:paraId="01C83C79">
    <w:pPr>
      <w:pStyle w:val="1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925B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F489E"/>
    <w:multiLevelType w:val="singleLevel"/>
    <w:tmpl w:val="F0AF489E"/>
    <w:lvl w:ilvl="0" w:tentative="0">
      <w:start w:val="3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1D57D0F7"/>
    <w:multiLevelType w:val="singleLevel"/>
    <w:tmpl w:val="1D57D0F7"/>
    <w:lvl w:ilvl="0" w:tentative="0">
      <w:start w:val="7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2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jVhNGJiMWVmZTg4ZjFhYWZhYWFiMzBkODkwYWRkZmUifQ=="/>
  </w:docVars>
  <w:rsids>
    <w:rsidRoot w:val="00000000"/>
    <w:rsid w:val="0A786C09"/>
    <w:rsid w:val="15FD7FC2"/>
    <w:rsid w:val="16677B31"/>
    <w:rsid w:val="2A985CAA"/>
    <w:rsid w:val="2D1E783E"/>
    <w:rsid w:val="31907D4C"/>
    <w:rsid w:val="43362BE2"/>
    <w:rsid w:val="433E7B4D"/>
    <w:rsid w:val="506E096A"/>
    <w:rsid w:val="598C3104"/>
    <w:rsid w:val="6339733E"/>
    <w:rsid w:val="6AE83F12"/>
    <w:rsid w:val="6EF8130D"/>
    <w:rsid w:val="7BC22CA5"/>
    <w:rsid w:val="7C042774"/>
    <w:rsid w:val="7DB72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7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  <w:lang w:val="en-US" w:eastAsia="zh-CN" w:bidi="ar-SA"/>
    </w:rPr>
  </w:style>
  <w:style w:type="paragraph" w:customStyle="1" w:styleId="3">
    <w:name w:val="p0"/>
    <w:next w:val="4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4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9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10">
    <w:name w:val="Body Text Indent"/>
    <w:basedOn w:val="1"/>
    <w:autoRedefine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Date"/>
    <w:basedOn w:val="1"/>
    <w:next w:val="1"/>
    <w:autoRedefine/>
    <w:qFormat/>
    <w:uiPriority w:val="0"/>
    <w:pPr>
      <w:ind w:left="2500" w:leftChars="2500"/>
    </w:pPr>
  </w:style>
  <w:style w:type="paragraph" w:styleId="13">
    <w:name w:val="Balloon Text"/>
    <w:basedOn w:val="1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8">
    <w:name w:val="page number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h</Company>
  <Pages>10</Pages>
  <Words>2873</Words>
  <Characters>3079</Characters>
  <Lines>0</Lines>
  <Paragraphs>117</Paragraphs>
  <TotalTime>0</TotalTime>
  <ScaleCrop>false</ScaleCrop>
  <LinksUpToDate>false</LinksUpToDate>
  <CharactersWithSpaces>3098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2024-11-22T07:33:40Z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F8CA2D43E5874203A0EEA0EE091F74BE</vt:lpwstr>
  </property>
</Properties>
</file>