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CD93">
      <w:pPr>
        <w:tabs>
          <w:tab w:val="left" w:pos="7560"/>
        </w:tabs>
        <w:adjustRightInd w:val="0"/>
        <w:snapToGrid w:val="0"/>
        <w:spacing w:line="560" w:lineRule="exact"/>
        <w:jc w:val="center"/>
        <w:rPr>
          <w:rFonts w:eastAsia="方正小标宋简体"/>
          <w:bCs/>
          <w:sz w:val="44"/>
          <w:szCs w:val="44"/>
          <w:highlight w:val="none"/>
        </w:rPr>
      </w:pPr>
    </w:p>
    <w:p w14:paraId="65335EF2">
      <w:pPr>
        <w:tabs>
          <w:tab w:val="left" w:pos="7560"/>
        </w:tabs>
        <w:adjustRightInd w:val="0"/>
        <w:snapToGrid w:val="0"/>
        <w:spacing w:line="560" w:lineRule="exact"/>
        <w:jc w:val="center"/>
        <w:rPr>
          <w:rFonts w:eastAsia="方正小标宋简体"/>
          <w:bCs/>
          <w:sz w:val="44"/>
          <w:szCs w:val="44"/>
          <w:highlight w:val="none"/>
        </w:rPr>
      </w:pPr>
    </w:p>
    <w:p w14:paraId="2E8B1340">
      <w:pPr>
        <w:tabs>
          <w:tab w:val="left" w:pos="7560"/>
        </w:tabs>
        <w:adjustRightInd w:val="0"/>
        <w:snapToGrid w:val="0"/>
        <w:spacing w:line="560" w:lineRule="exact"/>
        <w:jc w:val="center"/>
        <w:rPr>
          <w:rFonts w:eastAsia="方正小标宋简体"/>
          <w:bCs/>
          <w:sz w:val="44"/>
          <w:szCs w:val="44"/>
          <w:highlight w:val="none"/>
        </w:rPr>
      </w:pPr>
    </w:p>
    <w:p w14:paraId="36759106">
      <w:pPr>
        <w:tabs>
          <w:tab w:val="left" w:pos="7560"/>
        </w:tabs>
        <w:adjustRightInd w:val="0"/>
        <w:snapToGrid w:val="0"/>
        <w:spacing w:line="560" w:lineRule="exact"/>
        <w:jc w:val="center"/>
        <w:rPr>
          <w:rFonts w:eastAsia="方正小标宋简体"/>
          <w:bCs/>
          <w:sz w:val="44"/>
          <w:szCs w:val="44"/>
          <w:highlight w:val="none"/>
        </w:rPr>
      </w:pPr>
    </w:p>
    <w:p w14:paraId="0F2FDED0">
      <w:pPr>
        <w:tabs>
          <w:tab w:val="left" w:pos="7560"/>
        </w:tabs>
        <w:adjustRightInd w:val="0"/>
        <w:snapToGrid w:val="0"/>
        <w:spacing w:line="560" w:lineRule="exact"/>
        <w:jc w:val="center"/>
        <w:rPr>
          <w:rFonts w:eastAsia="方正小标宋简体"/>
          <w:bCs/>
          <w:sz w:val="84"/>
          <w:szCs w:val="84"/>
          <w:highlight w:val="none"/>
        </w:rPr>
      </w:pPr>
    </w:p>
    <w:p w14:paraId="609A74D1">
      <w:pPr>
        <w:tabs>
          <w:tab w:val="left" w:pos="7560"/>
        </w:tabs>
        <w:adjustRightInd w:val="0"/>
        <w:snapToGrid w:val="0"/>
        <w:spacing w:line="560" w:lineRule="exact"/>
        <w:jc w:val="center"/>
        <w:rPr>
          <w:rFonts w:eastAsia="方正小标宋简体"/>
          <w:bCs/>
          <w:sz w:val="84"/>
          <w:szCs w:val="84"/>
          <w:highlight w:val="none"/>
        </w:rPr>
      </w:pPr>
    </w:p>
    <w:p w14:paraId="489CB8EA">
      <w:pPr>
        <w:tabs>
          <w:tab w:val="left" w:pos="7560"/>
        </w:tabs>
        <w:adjustRightInd w:val="0"/>
        <w:snapToGrid w:val="0"/>
        <w:jc w:val="center"/>
        <w:rPr>
          <w:rFonts w:ascii="方正小标宋简体" w:eastAsia="方正小标宋简体" w:cs="方正小标宋简体"/>
          <w:bCs/>
          <w:sz w:val="84"/>
          <w:szCs w:val="84"/>
          <w:highlight w:val="none"/>
          <w:lang w:val="en-US" w:eastAsia="zh-CN"/>
        </w:rPr>
      </w:pPr>
      <w:r>
        <w:rPr>
          <w:rFonts w:hint="eastAsia" w:ascii="方正小标宋简体" w:eastAsia="方正小标宋简体" w:cs="方正小标宋简体"/>
          <w:bCs/>
          <w:sz w:val="84"/>
          <w:szCs w:val="84"/>
          <w:highlight w:val="none"/>
          <w:lang w:eastAsia="zh-CN"/>
        </w:rPr>
        <w:t>醴陵市</w:t>
      </w:r>
      <w:r>
        <w:rPr>
          <w:rFonts w:hint="eastAsia" w:ascii="方正小标宋简体" w:eastAsia="方正小标宋简体" w:cs="方正小标宋简体"/>
          <w:bCs/>
          <w:sz w:val="84"/>
          <w:szCs w:val="84"/>
          <w:highlight w:val="none"/>
          <w:lang w:val="en-US" w:eastAsia="zh-CN"/>
        </w:rPr>
        <w:t>军队离休退休干部休养所</w:t>
      </w:r>
    </w:p>
    <w:p w14:paraId="0C43E6FD">
      <w:pPr>
        <w:tabs>
          <w:tab w:val="left" w:pos="7560"/>
        </w:tabs>
        <w:adjustRightInd w:val="0"/>
        <w:snapToGrid w:val="0"/>
        <w:jc w:val="center"/>
        <w:rPr>
          <w:rFonts w:hint="eastAsia" w:ascii="方正小标宋简体" w:eastAsia="方正小标宋简体" w:cs="方正小标宋简体"/>
          <w:bCs/>
          <w:sz w:val="84"/>
          <w:szCs w:val="84"/>
          <w:highlight w:val="none"/>
        </w:rPr>
      </w:pPr>
      <w:r>
        <w:rPr>
          <w:rFonts w:hint="eastAsia" w:ascii="方正小标宋简体" w:eastAsia="方正小标宋简体" w:cs="方正小标宋简体"/>
          <w:bCs/>
          <w:sz w:val="84"/>
          <w:szCs w:val="84"/>
          <w:highlight w:val="none"/>
        </w:rPr>
        <w:t>2023年部门预算</w:t>
      </w:r>
    </w:p>
    <w:p w14:paraId="5BAD178E">
      <w:pPr>
        <w:tabs>
          <w:tab w:val="left" w:pos="7560"/>
        </w:tabs>
        <w:adjustRightInd w:val="0"/>
        <w:snapToGrid w:val="0"/>
        <w:jc w:val="center"/>
        <w:rPr>
          <w:rFonts w:eastAsia="楷体_GB2312"/>
          <w:bCs/>
          <w:sz w:val="32"/>
          <w:szCs w:val="32"/>
          <w:highlight w:val="none"/>
        </w:rPr>
      </w:pPr>
    </w:p>
    <w:p w14:paraId="27AED1DF">
      <w:pPr>
        <w:tabs>
          <w:tab w:val="left" w:pos="7560"/>
        </w:tabs>
        <w:adjustRightInd w:val="0"/>
        <w:snapToGrid w:val="0"/>
        <w:spacing w:line="560" w:lineRule="exact"/>
        <w:jc w:val="left"/>
        <w:rPr>
          <w:rFonts w:eastAsia="仿宋_GB2312"/>
          <w:bCs/>
          <w:sz w:val="32"/>
          <w:szCs w:val="32"/>
          <w:highlight w:val="none"/>
        </w:rPr>
      </w:pPr>
    </w:p>
    <w:p w14:paraId="0803F387">
      <w:pPr>
        <w:tabs>
          <w:tab w:val="left" w:pos="7560"/>
        </w:tabs>
        <w:adjustRightInd w:val="0"/>
        <w:snapToGrid w:val="0"/>
        <w:spacing w:line="560" w:lineRule="exact"/>
        <w:jc w:val="left"/>
        <w:rPr>
          <w:rFonts w:eastAsia="仿宋_GB2312"/>
          <w:bCs/>
          <w:sz w:val="32"/>
          <w:szCs w:val="32"/>
          <w:highlight w:val="none"/>
        </w:rPr>
      </w:pPr>
    </w:p>
    <w:p w14:paraId="4ACC1DF5">
      <w:pPr>
        <w:tabs>
          <w:tab w:val="left" w:pos="7560"/>
        </w:tabs>
        <w:adjustRightInd w:val="0"/>
        <w:snapToGrid w:val="0"/>
        <w:spacing w:line="560" w:lineRule="exact"/>
        <w:jc w:val="left"/>
        <w:rPr>
          <w:rFonts w:eastAsia="仿宋_GB2312"/>
          <w:bCs/>
          <w:sz w:val="32"/>
          <w:szCs w:val="32"/>
          <w:highlight w:val="none"/>
        </w:rPr>
      </w:pPr>
    </w:p>
    <w:p w14:paraId="6A5A019C">
      <w:pPr>
        <w:tabs>
          <w:tab w:val="left" w:pos="7560"/>
        </w:tabs>
        <w:adjustRightInd w:val="0"/>
        <w:snapToGrid w:val="0"/>
        <w:spacing w:line="560" w:lineRule="exact"/>
        <w:jc w:val="left"/>
        <w:rPr>
          <w:rFonts w:eastAsia="仿宋_GB2312"/>
          <w:bCs/>
          <w:sz w:val="32"/>
          <w:szCs w:val="32"/>
          <w:highlight w:val="none"/>
        </w:rPr>
      </w:pPr>
    </w:p>
    <w:p w14:paraId="278404DA">
      <w:pPr>
        <w:tabs>
          <w:tab w:val="left" w:pos="7560"/>
        </w:tabs>
        <w:adjustRightInd w:val="0"/>
        <w:snapToGrid w:val="0"/>
        <w:spacing w:line="560" w:lineRule="exact"/>
        <w:jc w:val="left"/>
        <w:rPr>
          <w:rFonts w:eastAsia="仿宋_GB2312"/>
          <w:bCs/>
          <w:sz w:val="32"/>
          <w:szCs w:val="32"/>
          <w:highlight w:val="none"/>
        </w:rPr>
      </w:pPr>
    </w:p>
    <w:p w14:paraId="36665273">
      <w:pPr>
        <w:tabs>
          <w:tab w:val="left" w:pos="7560"/>
        </w:tabs>
        <w:adjustRightInd w:val="0"/>
        <w:snapToGrid w:val="0"/>
        <w:spacing w:line="560" w:lineRule="exact"/>
        <w:jc w:val="left"/>
        <w:rPr>
          <w:rFonts w:eastAsia="仿宋_GB2312"/>
          <w:bCs/>
          <w:sz w:val="32"/>
          <w:szCs w:val="32"/>
          <w:highlight w:val="none"/>
        </w:rPr>
      </w:pPr>
    </w:p>
    <w:p w14:paraId="24ED82CC">
      <w:pPr>
        <w:tabs>
          <w:tab w:val="left" w:pos="7560"/>
        </w:tabs>
        <w:adjustRightInd w:val="0"/>
        <w:snapToGrid w:val="0"/>
        <w:spacing w:line="560" w:lineRule="exact"/>
        <w:jc w:val="left"/>
        <w:rPr>
          <w:rFonts w:eastAsia="仿宋_GB2312"/>
          <w:bCs/>
          <w:sz w:val="32"/>
          <w:szCs w:val="32"/>
          <w:highlight w:val="none"/>
        </w:rPr>
      </w:pPr>
    </w:p>
    <w:p w14:paraId="0288567A">
      <w:pPr>
        <w:tabs>
          <w:tab w:val="left" w:pos="7560"/>
        </w:tabs>
        <w:adjustRightInd w:val="0"/>
        <w:snapToGrid w:val="0"/>
        <w:spacing w:line="560" w:lineRule="exact"/>
        <w:jc w:val="left"/>
        <w:rPr>
          <w:rFonts w:eastAsia="仿宋_GB2312"/>
          <w:bCs/>
          <w:sz w:val="32"/>
          <w:szCs w:val="32"/>
          <w:highlight w:val="none"/>
        </w:rPr>
      </w:pPr>
    </w:p>
    <w:p w14:paraId="0570E44A">
      <w:pPr>
        <w:tabs>
          <w:tab w:val="left" w:pos="7560"/>
        </w:tabs>
        <w:adjustRightInd w:val="0"/>
        <w:snapToGrid w:val="0"/>
        <w:spacing w:line="560" w:lineRule="exact"/>
        <w:jc w:val="left"/>
        <w:rPr>
          <w:rFonts w:eastAsia="仿宋_GB2312"/>
          <w:bCs/>
          <w:sz w:val="32"/>
          <w:szCs w:val="32"/>
          <w:highlight w:val="none"/>
        </w:rPr>
      </w:pPr>
    </w:p>
    <w:p w14:paraId="0E53FEA8">
      <w:pPr>
        <w:tabs>
          <w:tab w:val="left" w:pos="7560"/>
        </w:tabs>
        <w:adjustRightInd w:val="0"/>
        <w:snapToGrid w:val="0"/>
        <w:spacing w:line="560" w:lineRule="exact"/>
        <w:jc w:val="center"/>
        <w:rPr>
          <w:rFonts w:eastAsia="黑体"/>
          <w:bCs/>
          <w:sz w:val="32"/>
          <w:szCs w:val="32"/>
          <w:highlight w:val="none"/>
        </w:rPr>
      </w:pPr>
      <w:r>
        <w:rPr>
          <w:rFonts w:eastAsia="黑体"/>
          <w:bCs/>
          <w:sz w:val="32"/>
          <w:szCs w:val="32"/>
          <w:highlight w:val="none"/>
        </w:rPr>
        <w:t>目  录</w:t>
      </w:r>
    </w:p>
    <w:p w14:paraId="58DAFC95">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bCs/>
          <w:sz w:val="32"/>
          <w:szCs w:val="32"/>
          <w:highlight w:val="none"/>
        </w:rPr>
        <w:t>第一部分 部门预算公开说明</w:t>
      </w:r>
    </w:p>
    <w:p w14:paraId="0866DBB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一、部门职能职责</w:t>
      </w:r>
    </w:p>
    <w:p w14:paraId="17DDC860">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二、机构设置</w:t>
      </w:r>
    </w:p>
    <w:p w14:paraId="0E89BBBA">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三、部门预算单位构成</w:t>
      </w:r>
    </w:p>
    <w:p w14:paraId="457A2424">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四、部门收支总体情况</w:t>
      </w:r>
    </w:p>
    <w:p w14:paraId="263106CB">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（一）收入预算</w:t>
      </w:r>
    </w:p>
    <w:p w14:paraId="0816D1B6">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（二）支出预算</w:t>
      </w:r>
    </w:p>
    <w:p w14:paraId="0E1D0292">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（三）预算收支增减变化情况说明</w:t>
      </w:r>
    </w:p>
    <w:p w14:paraId="4F8EC6E3">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五、一般公共预算拨款支出预算</w:t>
      </w:r>
    </w:p>
    <w:p w14:paraId="434D5191">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（一）基本支出</w:t>
      </w:r>
    </w:p>
    <w:p w14:paraId="59F77A74">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（二）项目支出</w:t>
      </w:r>
    </w:p>
    <w:p w14:paraId="093C761A">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六、政府性基金预算支出</w:t>
      </w:r>
    </w:p>
    <w:p w14:paraId="6AE4825B">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七、其他重要事项情况说明</w:t>
      </w:r>
    </w:p>
    <w:p w14:paraId="0FC62C03">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（一）机关运行经费</w:t>
      </w:r>
    </w:p>
    <w:p w14:paraId="4F194763">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（二）政府采购预算</w:t>
      </w:r>
    </w:p>
    <w:p w14:paraId="10220AC4">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（三）国有资产占有情况</w:t>
      </w:r>
    </w:p>
    <w:p w14:paraId="7E30AA0B">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（四）重点项目预算的绩效目标等情况</w:t>
      </w:r>
    </w:p>
    <w:p w14:paraId="4CAE0FFD">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（五）一般公共预算“三公”经费预算</w:t>
      </w:r>
    </w:p>
    <w:p w14:paraId="59B9C2E8">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（六）会议费、培训费</w:t>
      </w:r>
    </w:p>
    <w:p w14:paraId="7C018281">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（七）其他事项</w:t>
      </w:r>
    </w:p>
    <w:p w14:paraId="14794359">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八、名词解释</w:t>
      </w:r>
    </w:p>
    <w:p w14:paraId="65B15215">
      <w:pPr>
        <w:tabs>
          <w:tab w:val="left" w:pos="7560"/>
        </w:tabs>
        <w:adjustRightInd w:val="0"/>
        <w:snapToGrid w:val="0"/>
        <w:spacing w:line="560" w:lineRule="exact"/>
        <w:ind w:firstLine="643" w:firstLineChars="200"/>
        <w:rPr>
          <w:rFonts w:eastAsia="仿宋_GB2312"/>
          <w:b/>
          <w:bCs/>
          <w:sz w:val="32"/>
          <w:szCs w:val="32"/>
          <w:highlight w:val="none"/>
        </w:rPr>
      </w:pPr>
      <w:r>
        <w:rPr>
          <w:rFonts w:eastAsia="仿宋_GB2312"/>
          <w:b/>
          <w:bCs/>
          <w:sz w:val="32"/>
          <w:szCs w:val="32"/>
          <w:highlight w:val="none"/>
        </w:rPr>
        <w:t>第二部分 部门预算公开表格</w:t>
      </w:r>
    </w:p>
    <w:p w14:paraId="147BEFE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（一）</w:t>
      </w:r>
      <w:r>
        <w:rPr>
          <w:rFonts w:hint="eastAsia" w:hAnsi="仿宋_GB2312" w:eastAsia="仿宋_GB2312"/>
          <w:sz w:val="32"/>
          <w:szCs w:val="32"/>
          <w:highlight w:val="none"/>
        </w:rPr>
        <w:t>部门收支总体情况表</w:t>
      </w:r>
    </w:p>
    <w:p w14:paraId="00346FB0">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w:t>
      </w:r>
      <w:r>
        <w:rPr>
          <w:rFonts w:hint="eastAsia" w:hAnsi="仿宋_GB2312" w:eastAsia="仿宋_GB2312"/>
          <w:sz w:val="32"/>
          <w:szCs w:val="32"/>
          <w:highlight w:val="none"/>
        </w:rPr>
        <w:t>部门收入总体情况表</w:t>
      </w:r>
    </w:p>
    <w:p w14:paraId="4CC2C294">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（三）</w:t>
      </w:r>
      <w:r>
        <w:rPr>
          <w:rFonts w:hint="eastAsia" w:hAnsi="仿宋_GB2312" w:eastAsia="仿宋_GB2312"/>
          <w:sz w:val="32"/>
          <w:szCs w:val="32"/>
          <w:highlight w:val="none"/>
        </w:rPr>
        <w:t>部门支出总体情况表</w:t>
      </w:r>
    </w:p>
    <w:p w14:paraId="40D96643">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（四）支出分类</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1047FA11">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（五）支出分类</w:t>
      </w:r>
      <w:r>
        <w:rPr>
          <w:rFonts w:eastAsia="仿宋_GB2312"/>
          <w:sz w:val="32"/>
          <w:szCs w:val="32"/>
          <w:highlight w:val="none"/>
        </w:rPr>
        <w:t>(</w:t>
      </w:r>
      <w:r>
        <w:rPr>
          <w:rFonts w:hAnsi="仿宋_GB2312" w:eastAsia="仿宋_GB2312"/>
          <w:sz w:val="32"/>
          <w:szCs w:val="32"/>
          <w:highlight w:val="none"/>
        </w:rPr>
        <w:t>部门预算</w:t>
      </w:r>
      <w:r>
        <w:rPr>
          <w:rFonts w:eastAsia="仿宋_GB2312"/>
          <w:sz w:val="32"/>
          <w:szCs w:val="32"/>
          <w:highlight w:val="none"/>
        </w:rPr>
        <w:t>)</w:t>
      </w:r>
    </w:p>
    <w:p w14:paraId="357D41A4">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（六）</w:t>
      </w:r>
      <w:r>
        <w:rPr>
          <w:rFonts w:hint="eastAsia" w:hAnsi="仿宋_GB2312" w:eastAsia="仿宋_GB2312"/>
          <w:sz w:val="32"/>
          <w:szCs w:val="32"/>
          <w:highlight w:val="none"/>
        </w:rPr>
        <w:t>财政拨款收支总体情况表</w:t>
      </w:r>
    </w:p>
    <w:p w14:paraId="044DAA8E">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（七）</w:t>
      </w:r>
      <w:r>
        <w:rPr>
          <w:rFonts w:hint="eastAsia" w:hAnsi="仿宋_GB2312" w:eastAsia="仿宋_GB2312"/>
          <w:sz w:val="32"/>
          <w:szCs w:val="32"/>
          <w:highlight w:val="none"/>
        </w:rPr>
        <w:t>一般公共预算支出情况表</w:t>
      </w:r>
    </w:p>
    <w:p w14:paraId="5C49E44E">
      <w:pPr>
        <w:tabs>
          <w:tab w:val="left" w:pos="7560"/>
        </w:tabs>
        <w:adjustRightInd w:val="0"/>
        <w:snapToGrid w:val="0"/>
        <w:spacing w:line="560" w:lineRule="exact"/>
        <w:ind w:firstLine="640" w:firstLineChars="200"/>
        <w:jc w:val="left"/>
        <w:rPr>
          <w:rFonts w:hAnsi="仿宋_GB2312" w:eastAsia="仿宋_GB2312"/>
          <w:sz w:val="32"/>
          <w:szCs w:val="32"/>
          <w:highlight w:val="none"/>
        </w:rPr>
      </w:pPr>
      <w:r>
        <w:rPr>
          <w:rFonts w:hAnsi="仿宋_GB2312" w:eastAsia="仿宋_GB2312"/>
          <w:sz w:val="32"/>
          <w:szCs w:val="32"/>
          <w:highlight w:val="none"/>
        </w:rPr>
        <w:t>（八）</w:t>
      </w:r>
      <w:r>
        <w:rPr>
          <w:rFonts w:hint="eastAsia" w:hAnsi="仿宋_GB2312" w:eastAsia="仿宋_GB2312"/>
          <w:sz w:val="32"/>
          <w:szCs w:val="32"/>
          <w:highlight w:val="none"/>
        </w:rPr>
        <w:t>一般公共预算基本支出情况表</w:t>
      </w:r>
    </w:p>
    <w:p w14:paraId="1E29CA6A">
      <w:pPr>
        <w:tabs>
          <w:tab w:val="left" w:pos="7560"/>
        </w:tabs>
        <w:adjustRightInd w:val="0"/>
        <w:snapToGrid w:val="0"/>
        <w:spacing w:line="560" w:lineRule="exact"/>
        <w:ind w:firstLine="640" w:firstLineChars="200"/>
        <w:jc w:val="left"/>
        <w:rPr>
          <w:rFonts w:eastAsia="仿宋_GB2312"/>
          <w:sz w:val="32"/>
          <w:szCs w:val="32"/>
          <w:highlight w:val="none"/>
        </w:rPr>
      </w:pPr>
      <w:r>
        <w:rPr>
          <w:rFonts w:hint="eastAsia" w:hAnsi="仿宋_GB2312" w:eastAsia="仿宋_GB2312"/>
          <w:sz w:val="32"/>
          <w:szCs w:val="32"/>
          <w:highlight w:val="none"/>
          <w:lang w:eastAsia="zh-CN"/>
        </w:rPr>
        <w:t>（</w:t>
      </w:r>
      <w:r>
        <w:rPr>
          <w:rFonts w:hint="eastAsia" w:hAnsi="仿宋_GB2312" w:eastAsia="仿宋_GB2312"/>
          <w:sz w:val="32"/>
          <w:szCs w:val="32"/>
          <w:highlight w:val="none"/>
          <w:lang w:val="en-US" w:eastAsia="zh-CN"/>
        </w:rPr>
        <w:t>九</w:t>
      </w:r>
      <w:r>
        <w:rPr>
          <w:rFonts w:hint="eastAsia" w:hAnsi="仿宋_GB2312" w:eastAsia="仿宋_GB2312"/>
          <w:sz w:val="32"/>
          <w:szCs w:val="32"/>
          <w:highlight w:val="none"/>
          <w:lang w:eastAsia="zh-CN"/>
        </w:rPr>
        <w:t>）</w:t>
      </w:r>
      <w:r>
        <w:rPr>
          <w:rFonts w:hAnsi="仿宋_GB2312" w:eastAsia="仿宋_GB2312"/>
          <w:sz w:val="32"/>
          <w:szCs w:val="32"/>
          <w:highlight w:val="none"/>
        </w:rPr>
        <w:t>工资福利（政府预算）</w:t>
      </w:r>
    </w:p>
    <w:p w14:paraId="018C9EC8">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（十）工资福利</w:t>
      </w:r>
    </w:p>
    <w:p w14:paraId="43B1B974">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（十一）个人家庭</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613030F8">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（十二）个人家庭</w:t>
      </w:r>
    </w:p>
    <w:p w14:paraId="614D8CC3">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（十三）商品服务</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7A23CD67">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（十四）商品服务</w:t>
      </w:r>
    </w:p>
    <w:p w14:paraId="68617E79">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（十五）</w:t>
      </w:r>
      <w:r>
        <w:rPr>
          <w:rFonts w:hint="eastAsia" w:hAnsi="仿宋_GB2312" w:eastAsia="仿宋_GB2312"/>
          <w:sz w:val="32"/>
          <w:szCs w:val="32"/>
          <w:highlight w:val="none"/>
        </w:rPr>
        <w:t>一般公共预算“三公”经费支出情况表</w:t>
      </w:r>
    </w:p>
    <w:p w14:paraId="3271D0DB">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（十六）</w:t>
      </w:r>
      <w:r>
        <w:rPr>
          <w:rFonts w:hint="eastAsia" w:hAnsi="仿宋_GB2312" w:eastAsia="仿宋_GB2312"/>
          <w:sz w:val="32"/>
          <w:szCs w:val="32"/>
          <w:highlight w:val="none"/>
        </w:rPr>
        <w:t>政府性基金预算支出情况表</w:t>
      </w:r>
    </w:p>
    <w:p w14:paraId="663BDFD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（十七）政府性基金</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68603167">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（十八）政府性基金</w:t>
      </w:r>
      <w:r>
        <w:rPr>
          <w:rFonts w:eastAsia="仿宋_GB2312"/>
          <w:sz w:val="32"/>
          <w:szCs w:val="32"/>
          <w:highlight w:val="none"/>
        </w:rPr>
        <w:t>(</w:t>
      </w:r>
      <w:r>
        <w:rPr>
          <w:rFonts w:hAnsi="仿宋_GB2312" w:eastAsia="仿宋_GB2312"/>
          <w:sz w:val="32"/>
          <w:szCs w:val="32"/>
          <w:highlight w:val="none"/>
        </w:rPr>
        <w:t>部门预算</w:t>
      </w:r>
      <w:r>
        <w:rPr>
          <w:rFonts w:eastAsia="仿宋_GB2312"/>
          <w:sz w:val="32"/>
          <w:szCs w:val="32"/>
          <w:highlight w:val="none"/>
        </w:rPr>
        <w:t>)</w:t>
      </w:r>
    </w:p>
    <w:p w14:paraId="34D8B0AF">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（十九）国有资本经营预算</w:t>
      </w:r>
    </w:p>
    <w:p w14:paraId="10B3F9A1">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（二十）财政专户管理资金</w:t>
      </w:r>
    </w:p>
    <w:p w14:paraId="3657DCB7">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（二十一）专项清单</w:t>
      </w:r>
    </w:p>
    <w:p w14:paraId="273F924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（二十二）项目支出绩效目标表</w:t>
      </w:r>
    </w:p>
    <w:p w14:paraId="5DC9F972">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w:t>
      </w:r>
      <w:r>
        <w:rPr>
          <w:rFonts w:hint="eastAsia" w:hAnsi="仿宋_GB2312" w:eastAsia="仿宋_GB2312"/>
          <w:sz w:val="32"/>
          <w:szCs w:val="32"/>
          <w:highlight w:val="none"/>
          <w:lang w:val="en-US" w:eastAsia="zh-CN"/>
        </w:rPr>
        <w:t>三</w:t>
      </w:r>
      <w:r>
        <w:rPr>
          <w:rFonts w:hAnsi="仿宋_GB2312" w:eastAsia="仿宋_GB2312"/>
          <w:sz w:val="32"/>
          <w:szCs w:val="32"/>
          <w:highlight w:val="none"/>
        </w:rPr>
        <w:t>）整体支出绩效目标表</w:t>
      </w:r>
      <w:r>
        <w:rPr>
          <w:rFonts w:eastAsia="仿宋_GB2312"/>
          <w:sz w:val="32"/>
          <w:szCs w:val="32"/>
          <w:highlight w:val="none"/>
        </w:rPr>
        <w:t xml:space="preserve"> </w:t>
      </w:r>
    </w:p>
    <w:p w14:paraId="23A8DD34">
      <w:pPr>
        <w:tabs>
          <w:tab w:val="left" w:pos="7560"/>
        </w:tabs>
        <w:adjustRightInd w:val="0"/>
        <w:snapToGrid w:val="0"/>
        <w:spacing w:line="560" w:lineRule="exact"/>
        <w:ind w:firstLine="640" w:firstLineChars="200"/>
        <w:jc w:val="left"/>
        <w:rPr>
          <w:rFonts w:eastAsia="仿宋_GB2312"/>
          <w:sz w:val="32"/>
          <w:szCs w:val="32"/>
          <w:highlight w:val="none"/>
        </w:rPr>
      </w:pPr>
      <w:r>
        <w:rPr>
          <w:rFonts w:hint="eastAsia" w:ascii="仿宋_GB2312" w:hAnsi="Calibri" w:eastAsia="仿宋_GB2312" w:cs="Times New Roman"/>
          <w:kern w:val="2"/>
          <w:sz w:val="32"/>
          <w:szCs w:val="32"/>
          <w:highlight w:val="none"/>
          <w:lang w:val="en-US" w:eastAsia="zh-CN" w:bidi="ar-SA"/>
        </w:rPr>
        <w:t>（注：本套报</w:t>
      </w:r>
      <w:r>
        <w:rPr>
          <w:rFonts w:hint="eastAsia" w:hAnsi="仿宋_GB2312" w:eastAsia="仿宋_GB2312"/>
          <w:sz w:val="32"/>
          <w:szCs w:val="32"/>
          <w:highlight w:val="none"/>
          <w:lang w:val="en-US" w:eastAsia="zh-CN"/>
        </w:rPr>
        <w:t>表金额单位转换时可能存在尾数误差）</w:t>
      </w:r>
      <w:r>
        <w:rPr>
          <w:rFonts w:eastAsia="仿宋_GB2312"/>
          <w:sz w:val="32"/>
          <w:szCs w:val="32"/>
          <w:highlight w:val="none"/>
        </w:rPr>
        <w:t xml:space="preserve"> </w:t>
      </w:r>
    </w:p>
    <w:p w14:paraId="21F023AE">
      <w:pPr>
        <w:tabs>
          <w:tab w:val="left" w:pos="7560"/>
        </w:tabs>
        <w:adjustRightInd w:val="0"/>
        <w:snapToGrid w:val="0"/>
        <w:spacing w:line="560" w:lineRule="exact"/>
        <w:jc w:val="left"/>
        <w:rPr>
          <w:rFonts w:eastAsia="黑体"/>
          <w:sz w:val="32"/>
          <w:szCs w:val="32"/>
          <w:highlight w:val="none"/>
        </w:rPr>
        <w:sectPr>
          <w:headerReference r:id="rId3" w:type="default"/>
          <w:footerReference r:id="rId4" w:type="default"/>
          <w:footerReference r:id="rId5" w:type="even"/>
          <w:pgSz w:w="11906" w:h="16838"/>
          <w:pgMar w:top="2098" w:right="1531" w:bottom="1985" w:left="1531" w:header="851" w:footer="1588" w:gutter="0"/>
          <w:cols w:space="720" w:num="1"/>
          <w:titlePg/>
          <w:docGrid w:linePitch="312" w:charSpace="0"/>
        </w:sectPr>
      </w:pPr>
    </w:p>
    <w:p w14:paraId="1DA145BE">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第一部分：</w:t>
      </w:r>
    </w:p>
    <w:p w14:paraId="21C6742F">
      <w:pPr>
        <w:tabs>
          <w:tab w:val="left" w:pos="7560"/>
        </w:tabs>
        <w:adjustRightInd w:val="0"/>
        <w:snapToGrid w:val="0"/>
        <w:spacing w:line="560" w:lineRule="exact"/>
        <w:rPr>
          <w:rFonts w:eastAsia="方正小标宋简体"/>
          <w:bCs/>
          <w:sz w:val="44"/>
          <w:szCs w:val="44"/>
          <w:highlight w:val="none"/>
        </w:rPr>
      </w:pPr>
    </w:p>
    <w:p w14:paraId="743751AE">
      <w:pPr>
        <w:tabs>
          <w:tab w:val="left" w:pos="7560"/>
        </w:tabs>
        <w:adjustRightInd w:val="0"/>
        <w:snapToGrid w:val="0"/>
        <w:spacing w:line="560" w:lineRule="exact"/>
        <w:jc w:val="center"/>
        <w:rPr>
          <w:rFonts w:hint="eastAsia" w:eastAsia="方正小标宋简体"/>
          <w:bCs/>
          <w:color w:val="000000"/>
          <w:sz w:val="44"/>
          <w:szCs w:val="44"/>
          <w:highlight w:val="none"/>
          <w:lang w:val="en-US" w:eastAsia="zh-CN"/>
        </w:rPr>
      </w:pPr>
      <w:r>
        <w:rPr>
          <w:rFonts w:hint="eastAsia" w:eastAsia="方正小标宋简体"/>
          <w:bCs/>
          <w:sz w:val="44"/>
          <w:szCs w:val="44"/>
          <w:highlight w:val="none"/>
          <w:lang w:eastAsia="zh-CN"/>
        </w:rPr>
        <w:t>醴陵市</w:t>
      </w:r>
      <w:r>
        <w:rPr>
          <w:rFonts w:hint="eastAsia" w:eastAsia="方正小标宋简体"/>
          <w:bCs/>
          <w:color w:val="000000"/>
          <w:sz w:val="44"/>
          <w:szCs w:val="44"/>
          <w:highlight w:val="none"/>
          <w:lang w:val="en-US" w:eastAsia="zh-CN"/>
        </w:rPr>
        <w:t>军队离休退休干部休养所</w:t>
      </w:r>
    </w:p>
    <w:p w14:paraId="2E8B2DA8">
      <w:pPr>
        <w:tabs>
          <w:tab w:val="left" w:pos="7560"/>
        </w:tabs>
        <w:adjustRightInd w:val="0"/>
        <w:snapToGrid w:val="0"/>
        <w:spacing w:line="560" w:lineRule="exact"/>
        <w:jc w:val="center"/>
        <w:rPr>
          <w:rFonts w:eastAsia="黑体"/>
          <w:sz w:val="32"/>
          <w:szCs w:val="32"/>
          <w:highlight w:val="none"/>
        </w:rPr>
      </w:pPr>
      <w:r>
        <w:rPr>
          <w:rFonts w:eastAsia="方正小标宋简体"/>
          <w:bCs/>
          <w:sz w:val="44"/>
          <w:szCs w:val="44"/>
          <w:highlight w:val="none"/>
        </w:rPr>
        <w:t>2023年部门预算说明</w:t>
      </w:r>
    </w:p>
    <w:p w14:paraId="249754D3">
      <w:pPr>
        <w:tabs>
          <w:tab w:val="left" w:pos="7560"/>
        </w:tabs>
        <w:adjustRightInd w:val="0"/>
        <w:snapToGrid w:val="0"/>
        <w:spacing w:line="560" w:lineRule="exact"/>
        <w:ind w:firstLine="640" w:firstLineChars="200"/>
        <w:rPr>
          <w:rFonts w:eastAsia="黑体"/>
          <w:sz w:val="32"/>
          <w:szCs w:val="32"/>
          <w:highlight w:val="none"/>
        </w:rPr>
      </w:pPr>
    </w:p>
    <w:p w14:paraId="58ACC26B">
      <w:pPr>
        <w:numPr>
          <w:ilvl w:val="0"/>
          <w:numId w:val="1"/>
        </w:numPr>
        <w:spacing w:line="560" w:lineRule="exact"/>
        <w:ind w:left="0" w:firstLine="627" w:firstLineChars="196"/>
        <w:rPr>
          <w:rFonts w:eastAsia="黑体"/>
          <w:sz w:val="32"/>
          <w:szCs w:val="32"/>
          <w:highlight w:val="none"/>
        </w:rPr>
      </w:pPr>
      <w:r>
        <w:rPr>
          <w:rFonts w:eastAsia="黑体"/>
          <w:sz w:val="32"/>
          <w:szCs w:val="32"/>
          <w:highlight w:val="none"/>
        </w:rPr>
        <w:t>部门职能职</w:t>
      </w:r>
    </w:p>
    <w:p w14:paraId="432A1D56">
      <w:pPr>
        <w:spacing w:line="560" w:lineRule="exact"/>
        <w:ind w:left="0" w:firstLine="640" w:firstLineChars="200"/>
        <w:rPr>
          <w:rFonts w:hint="eastAsia" w:ascii="仿宋" w:hAnsi="仿宋" w:eastAsia="仿宋"/>
          <w:sz w:val="32"/>
          <w:highlight w:val="none"/>
        </w:rPr>
      </w:pPr>
      <w:r>
        <w:rPr>
          <w:rFonts w:hint="eastAsia" w:ascii="仿宋" w:hAnsi="仿宋" w:eastAsia="仿宋"/>
          <w:sz w:val="32"/>
          <w:highlight w:val="none"/>
        </w:rPr>
        <w:t>负责全市军队转业干部、复员干部、离休退休干部、退役士兵和无军籍退休退职职工的移交安置工作。</w:t>
      </w:r>
    </w:p>
    <w:p w14:paraId="5A21C401">
      <w:pPr>
        <w:spacing w:line="560" w:lineRule="exact"/>
        <w:ind w:firstLine="627" w:firstLineChars="196"/>
        <w:rPr>
          <w:rFonts w:ascii="仿宋" w:hAnsi="仿宋" w:eastAsia="仿宋"/>
          <w:sz w:val="32"/>
          <w:highlight w:val="none"/>
        </w:rPr>
      </w:pPr>
      <w:r>
        <w:rPr>
          <w:rFonts w:hint="eastAsia" w:ascii="仿宋" w:hAnsi="仿宋" w:eastAsia="仿宋"/>
          <w:sz w:val="32"/>
          <w:highlight w:val="none"/>
        </w:rPr>
        <w:t>组织协调落实全市移交地方的离休退休军人、符合条件的其他退役军人和无军籍退休退职职工的住房保障工作，以及退役军人医疗保障、社会保险等待遇保障工作。</w:t>
      </w:r>
    </w:p>
    <w:p w14:paraId="009E880C">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二、机构设置</w:t>
      </w:r>
    </w:p>
    <w:p w14:paraId="5C5842B5">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共有编制数</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人，实有人数</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人；内设</w:t>
      </w:r>
      <w:r>
        <w:rPr>
          <w:rFonts w:hint="eastAsia" w:ascii="仿宋" w:hAnsi="仿宋" w:eastAsia="仿宋" w:cs="仿宋"/>
          <w:sz w:val="32"/>
          <w:szCs w:val="32"/>
          <w:highlight w:val="none"/>
          <w:lang w:val="en-US" w:eastAsia="zh-CN"/>
        </w:rPr>
        <w:t>部门3</w:t>
      </w:r>
      <w:r>
        <w:rPr>
          <w:rFonts w:hint="eastAsia" w:ascii="仿宋" w:hAnsi="仿宋" w:eastAsia="仿宋" w:cs="仿宋"/>
          <w:sz w:val="32"/>
          <w:szCs w:val="32"/>
          <w:highlight w:val="none"/>
        </w:rPr>
        <w:t>个，分别为：办公室、</w:t>
      </w:r>
      <w:r>
        <w:rPr>
          <w:rFonts w:hint="eastAsia" w:ascii="仿宋" w:hAnsi="仿宋" w:eastAsia="仿宋" w:cs="仿宋"/>
          <w:sz w:val="32"/>
          <w:szCs w:val="32"/>
          <w:highlight w:val="none"/>
          <w:lang w:val="en-US" w:eastAsia="zh-CN"/>
        </w:rPr>
        <w:t>财务室</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接待室</w:t>
      </w:r>
      <w:r>
        <w:rPr>
          <w:rFonts w:hint="eastAsia" w:ascii="仿宋" w:hAnsi="仿宋" w:eastAsia="仿宋" w:cs="仿宋"/>
          <w:sz w:val="32"/>
          <w:szCs w:val="32"/>
          <w:highlight w:val="none"/>
          <w:lang w:eastAsia="zh-CN"/>
        </w:rPr>
        <w:t>。</w:t>
      </w:r>
    </w:p>
    <w:p w14:paraId="70B6BE0A">
      <w:pPr>
        <w:numPr>
          <w:ilvl w:val="0"/>
          <w:numId w:val="2"/>
        </w:numPr>
        <w:spacing w:line="560" w:lineRule="exact"/>
        <w:ind w:left="720" w:firstLine="0"/>
        <w:rPr>
          <w:rFonts w:eastAsia="黑体"/>
          <w:sz w:val="32"/>
          <w:szCs w:val="32"/>
          <w:highlight w:val="none"/>
        </w:rPr>
      </w:pPr>
      <w:r>
        <w:rPr>
          <w:rFonts w:eastAsia="黑体"/>
          <w:sz w:val="32"/>
          <w:szCs w:val="32"/>
          <w:highlight w:val="none"/>
        </w:rPr>
        <w:t>部门预算单位构成</w:t>
      </w:r>
    </w:p>
    <w:p w14:paraId="43FD56BC">
      <w:p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纳入本部门</w:t>
      </w:r>
      <w:r>
        <w:rPr>
          <w:rFonts w:hint="eastAsia" w:ascii="仿宋" w:hAnsi="仿宋" w:eastAsia="仿宋" w:cs="仿宋"/>
          <w:color w:val="000000"/>
          <w:sz w:val="32"/>
          <w:szCs w:val="32"/>
          <w:highlight w:val="none"/>
          <w:lang w:val="en-US" w:eastAsia="zh-CN"/>
        </w:rPr>
        <w:t>2023年部门预算编制范围的预算单位包括醴陵市军队离休退休干部休养所本级，本部门无下属预算单位</w:t>
      </w:r>
      <w:r>
        <w:rPr>
          <w:rFonts w:hint="eastAsia" w:ascii="仿宋" w:hAnsi="仿宋" w:eastAsia="仿宋" w:cs="仿宋"/>
          <w:color w:val="000000"/>
          <w:sz w:val="32"/>
          <w:szCs w:val="32"/>
          <w:highlight w:val="none"/>
          <w:lang w:eastAsia="zh-CN"/>
        </w:rPr>
        <w:t>。</w:t>
      </w:r>
    </w:p>
    <w:p w14:paraId="60A4935F">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四、 部门收支总体情况</w:t>
      </w:r>
    </w:p>
    <w:p w14:paraId="2115788C">
      <w:pPr>
        <w:spacing w:line="560" w:lineRule="exact"/>
        <w:ind w:firstLine="640" w:firstLineChars="200"/>
        <w:rPr>
          <w:rFonts w:eastAsia="仿宋_GB2312"/>
          <w:sz w:val="32"/>
          <w:szCs w:val="32"/>
          <w:highlight w:val="none"/>
        </w:rPr>
      </w:pP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年部门预算编报范围</w:t>
      </w:r>
      <w:r>
        <w:rPr>
          <w:rFonts w:hint="eastAsia" w:ascii="仿宋" w:hAnsi="仿宋" w:eastAsia="仿宋" w:cs="仿宋"/>
          <w:color w:val="000000"/>
          <w:sz w:val="32"/>
          <w:szCs w:val="32"/>
          <w:highlight w:val="none"/>
          <w:lang w:val="en-US" w:eastAsia="zh-CN"/>
        </w:rPr>
        <w:t>为军队离休退休干部休养所</w:t>
      </w:r>
      <w:r>
        <w:rPr>
          <w:rFonts w:hint="eastAsia" w:ascii="仿宋" w:hAnsi="仿宋" w:eastAsia="仿宋" w:cs="仿宋"/>
          <w:color w:val="000000"/>
          <w:sz w:val="32"/>
          <w:szCs w:val="32"/>
          <w:highlight w:val="none"/>
        </w:rPr>
        <w:t>。收入包括一般公共预算收入；支出既包括保障单位基本运行的经费，也包括归口管理、面向全市分配的专项经费。</w:t>
      </w:r>
      <w:r>
        <w:rPr>
          <w:rFonts w:eastAsia="仿宋_GB2312"/>
          <w:sz w:val="32"/>
          <w:szCs w:val="32"/>
          <w:highlight w:val="none"/>
        </w:rPr>
        <w:t>（详见附表）</w:t>
      </w:r>
    </w:p>
    <w:p w14:paraId="2F5A3572">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（一）收入预算</w:t>
      </w:r>
      <w:r>
        <w:rPr>
          <w:rFonts w:eastAsia="楷体_GB2312"/>
          <w:sz w:val="32"/>
          <w:szCs w:val="32"/>
          <w:highlight w:val="none"/>
        </w:rPr>
        <w:t>：</w:t>
      </w:r>
      <w:r>
        <w:rPr>
          <w:rFonts w:eastAsia="仿宋_GB2312"/>
          <w:sz w:val="32"/>
          <w:szCs w:val="32"/>
          <w:highlight w:val="none"/>
        </w:rPr>
        <w:t>2023年年初预算数</w:t>
      </w:r>
      <w:r>
        <w:rPr>
          <w:rFonts w:hint="eastAsia" w:eastAsia="仿宋_GB2312"/>
          <w:sz w:val="32"/>
          <w:szCs w:val="32"/>
          <w:highlight w:val="none"/>
          <w:lang w:val="en-US" w:eastAsia="zh-CN"/>
        </w:rPr>
        <w:t>513.12</w:t>
      </w:r>
      <w:r>
        <w:rPr>
          <w:rFonts w:eastAsia="仿宋_GB2312"/>
          <w:sz w:val="32"/>
          <w:szCs w:val="32"/>
          <w:highlight w:val="none"/>
        </w:rPr>
        <w:t>万元，其中，一般公共预算拨款</w:t>
      </w:r>
      <w:r>
        <w:rPr>
          <w:rFonts w:hint="eastAsia" w:eastAsia="仿宋_GB2312"/>
          <w:sz w:val="32"/>
          <w:szCs w:val="32"/>
          <w:highlight w:val="none"/>
          <w:lang w:val="en-US" w:eastAsia="zh-CN"/>
        </w:rPr>
        <w:t>513.12</w:t>
      </w:r>
      <w:r>
        <w:rPr>
          <w:rFonts w:eastAsia="仿宋_GB2312"/>
          <w:sz w:val="32"/>
          <w:szCs w:val="32"/>
          <w:highlight w:val="none"/>
        </w:rPr>
        <w:t>万元；政府性基金拨款</w:t>
      </w:r>
      <w:r>
        <w:rPr>
          <w:rFonts w:hint="eastAsia" w:eastAsia="仿宋_GB2312"/>
          <w:sz w:val="32"/>
          <w:szCs w:val="32"/>
          <w:highlight w:val="none"/>
          <w:lang w:val="en-US" w:eastAsia="zh-CN"/>
        </w:rPr>
        <w:t>0</w:t>
      </w:r>
      <w:r>
        <w:rPr>
          <w:rFonts w:eastAsia="仿宋_GB2312"/>
          <w:sz w:val="32"/>
          <w:szCs w:val="32"/>
          <w:highlight w:val="none"/>
        </w:rPr>
        <w:t>万元；财政专户管理的非税收入拨款</w:t>
      </w:r>
      <w:r>
        <w:rPr>
          <w:rFonts w:hint="eastAsia" w:eastAsia="仿宋_GB2312"/>
          <w:sz w:val="32"/>
          <w:szCs w:val="32"/>
          <w:highlight w:val="none"/>
          <w:lang w:val="en-US" w:eastAsia="zh-CN"/>
        </w:rPr>
        <w:t>0</w:t>
      </w:r>
      <w:r>
        <w:rPr>
          <w:rFonts w:eastAsia="仿宋_GB2312"/>
          <w:sz w:val="32"/>
          <w:szCs w:val="32"/>
          <w:highlight w:val="none"/>
        </w:rPr>
        <w:t>万元；上级财政补助收入</w:t>
      </w:r>
      <w:r>
        <w:rPr>
          <w:rFonts w:hint="eastAsia" w:eastAsia="仿宋_GB2312"/>
          <w:sz w:val="32"/>
          <w:szCs w:val="32"/>
          <w:highlight w:val="none"/>
          <w:lang w:val="en-US" w:eastAsia="zh-CN"/>
        </w:rPr>
        <w:t>0</w:t>
      </w:r>
      <w:r>
        <w:rPr>
          <w:rFonts w:eastAsia="仿宋_GB2312"/>
          <w:sz w:val="32"/>
          <w:szCs w:val="32"/>
          <w:highlight w:val="none"/>
        </w:rPr>
        <w:t>万元。因上年结转数暂未最终确定，本年度收支预算中均不含上年结转数字。</w:t>
      </w:r>
    </w:p>
    <w:p w14:paraId="0739B618">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（二）支出预算：</w:t>
      </w:r>
      <w:r>
        <w:rPr>
          <w:rFonts w:eastAsia="仿宋_GB2312"/>
          <w:sz w:val="32"/>
          <w:szCs w:val="32"/>
          <w:highlight w:val="none"/>
        </w:rPr>
        <w:t>2023年年初预算数</w:t>
      </w:r>
      <w:r>
        <w:rPr>
          <w:rFonts w:hint="eastAsia" w:eastAsia="仿宋_GB2312"/>
          <w:sz w:val="32"/>
          <w:szCs w:val="32"/>
          <w:highlight w:val="none"/>
          <w:lang w:val="en-US" w:eastAsia="zh-CN"/>
        </w:rPr>
        <w:t>513.12</w:t>
      </w:r>
      <w:r>
        <w:rPr>
          <w:rFonts w:eastAsia="仿宋_GB2312"/>
          <w:sz w:val="32"/>
          <w:szCs w:val="32"/>
          <w:highlight w:val="none"/>
        </w:rPr>
        <w:t>万元，其中，一般公共服务支出</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社会保障和就业支出</w:t>
      </w:r>
      <w:r>
        <w:rPr>
          <w:rFonts w:hint="eastAsia" w:eastAsia="仿宋_GB2312"/>
          <w:sz w:val="32"/>
          <w:szCs w:val="32"/>
          <w:highlight w:val="none"/>
          <w:lang w:val="en-US" w:eastAsia="zh-CN"/>
        </w:rPr>
        <w:t>506.42</w:t>
      </w:r>
      <w:r>
        <w:rPr>
          <w:rFonts w:eastAsia="仿宋_GB2312"/>
          <w:sz w:val="32"/>
          <w:szCs w:val="32"/>
          <w:highlight w:val="none"/>
        </w:rPr>
        <w:t>万元；卫生健康支出</w:t>
      </w:r>
      <w:r>
        <w:rPr>
          <w:rFonts w:hint="eastAsia" w:eastAsia="仿宋_GB2312"/>
          <w:sz w:val="32"/>
          <w:szCs w:val="32"/>
          <w:highlight w:val="none"/>
          <w:lang w:val="en-US" w:eastAsia="zh-CN"/>
        </w:rPr>
        <w:t>1.78</w:t>
      </w:r>
      <w:r>
        <w:rPr>
          <w:rFonts w:eastAsia="仿宋_GB2312"/>
          <w:sz w:val="32"/>
          <w:szCs w:val="32"/>
          <w:highlight w:val="none"/>
        </w:rPr>
        <w:t>万元</w:t>
      </w:r>
      <w:r>
        <w:rPr>
          <w:rFonts w:hint="eastAsia" w:eastAsia="仿宋_GB2312"/>
          <w:sz w:val="32"/>
          <w:szCs w:val="32"/>
          <w:highlight w:val="none"/>
        </w:rPr>
        <w:t>；住房保障支出</w:t>
      </w:r>
      <w:r>
        <w:rPr>
          <w:rFonts w:hint="eastAsia" w:eastAsia="仿宋_GB2312"/>
          <w:sz w:val="32"/>
          <w:szCs w:val="32"/>
          <w:highlight w:val="none"/>
          <w:lang w:val="en-US" w:eastAsia="zh-CN"/>
        </w:rPr>
        <w:t>4.91</w:t>
      </w:r>
      <w:r>
        <w:rPr>
          <w:rFonts w:hint="eastAsia" w:eastAsia="仿宋_GB2312"/>
          <w:sz w:val="32"/>
          <w:szCs w:val="32"/>
          <w:highlight w:val="none"/>
        </w:rPr>
        <w:t>万元</w:t>
      </w:r>
      <w:r>
        <w:rPr>
          <w:rFonts w:eastAsia="仿宋_GB2312"/>
          <w:sz w:val="32"/>
          <w:szCs w:val="32"/>
          <w:highlight w:val="none"/>
        </w:rPr>
        <w:t>。</w:t>
      </w:r>
    </w:p>
    <w:p w14:paraId="7D3F01B4">
      <w:pPr>
        <w:tabs>
          <w:tab w:val="left" w:pos="7560"/>
        </w:tabs>
        <w:adjustRightInd w:val="0"/>
        <w:snapToGrid w:val="0"/>
        <w:spacing w:line="560" w:lineRule="exact"/>
        <w:ind w:firstLine="643" w:firstLineChars="200"/>
        <w:jc w:val="left"/>
        <w:rPr>
          <w:rFonts w:eastAsia="仿宋_GB2312"/>
          <w:color w:val="000000"/>
          <w:sz w:val="32"/>
          <w:szCs w:val="32"/>
          <w:highlight w:val="none"/>
        </w:rPr>
      </w:pPr>
      <w:r>
        <w:rPr>
          <w:rFonts w:eastAsia="仿宋_GB2312"/>
          <w:b/>
          <w:color w:val="000000"/>
          <w:sz w:val="32"/>
          <w:szCs w:val="32"/>
          <w:highlight w:val="none"/>
        </w:rPr>
        <w:t>1.基本支出：</w:t>
      </w:r>
      <w:r>
        <w:rPr>
          <w:rFonts w:eastAsia="仿宋_GB2312"/>
          <w:color w:val="000000"/>
          <w:sz w:val="32"/>
          <w:szCs w:val="32"/>
          <w:highlight w:val="none"/>
        </w:rPr>
        <w:t>2023年年初预算数为</w:t>
      </w:r>
      <w:r>
        <w:rPr>
          <w:rFonts w:hint="eastAsia" w:eastAsia="仿宋_GB2312"/>
          <w:color w:val="000000"/>
          <w:sz w:val="32"/>
          <w:szCs w:val="32"/>
          <w:highlight w:val="none"/>
          <w:lang w:val="en-US" w:eastAsia="zh-CN"/>
        </w:rPr>
        <w:t>47.52</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万元，是指为保障单位机构正常运转、完成日常工作任务而发生的各项支出，包括用于基本工资、津贴补贴等人员经费以及日常公用经费、业务性商品和服务支出。其中包括基本工资</w:t>
      </w:r>
      <w:r>
        <w:rPr>
          <w:rFonts w:hint="eastAsia" w:eastAsia="仿宋_GB2312"/>
          <w:color w:val="000000"/>
          <w:sz w:val="32"/>
          <w:szCs w:val="32"/>
          <w:highlight w:val="none"/>
          <w:lang w:val="en-US" w:eastAsia="zh-CN"/>
        </w:rPr>
        <w:t>15.63</w:t>
      </w:r>
      <w:r>
        <w:rPr>
          <w:rFonts w:eastAsia="仿宋_GB2312"/>
          <w:color w:val="000000"/>
          <w:sz w:val="32"/>
          <w:szCs w:val="32"/>
          <w:highlight w:val="none"/>
        </w:rPr>
        <w:t>万元、津贴补贴</w:t>
      </w:r>
      <w:r>
        <w:rPr>
          <w:rFonts w:hint="eastAsia" w:eastAsia="仿宋_GB2312"/>
          <w:color w:val="000000"/>
          <w:sz w:val="32"/>
          <w:szCs w:val="32"/>
          <w:highlight w:val="none"/>
          <w:lang w:val="en-US" w:eastAsia="zh-CN"/>
        </w:rPr>
        <w:t>10.98</w:t>
      </w:r>
      <w:r>
        <w:rPr>
          <w:rFonts w:eastAsia="仿宋_GB2312"/>
          <w:color w:val="000000"/>
          <w:sz w:val="32"/>
          <w:szCs w:val="32"/>
          <w:highlight w:val="none"/>
        </w:rPr>
        <w:t>万元、奖金</w:t>
      </w:r>
      <w:r>
        <w:rPr>
          <w:rFonts w:hint="eastAsia" w:eastAsia="仿宋_GB2312"/>
          <w:color w:val="000000"/>
          <w:sz w:val="32"/>
          <w:szCs w:val="32"/>
          <w:highlight w:val="none"/>
          <w:lang w:val="en-US" w:eastAsia="zh-CN"/>
        </w:rPr>
        <w:t>8.59</w:t>
      </w:r>
      <w:r>
        <w:rPr>
          <w:rFonts w:eastAsia="仿宋_GB2312"/>
          <w:color w:val="000000"/>
          <w:sz w:val="32"/>
          <w:szCs w:val="32"/>
          <w:highlight w:val="none"/>
        </w:rPr>
        <w:t>万元、</w:t>
      </w:r>
      <w:r>
        <w:rPr>
          <w:rFonts w:hint="eastAsia" w:eastAsia="仿宋_GB2312"/>
          <w:color w:val="000000"/>
          <w:sz w:val="32"/>
          <w:szCs w:val="32"/>
          <w:highlight w:val="none"/>
          <w:lang w:eastAsia="zh-CN"/>
        </w:rPr>
        <w:t>社会保障缴费</w:t>
      </w:r>
      <w:r>
        <w:rPr>
          <w:rFonts w:hint="eastAsia" w:eastAsia="仿宋_GB2312"/>
          <w:color w:val="000000"/>
          <w:sz w:val="32"/>
          <w:szCs w:val="32"/>
          <w:highlight w:val="none"/>
          <w:lang w:val="en-US" w:eastAsia="zh-CN"/>
        </w:rPr>
        <w:t>12.32</w:t>
      </w:r>
      <w:r>
        <w:rPr>
          <w:rFonts w:eastAsia="仿宋_GB2312"/>
          <w:color w:val="000000"/>
          <w:sz w:val="32"/>
          <w:szCs w:val="32"/>
          <w:highlight w:val="none"/>
        </w:rPr>
        <w:t>万元等。</w:t>
      </w:r>
    </w:p>
    <w:p w14:paraId="11340948">
      <w:pPr>
        <w:tabs>
          <w:tab w:val="left" w:pos="7560"/>
        </w:tabs>
        <w:adjustRightInd w:val="0"/>
        <w:snapToGrid w:val="0"/>
        <w:spacing w:line="560" w:lineRule="exact"/>
        <w:ind w:firstLine="643" w:firstLineChars="200"/>
        <w:rPr>
          <w:rFonts w:eastAsia="仿宋_GB2312"/>
          <w:color w:val="000000"/>
          <w:sz w:val="32"/>
          <w:szCs w:val="32"/>
          <w:highlight w:val="none"/>
        </w:rPr>
      </w:pPr>
      <w:r>
        <w:rPr>
          <w:rFonts w:eastAsia="仿宋_GB2312"/>
          <w:b/>
          <w:color w:val="000000"/>
          <w:sz w:val="32"/>
          <w:szCs w:val="32"/>
          <w:highlight w:val="none"/>
        </w:rPr>
        <w:t>2.项目支出：</w:t>
      </w:r>
      <w:r>
        <w:rPr>
          <w:rFonts w:hint="eastAsia" w:eastAsia="仿宋_GB2312"/>
          <w:color w:val="000000"/>
          <w:sz w:val="32"/>
          <w:szCs w:val="32"/>
          <w:highlight w:val="none"/>
        </w:rPr>
        <w:t>2023</w:t>
      </w:r>
      <w:r>
        <w:rPr>
          <w:rFonts w:eastAsia="仿宋_GB2312"/>
          <w:color w:val="000000"/>
          <w:sz w:val="32"/>
          <w:szCs w:val="32"/>
          <w:highlight w:val="none"/>
        </w:rPr>
        <w:t>年年初预算数为</w:t>
      </w:r>
      <w:r>
        <w:rPr>
          <w:rFonts w:hint="eastAsia" w:eastAsia="仿宋_GB2312"/>
          <w:color w:val="000000"/>
          <w:sz w:val="32"/>
          <w:szCs w:val="32"/>
          <w:highlight w:val="none"/>
          <w:lang w:val="en-US" w:eastAsia="zh-CN"/>
        </w:rPr>
        <w:t>465.6</w:t>
      </w:r>
      <w:r>
        <w:rPr>
          <w:rFonts w:eastAsia="仿宋_GB2312"/>
          <w:color w:val="000000"/>
          <w:sz w:val="32"/>
          <w:szCs w:val="32"/>
          <w:highlight w:val="none"/>
        </w:rPr>
        <w:t>万元，是指单位为完成特定行政工作任务或事业发展目标而发生的支出，包括有关事业发展专项、基本建设支出、资本性支出等。其中：</w:t>
      </w:r>
    </w:p>
    <w:p w14:paraId="095F74E8">
      <w:pPr>
        <w:tabs>
          <w:tab w:val="left" w:pos="7560"/>
        </w:tabs>
        <w:adjustRightInd w:val="0"/>
        <w:snapToGrid w:val="0"/>
        <w:spacing w:line="560" w:lineRule="exact"/>
        <w:ind w:firstLine="640" w:firstLineChars="200"/>
        <w:rPr>
          <w:rFonts w:hint="eastAsia" w:eastAsia="仿宋_GB2312"/>
          <w:sz w:val="32"/>
          <w:szCs w:val="32"/>
          <w:highlight w:val="none"/>
          <w:lang w:eastAsia="zh-CN"/>
        </w:rPr>
      </w:pPr>
      <w:r>
        <w:rPr>
          <w:rFonts w:eastAsia="仿宋_GB2312"/>
          <w:sz w:val="32"/>
          <w:szCs w:val="32"/>
          <w:highlight w:val="none"/>
        </w:rPr>
        <w:t>（1）军休人员经费专项</w:t>
      </w:r>
      <w:r>
        <w:rPr>
          <w:rFonts w:hint="eastAsia" w:eastAsia="仿宋_GB2312"/>
          <w:sz w:val="32"/>
          <w:szCs w:val="32"/>
          <w:highlight w:val="none"/>
          <w:lang w:val="en-US" w:eastAsia="zh-CN"/>
        </w:rPr>
        <w:t>438</w:t>
      </w:r>
      <w:r>
        <w:rPr>
          <w:rFonts w:eastAsia="仿宋_GB2312"/>
          <w:sz w:val="32"/>
          <w:szCs w:val="32"/>
          <w:highlight w:val="none"/>
        </w:rPr>
        <w:t>万元。主要用于202</w:t>
      </w:r>
      <w:r>
        <w:rPr>
          <w:rFonts w:hint="eastAsia" w:eastAsia="仿宋_GB2312"/>
          <w:sz w:val="32"/>
          <w:szCs w:val="32"/>
          <w:highlight w:val="none"/>
          <w:lang w:val="en-US" w:eastAsia="zh-CN"/>
        </w:rPr>
        <w:t>3</w:t>
      </w:r>
      <w:r>
        <w:rPr>
          <w:rFonts w:eastAsia="仿宋_GB2312"/>
          <w:sz w:val="32"/>
          <w:szCs w:val="32"/>
          <w:highlight w:val="none"/>
        </w:rPr>
        <w:t>年度军休人员退休费及其他福利及开展活动费用</w:t>
      </w:r>
      <w:r>
        <w:rPr>
          <w:rFonts w:hint="eastAsia" w:eastAsia="仿宋_GB2312"/>
          <w:sz w:val="32"/>
          <w:szCs w:val="32"/>
          <w:highlight w:val="none"/>
          <w:lang w:eastAsia="zh-CN"/>
        </w:rPr>
        <w:t>。</w:t>
      </w:r>
    </w:p>
    <w:p w14:paraId="6482A711">
      <w:pPr>
        <w:tabs>
          <w:tab w:val="left" w:pos="7560"/>
        </w:tabs>
        <w:adjustRightInd w:val="0"/>
        <w:snapToGrid w:val="0"/>
        <w:spacing w:line="56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）军队移交政府离退休干部管理机构27.6万元</w:t>
      </w:r>
      <w:r>
        <w:rPr>
          <w:rFonts w:hint="eastAsia" w:eastAsia="仿宋_GB2312"/>
          <w:sz w:val="32"/>
          <w:szCs w:val="32"/>
          <w:highlight w:val="none"/>
          <w:lang w:val="en-US" w:eastAsia="zh-CN"/>
        </w:rPr>
        <w:t>。</w:t>
      </w:r>
    </w:p>
    <w:p w14:paraId="24E50C18">
      <w:pPr>
        <w:tabs>
          <w:tab w:val="left" w:pos="7560"/>
        </w:tabs>
        <w:adjustRightInd w:val="0"/>
        <w:snapToGrid w:val="0"/>
        <w:spacing w:line="560" w:lineRule="exact"/>
        <w:ind w:firstLine="640" w:firstLineChars="200"/>
        <w:rPr>
          <w:rFonts w:eastAsia="仿宋_GB2312"/>
          <w:color w:val="auto"/>
          <w:sz w:val="32"/>
          <w:szCs w:val="32"/>
          <w:highlight w:val="none"/>
        </w:rPr>
      </w:pPr>
      <w:r>
        <w:rPr>
          <w:rFonts w:eastAsia="楷体_GB2312"/>
          <w:bCs/>
          <w:sz w:val="32"/>
          <w:szCs w:val="32"/>
          <w:highlight w:val="none"/>
        </w:rPr>
        <w:t>（三）预算收支增减变化情况说明：</w:t>
      </w: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年度本部门年初预算数</w:t>
      </w:r>
      <w:r>
        <w:rPr>
          <w:rFonts w:hint="eastAsia" w:eastAsia="仿宋_GB2312"/>
          <w:sz w:val="32"/>
          <w:szCs w:val="32"/>
          <w:highlight w:val="none"/>
          <w:lang w:eastAsia="zh-CN"/>
        </w:rPr>
        <w:t>为</w:t>
      </w:r>
      <w:r>
        <w:rPr>
          <w:rFonts w:hint="eastAsia" w:eastAsia="仿宋_GB2312"/>
          <w:sz w:val="32"/>
          <w:szCs w:val="32"/>
          <w:highlight w:val="none"/>
          <w:lang w:val="en-US" w:eastAsia="zh-CN"/>
        </w:rPr>
        <w:t>513.12</w:t>
      </w:r>
      <w:r>
        <w:rPr>
          <w:rFonts w:eastAsia="仿宋_GB2312"/>
          <w:sz w:val="32"/>
          <w:szCs w:val="32"/>
          <w:highlight w:val="none"/>
        </w:rPr>
        <w:t>万元，比上年增加</w:t>
      </w:r>
      <w:r>
        <w:rPr>
          <w:rFonts w:hint="eastAsia" w:eastAsia="仿宋_GB2312"/>
          <w:sz w:val="32"/>
          <w:szCs w:val="32"/>
          <w:highlight w:val="none"/>
          <w:lang w:val="en-US" w:eastAsia="zh-CN"/>
        </w:rPr>
        <w:t>141.1</w:t>
      </w:r>
      <w:r>
        <w:rPr>
          <w:rFonts w:eastAsia="仿宋_GB2312"/>
          <w:sz w:val="32"/>
          <w:szCs w:val="32"/>
          <w:highlight w:val="none"/>
        </w:rPr>
        <w:t>万元，</w:t>
      </w:r>
      <w:r>
        <w:rPr>
          <w:rFonts w:eastAsia="仿宋_GB2312"/>
          <w:color w:val="auto"/>
          <w:sz w:val="32"/>
          <w:szCs w:val="32"/>
          <w:highlight w:val="none"/>
        </w:rPr>
        <w:t>主要原因是</w:t>
      </w:r>
      <w:r>
        <w:rPr>
          <w:rFonts w:hint="eastAsia" w:eastAsia="仿宋_GB2312"/>
          <w:color w:val="auto"/>
          <w:sz w:val="32"/>
          <w:szCs w:val="32"/>
          <w:highlight w:val="none"/>
          <w:lang w:eastAsia="zh-CN"/>
        </w:rPr>
        <w:t>基本支出</w:t>
      </w:r>
      <w:r>
        <w:rPr>
          <w:rFonts w:eastAsia="仿宋_GB2312"/>
          <w:color w:val="auto"/>
          <w:sz w:val="32"/>
          <w:szCs w:val="32"/>
          <w:highlight w:val="none"/>
        </w:rPr>
        <w:t>人员</w:t>
      </w:r>
      <w:r>
        <w:rPr>
          <w:rFonts w:hint="eastAsia" w:eastAsia="仿宋_GB2312"/>
          <w:color w:val="auto"/>
          <w:sz w:val="32"/>
          <w:szCs w:val="32"/>
          <w:highlight w:val="none"/>
          <w:lang w:eastAsia="zh-CN"/>
        </w:rPr>
        <w:t>经费中</w:t>
      </w:r>
      <w:r>
        <w:rPr>
          <w:rFonts w:eastAsia="仿宋_GB2312"/>
          <w:color w:val="auto"/>
          <w:sz w:val="32"/>
          <w:szCs w:val="32"/>
          <w:highlight w:val="none"/>
        </w:rPr>
        <w:t>增加</w:t>
      </w:r>
      <w:r>
        <w:rPr>
          <w:rFonts w:hint="eastAsia" w:eastAsia="仿宋_GB2312"/>
          <w:color w:val="auto"/>
          <w:sz w:val="32"/>
          <w:szCs w:val="32"/>
          <w:highlight w:val="none"/>
          <w:lang w:eastAsia="zh-CN"/>
        </w:rPr>
        <w:t>了基础绩效奖的预算数，项目支出增加了军休人员费用预算数。</w:t>
      </w:r>
    </w:p>
    <w:p w14:paraId="42DB5A92">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五、一般公共预算拨款支出预算</w:t>
      </w:r>
    </w:p>
    <w:p w14:paraId="524E2EEE">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年本部门一般公共预算拨款支出</w:t>
      </w:r>
      <w:r>
        <w:rPr>
          <w:rFonts w:hint="eastAsia" w:eastAsia="仿宋_GB2312"/>
          <w:sz w:val="32"/>
          <w:szCs w:val="32"/>
          <w:highlight w:val="none"/>
          <w:lang w:val="en-US" w:eastAsia="zh-CN"/>
        </w:rPr>
        <w:t>513.12</w:t>
      </w:r>
      <w:r>
        <w:rPr>
          <w:rFonts w:eastAsia="仿宋_GB2312"/>
          <w:sz w:val="32"/>
          <w:szCs w:val="32"/>
          <w:highlight w:val="none"/>
        </w:rPr>
        <w:t>万元，具体安排如下：</w:t>
      </w:r>
    </w:p>
    <w:p w14:paraId="5ABE4724">
      <w:pPr>
        <w:pStyle w:val="11"/>
        <w:numPr>
          <w:ilvl w:val="0"/>
          <w:numId w:val="3"/>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社会保障和就业支出（类）退役安置（款）军队移交政府离退休干部管理机构（项）</w:t>
      </w:r>
    </w:p>
    <w:p w14:paraId="7A615BC8">
      <w:pPr>
        <w:pStyle w:val="11"/>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2023年预算支出62.79万元。</w:t>
      </w:r>
    </w:p>
    <w:p w14:paraId="7515A041">
      <w:pPr>
        <w:pStyle w:val="10"/>
        <w:numPr>
          <w:ilvl w:val="0"/>
          <w:numId w:val="3"/>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社会保障和就业支出（类）退役安置（款）军队移交政府的离退休人员安置（项）</w:t>
      </w:r>
    </w:p>
    <w:p w14:paraId="63DEBA07">
      <w:pPr>
        <w:pStyle w:val="10"/>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2023年预算支出438万元。</w:t>
      </w:r>
    </w:p>
    <w:p w14:paraId="3C363D5E">
      <w:pPr>
        <w:pStyle w:val="11"/>
        <w:numPr>
          <w:ilvl w:val="0"/>
          <w:numId w:val="3"/>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社会保障和就业支出（类）行政事业单位养老支出（款）机关事业单位基本养老保险缴费支出（项）</w:t>
      </w:r>
    </w:p>
    <w:p w14:paraId="01D874D6">
      <w:pPr>
        <w:pStyle w:val="11"/>
        <w:numPr>
          <w:ilvl w:val="0"/>
          <w:numId w:val="0"/>
        </w:numPr>
        <w:ind w:leftChars="200" w:firstLine="320" w:firstLineChars="100"/>
        <w:rPr>
          <w:rFonts w:hint="default"/>
          <w:lang w:val="en-US" w:eastAsia="zh-CN"/>
        </w:rPr>
      </w:pPr>
      <w:r>
        <w:rPr>
          <w:rFonts w:hint="eastAsia" w:eastAsia="仿宋_GB2312" w:cs="Times New Roman"/>
          <w:sz w:val="32"/>
          <w:szCs w:val="32"/>
          <w:lang w:val="en-US" w:eastAsia="zh-CN"/>
        </w:rPr>
        <w:t>2023年预算支出5.63万元。</w:t>
      </w:r>
    </w:p>
    <w:p w14:paraId="6DEB1D2A">
      <w:pPr>
        <w:pStyle w:val="10"/>
        <w:numPr>
          <w:ilvl w:val="0"/>
          <w:numId w:val="3"/>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卫生健康支出（类）行政事业单位医疗（款）事业单位医疗（项）</w:t>
      </w:r>
    </w:p>
    <w:p w14:paraId="33692A53">
      <w:pPr>
        <w:pStyle w:val="10"/>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2023年预算支出1.78万元。</w:t>
      </w:r>
    </w:p>
    <w:p w14:paraId="78FB7C0D">
      <w:pPr>
        <w:numPr>
          <w:ilvl w:val="0"/>
          <w:numId w:val="3"/>
        </w:numPr>
        <w:tabs>
          <w:tab w:val="left" w:pos="7560"/>
        </w:tabs>
        <w:adjustRightInd w:val="0"/>
        <w:snapToGrid w:val="0"/>
        <w:spacing w:line="560" w:lineRule="exact"/>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住房保障支出（类）住房改革支出（款）住房公积金（项）2023年预算支出4.91万元。</w:t>
      </w:r>
      <w:bookmarkStart w:id="0" w:name="_GoBack"/>
      <w:bookmarkEnd w:id="0"/>
    </w:p>
    <w:p w14:paraId="31450331">
      <w:pPr>
        <w:tabs>
          <w:tab w:val="left" w:pos="7560"/>
        </w:tabs>
        <w:adjustRightInd w:val="0"/>
        <w:snapToGrid w:val="0"/>
        <w:spacing w:line="560" w:lineRule="exact"/>
        <w:ind w:firstLine="640" w:firstLineChars="200"/>
        <w:rPr>
          <w:rFonts w:ascii="Times New Roman" w:hAnsi="Times New Roman" w:eastAsia="楷体_GB2312" w:cs="Times New Roman"/>
          <w:bCs/>
          <w:sz w:val="32"/>
          <w:szCs w:val="32"/>
          <w:highlight w:val="none"/>
        </w:rPr>
      </w:pPr>
      <w:r>
        <w:rPr>
          <w:rFonts w:ascii="Times New Roman" w:hAnsi="Times New Roman" w:eastAsia="楷体_GB2312" w:cs="Times New Roman"/>
          <w:bCs/>
          <w:sz w:val="32"/>
          <w:szCs w:val="32"/>
          <w:highlight w:val="none"/>
        </w:rPr>
        <w:t>（一）基本支出</w:t>
      </w:r>
    </w:p>
    <w:p w14:paraId="4240635C">
      <w:pPr>
        <w:tabs>
          <w:tab w:val="left" w:pos="7560"/>
        </w:tabs>
        <w:adjustRightInd w:val="0"/>
        <w:snapToGrid w:val="0"/>
        <w:spacing w:line="560" w:lineRule="exact"/>
        <w:ind w:left="0" w:firstLine="480" w:firstLineChars="150"/>
        <w:jc w:val="lef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highlight w:val="none"/>
        </w:rPr>
        <w:t>1、人员类支出。2023</w:t>
      </w:r>
      <w:r>
        <w:rPr>
          <w:rFonts w:ascii="Times New Roman" w:hAnsi="Times New Roman" w:eastAsia="仿宋_GB2312" w:cs="Times New Roman"/>
          <w:sz w:val="32"/>
          <w:szCs w:val="32"/>
          <w:highlight w:val="none"/>
        </w:rPr>
        <w:t>年年初预算数为</w:t>
      </w:r>
      <w:r>
        <w:rPr>
          <w:rFonts w:hint="eastAsia" w:ascii="Times New Roman" w:hAnsi="Times New Roman" w:eastAsia="仿宋_GB2312" w:cs="Times New Roman"/>
          <w:sz w:val="32"/>
          <w:szCs w:val="32"/>
          <w:highlight w:val="none"/>
          <w:lang w:val="en-US" w:eastAsia="zh-CN"/>
        </w:rPr>
        <w:t>47.52</w:t>
      </w:r>
      <w:r>
        <w:rPr>
          <w:rFonts w:ascii="Times New Roman" w:hAnsi="Times New Roman" w:eastAsia="仿宋_GB2312" w:cs="Times New Roman"/>
          <w:sz w:val="32"/>
          <w:szCs w:val="32"/>
          <w:highlight w:val="none"/>
        </w:rPr>
        <w:t>万元。其中</w:t>
      </w:r>
      <w:r>
        <w:rPr>
          <w:rFonts w:ascii="Times New Roman" w:hAnsi="Times New Roman" w:eastAsia="仿宋_GB2312" w:cs="Times New Roman"/>
          <w:color w:val="000000"/>
          <w:sz w:val="32"/>
          <w:szCs w:val="32"/>
          <w:highlight w:val="none"/>
        </w:rPr>
        <w:t>包括基本工资</w:t>
      </w:r>
      <w:r>
        <w:rPr>
          <w:rFonts w:hint="eastAsia" w:ascii="Times New Roman" w:hAnsi="Times New Roman" w:eastAsia="仿宋_GB2312" w:cs="Times New Roman"/>
          <w:color w:val="000000"/>
          <w:sz w:val="32"/>
          <w:szCs w:val="32"/>
          <w:highlight w:val="none"/>
          <w:lang w:val="en-US" w:eastAsia="zh-CN"/>
        </w:rPr>
        <w:t>15.63</w:t>
      </w:r>
      <w:r>
        <w:rPr>
          <w:rFonts w:ascii="Times New Roman" w:hAnsi="Times New Roman" w:eastAsia="仿宋_GB2312" w:cs="Times New Roman"/>
          <w:color w:val="000000"/>
          <w:sz w:val="32"/>
          <w:szCs w:val="32"/>
          <w:highlight w:val="none"/>
        </w:rPr>
        <w:t>万元、津贴补贴</w:t>
      </w:r>
      <w:r>
        <w:rPr>
          <w:rFonts w:hint="eastAsia" w:ascii="Times New Roman" w:hAnsi="Times New Roman" w:eastAsia="仿宋_GB2312" w:cs="Times New Roman"/>
          <w:color w:val="000000"/>
          <w:sz w:val="32"/>
          <w:szCs w:val="32"/>
          <w:highlight w:val="none"/>
          <w:lang w:val="en-US" w:eastAsia="zh-CN"/>
        </w:rPr>
        <w:t>10.98</w:t>
      </w:r>
      <w:r>
        <w:rPr>
          <w:rFonts w:ascii="Times New Roman" w:hAnsi="Times New Roman" w:eastAsia="仿宋_GB2312" w:cs="Times New Roman"/>
          <w:color w:val="000000"/>
          <w:sz w:val="32"/>
          <w:szCs w:val="32"/>
          <w:highlight w:val="none"/>
        </w:rPr>
        <w:t>万元、奖金</w:t>
      </w:r>
      <w:r>
        <w:rPr>
          <w:rFonts w:hint="eastAsia" w:ascii="Times New Roman" w:hAnsi="Times New Roman" w:eastAsia="仿宋_GB2312" w:cs="Times New Roman"/>
          <w:color w:val="000000"/>
          <w:sz w:val="32"/>
          <w:szCs w:val="32"/>
          <w:highlight w:val="none"/>
          <w:lang w:val="en-US" w:eastAsia="zh-CN"/>
        </w:rPr>
        <w:t>8.59</w:t>
      </w:r>
      <w:r>
        <w:rPr>
          <w:rFonts w:ascii="Times New Roman" w:hAnsi="Times New Roman" w:eastAsia="仿宋_GB2312" w:cs="Times New Roman"/>
          <w:color w:val="000000"/>
          <w:sz w:val="32"/>
          <w:szCs w:val="32"/>
          <w:highlight w:val="none"/>
          <w:lang w:val="en-US" w:eastAsia="zh-CN"/>
        </w:rPr>
        <w:t>万</w:t>
      </w:r>
      <w:r>
        <w:rPr>
          <w:rFonts w:ascii="Times New Roman" w:hAnsi="Times New Roman" w:eastAsia="仿宋_GB2312" w:cs="Times New Roman"/>
          <w:color w:val="000000"/>
          <w:sz w:val="32"/>
          <w:szCs w:val="32"/>
          <w:highlight w:val="none"/>
        </w:rPr>
        <w:t>元、</w:t>
      </w:r>
      <w:r>
        <w:rPr>
          <w:rFonts w:hint="eastAsia" w:ascii="Times New Roman" w:hAnsi="Times New Roman" w:eastAsia="仿宋_GB2312" w:cs="Times New Roman"/>
          <w:color w:val="000000"/>
          <w:sz w:val="32"/>
          <w:szCs w:val="32"/>
          <w:highlight w:val="none"/>
          <w:lang w:eastAsia="zh-CN"/>
        </w:rPr>
        <w:t>社会保障缴费</w:t>
      </w:r>
      <w:r>
        <w:rPr>
          <w:rFonts w:hint="eastAsia" w:ascii="Times New Roman" w:hAnsi="Times New Roman" w:eastAsia="仿宋_GB2312" w:cs="Times New Roman"/>
          <w:color w:val="000000"/>
          <w:sz w:val="32"/>
          <w:szCs w:val="32"/>
          <w:highlight w:val="none"/>
          <w:lang w:val="en-US" w:eastAsia="zh-CN"/>
        </w:rPr>
        <w:t>12.32</w:t>
      </w:r>
      <w:r>
        <w:rPr>
          <w:rFonts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p>
    <w:p w14:paraId="5A729BB7">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2、公用类支出。2023年年初预算数为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p>
    <w:p w14:paraId="19087D44">
      <w:pPr>
        <w:tabs>
          <w:tab w:val="left" w:pos="7560"/>
        </w:tabs>
        <w:adjustRightInd w:val="0"/>
        <w:snapToGrid w:val="0"/>
        <w:spacing w:line="560" w:lineRule="exact"/>
        <w:ind w:firstLine="320" w:firstLineChars="100"/>
        <w:rPr>
          <w:rFonts w:ascii="Times New Roman" w:hAnsi="Times New Roman" w:eastAsia="楷体_GB2312" w:cs="Times New Roman"/>
          <w:bCs/>
          <w:sz w:val="32"/>
          <w:szCs w:val="32"/>
          <w:highlight w:val="none"/>
        </w:rPr>
      </w:pPr>
      <w:r>
        <w:rPr>
          <w:rFonts w:ascii="Times New Roman" w:hAnsi="Times New Roman" w:eastAsia="楷体_GB2312" w:cs="Times New Roman"/>
          <w:bCs/>
          <w:sz w:val="32"/>
          <w:szCs w:val="32"/>
          <w:highlight w:val="none"/>
        </w:rPr>
        <w:t>（二）项目支出</w:t>
      </w:r>
    </w:p>
    <w:p w14:paraId="256C71FA">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1、其他运转类支出。2023年年初预算数为</w:t>
      </w:r>
      <w:r>
        <w:rPr>
          <w:rFonts w:hint="eastAsia" w:ascii="Times New Roman" w:hAnsi="Times New Roman" w:eastAsia="仿宋_GB2312" w:cs="Times New Roman"/>
          <w:sz w:val="32"/>
          <w:szCs w:val="32"/>
          <w:highlight w:val="none"/>
          <w:lang w:val="en-US" w:eastAsia="zh-CN"/>
        </w:rPr>
        <w:t>27.6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其中：军队移交政府离退休干部管理机构</w:t>
      </w:r>
      <w:r>
        <w:rPr>
          <w:rFonts w:hint="eastAsia" w:ascii="Times New Roman" w:hAnsi="Times New Roman" w:eastAsia="仿宋_GB2312" w:cs="Times New Roman"/>
          <w:sz w:val="32"/>
          <w:szCs w:val="32"/>
          <w:highlight w:val="none"/>
          <w:lang w:val="en-US" w:eastAsia="zh-CN"/>
        </w:rPr>
        <w:t>27.6万元。</w:t>
      </w:r>
    </w:p>
    <w:p w14:paraId="4476F5BC">
      <w:pPr>
        <w:tabs>
          <w:tab w:val="left" w:pos="7560"/>
        </w:tabs>
        <w:adjustRightInd w:val="0"/>
        <w:snapToGrid w:val="0"/>
        <w:spacing w:line="560" w:lineRule="exact"/>
        <w:ind w:left="638" w:leftChars="304" w:firstLine="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2、特定目标类支出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2023年年初预算数为</w:t>
      </w:r>
      <w:r>
        <w:rPr>
          <w:rFonts w:hint="eastAsia" w:ascii="Times New Roman" w:hAnsi="Times New Roman" w:eastAsia="仿宋_GB2312" w:cs="Times New Roman"/>
          <w:sz w:val="32"/>
          <w:szCs w:val="32"/>
          <w:highlight w:val="none"/>
          <w:lang w:val="en-US" w:eastAsia="zh-CN"/>
        </w:rPr>
        <w:t>438</w:t>
      </w:r>
      <w:r>
        <w:rPr>
          <w:rFonts w:hint="eastAsia" w:ascii="Times New Roman" w:hAnsi="Times New Roman" w:eastAsia="仿宋_GB2312" w:cs="Times New Roman"/>
          <w:sz w:val="32"/>
          <w:szCs w:val="32"/>
          <w:highlight w:val="none"/>
        </w:rPr>
        <w:t>万元。</w:t>
      </w:r>
    </w:p>
    <w:p w14:paraId="5DCAB5E0">
      <w:pPr>
        <w:pStyle w:val="10"/>
        <w:rPr>
          <w:rFonts w:hint="eastAsia"/>
          <w:lang w:val="en-US" w:eastAsia="zh-CN"/>
        </w:rPr>
      </w:pPr>
      <w:r>
        <w:rPr>
          <w:rFonts w:ascii="Times New Roman" w:hAnsi="Times New Roman" w:eastAsia="仿宋_GB2312" w:cs="Times New Roman"/>
          <w:sz w:val="32"/>
          <w:szCs w:val="32"/>
          <w:highlight w:val="none"/>
        </w:rPr>
        <w:t>（1）军休人员经费专项</w:t>
      </w:r>
      <w:r>
        <w:rPr>
          <w:rFonts w:hint="eastAsia" w:ascii="Times New Roman" w:hAnsi="Times New Roman" w:eastAsia="仿宋_GB2312" w:cs="Times New Roman"/>
          <w:sz w:val="32"/>
          <w:szCs w:val="32"/>
          <w:highlight w:val="none"/>
          <w:lang w:val="en-US" w:eastAsia="zh-CN"/>
        </w:rPr>
        <w:t>438</w:t>
      </w:r>
      <w:r>
        <w:rPr>
          <w:rFonts w:ascii="Times New Roman" w:hAnsi="Times New Roman" w:eastAsia="仿宋_GB2312" w:cs="Times New Roman"/>
          <w:sz w:val="32"/>
          <w:szCs w:val="32"/>
          <w:highlight w:val="none"/>
        </w:rPr>
        <w:t>万元。主要用于202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年度军休人员退休费及其他福利及开展活动费用</w:t>
      </w:r>
      <w:r>
        <w:rPr>
          <w:rFonts w:hint="eastAsia" w:ascii="Times New Roman" w:hAnsi="Times New Roman" w:eastAsia="仿宋_GB2312" w:cs="Times New Roman"/>
          <w:sz w:val="32"/>
          <w:szCs w:val="32"/>
          <w:highlight w:val="none"/>
          <w:lang w:eastAsia="zh-CN"/>
        </w:rPr>
        <w:t>。</w:t>
      </w:r>
    </w:p>
    <w:p w14:paraId="26CF1B00">
      <w:pPr>
        <w:numPr>
          <w:ilvl w:val="0"/>
          <w:numId w:val="0"/>
        </w:numPr>
        <w:tabs>
          <w:tab w:val="left" w:pos="7560"/>
        </w:tabs>
        <w:adjustRightInd w:val="0"/>
        <w:snapToGrid w:val="0"/>
        <w:spacing w:line="560" w:lineRule="exact"/>
        <w:ind w:leftChars="200"/>
        <w:rPr>
          <w:rFonts w:eastAsia="黑体"/>
          <w:sz w:val="32"/>
          <w:szCs w:val="32"/>
          <w:highlight w:val="none"/>
        </w:rPr>
      </w:pPr>
      <w:r>
        <w:rPr>
          <w:rFonts w:hint="eastAsia" w:eastAsia="黑体"/>
          <w:sz w:val="32"/>
          <w:szCs w:val="32"/>
          <w:highlight w:val="none"/>
          <w:lang w:eastAsia="zh-CN"/>
        </w:rPr>
        <w:t>六、</w:t>
      </w:r>
      <w:r>
        <w:rPr>
          <w:rFonts w:eastAsia="黑体"/>
          <w:sz w:val="32"/>
          <w:szCs w:val="32"/>
          <w:highlight w:val="none"/>
        </w:rPr>
        <w:t>政府性基金预算支出</w:t>
      </w:r>
    </w:p>
    <w:p w14:paraId="43730E80">
      <w:pPr>
        <w:tabs>
          <w:tab w:val="left" w:pos="7560"/>
        </w:tabs>
        <w:adjustRightInd w:val="0"/>
        <w:snapToGrid w:val="0"/>
        <w:spacing w:line="560" w:lineRule="exact"/>
        <w:ind w:left="0" w:firstLine="640" w:firstLineChars="200"/>
        <w:rPr>
          <w:rFonts w:eastAsia="仿宋_GB2312"/>
          <w:bCs/>
          <w:color w:val="FF0000"/>
          <w:sz w:val="32"/>
          <w:szCs w:val="32"/>
          <w:highlight w:val="none"/>
        </w:rPr>
      </w:pPr>
      <w:r>
        <w:rPr>
          <w:rFonts w:eastAsia="仿宋_GB2312"/>
          <w:bCs/>
          <w:sz w:val="32"/>
          <w:szCs w:val="32"/>
          <w:highlight w:val="none"/>
        </w:rPr>
        <w:t>202</w:t>
      </w:r>
      <w:r>
        <w:rPr>
          <w:rFonts w:hint="eastAsia" w:eastAsia="仿宋_GB2312"/>
          <w:bCs/>
          <w:sz w:val="32"/>
          <w:szCs w:val="32"/>
          <w:highlight w:val="none"/>
          <w:lang w:val="en-US" w:eastAsia="zh-CN"/>
        </w:rPr>
        <w:t>3</w:t>
      </w:r>
      <w:r>
        <w:rPr>
          <w:rFonts w:eastAsia="仿宋_GB2312"/>
          <w:bCs/>
          <w:sz w:val="32"/>
          <w:szCs w:val="32"/>
          <w:highlight w:val="none"/>
        </w:rPr>
        <w:t>年度本部门无政府性基金预算安排的支出</w:t>
      </w:r>
    </w:p>
    <w:p w14:paraId="30CC9CE8">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七、其他重要事项情况说明</w:t>
      </w:r>
    </w:p>
    <w:p w14:paraId="2F7EC936">
      <w:pPr>
        <w:tabs>
          <w:tab w:val="left" w:pos="7560"/>
        </w:tabs>
        <w:adjustRightInd w:val="0"/>
        <w:snapToGrid w:val="0"/>
        <w:spacing w:line="560" w:lineRule="exact"/>
        <w:ind w:firstLine="640" w:firstLineChars="200"/>
        <w:rPr>
          <w:rFonts w:eastAsia="仿宋_GB2312"/>
          <w:color w:val="auto"/>
          <w:sz w:val="32"/>
          <w:szCs w:val="32"/>
          <w:highlight w:val="none"/>
        </w:rPr>
      </w:pPr>
      <w:r>
        <w:rPr>
          <w:rFonts w:eastAsia="楷体_GB2312"/>
          <w:bCs/>
          <w:sz w:val="32"/>
          <w:szCs w:val="32"/>
          <w:highlight w:val="none"/>
        </w:rPr>
        <w:t>（一）机关运行经费：</w:t>
      </w:r>
      <w:r>
        <w:rPr>
          <w:rFonts w:eastAsia="仿宋_GB2312"/>
          <w:sz w:val="32"/>
          <w:szCs w:val="32"/>
          <w:highlight w:val="none"/>
        </w:rPr>
        <w:t>本部门</w:t>
      </w:r>
      <w:r>
        <w:rPr>
          <w:rFonts w:hint="eastAsia" w:eastAsia="仿宋_GB2312"/>
          <w:sz w:val="32"/>
          <w:szCs w:val="32"/>
          <w:highlight w:val="none"/>
        </w:rPr>
        <w:t>2023</w:t>
      </w:r>
      <w:r>
        <w:rPr>
          <w:rFonts w:eastAsia="仿宋_GB2312"/>
          <w:sz w:val="32"/>
          <w:szCs w:val="32"/>
          <w:highlight w:val="none"/>
        </w:rPr>
        <w:t>年年初预算机关运行经费共安排</w:t>
      </w:r>
      <w:r>
        <w:rPr>
          <w:rFonts w:hint="eastAsia" w:eastAsia="仿宋_GB2312"/>
          <w:sz w:val="32"/>
          <w:szCs w:val="32"/>
          <w:highlight w:val="none"/>
          <w:lang w:val="en-US" w:eastAsia="zh-CN"/>
        </w:rPr>
        <w:t>27.6</w:t>
      </w:r>
      <w:r>
        <w:rPr>
          <w:rFonts w:eastAsia="仿宋_GB2312"/>
          <w:sz w:val="32"/>
          <w:szCs w:val="32"/>
          <w:highlight w:val="none"/>
        </w:rPr>
        <w:t>万元，</w:t>
      </w:r>
      <w:r>
        <w:rPr>
          <w:rFonts w:eastAsia="仿宋_GB2312"/>
          <w:color w:val="auto"/>
          <w:sz w:val="32"/>
          <w:szCs w:val="32"/>
          <w:highlight w:val="none"/>
        </w:rPr>
        <w:t>比上年度预算</w:t>
      </w:r>
      <w:r>
        <w:rPr>
          <w:rFonts w:hint="eastAsia" w:eastAsia="仿宋_GB2312"/>
          <w:color w:val="auto"/>
          <w:sz w:val="32"/>
          <w:szCs w:val="32"/>
          <w:highlight w:val="none"/>
          <w:lang w:eastAsia="zh-CN"/>
        </w:rPr>
        <w:t>增加</w:t>
      </w:r>
      <w:r>
        <w:rPr>
          <w:rFonts w:hint="eastAsia" w:eastAsia="仿宋_GB2312"/>
          <w:color w:val="auto"/>
          <w:sz w:val="32"/>
          <w:szCs w:val="32"/>
          <w:highlight w:val="none"/>
          <w:lang w:val="en-US" w:eastAsia="zh-CN"/>
        </w:rPr>
        <w:t>7.2</w:t>
      </w:r>
      <w:r>
        <w:rPr>
          <w:rFonts w:eastAsia="仿宋_GB2312"/>
          <w:color w:val="auto"/>
          <w:sz w:val="32"/>
          <w:szCs w:val="32"/>
          <w:highlight w:val="none"/>
        </w:rPr>
        <w:t>万元，</w:t>
      </w:r>
      <w:r>
        <w:rPr>
          <w:rFonts w:hint="eastAsia" w:eastAsia="仿宋_GB2312"/>
          <w:color w:val="auto"/>
          <w:sz w:val="32"/>
          <w:szCs w:val="32"/>
          <w:highlight w:val="none"/>
          <w:lang w:eastAsia="zh-CN"/>
        </w:rPr>
        <w:t>增加</w:t>
      </w:r>
      <w:r>
        <w:rPr>
          <w:rFonts w:eastAsia="仿宋_GB2312"/>
          <w:bCs/>
          <w:color w:val="auto"/>
          <w:sz w:val="32"/>
          <w:szCs w:val="32"/>
          <w:highlight w:val="none"/>
        </w:rPr>
        <w:t>的主要原因是：</w:t>
      </w:r>
      <w:r>
        <w:rPr>
          <w:rFonts w:hint="eastAsia" w:ascii="仿宋" w:hAnsi="仿宋" w:eastAsia="仿宋" w:cs="仿宋"/>
          <w:bCs/>
          <w:color w:val="000000"/>
          <w:sz w:val="32"/>
          <w:szCs w:val="32"/>
          <w:highlight w:val="none"/>
          <w:lang w:val="en-US" w:eastAsia="zh-CN"/>
        </w:rPr>
        <w:t>上级补助军休机构经费增加</w:t>
      </w:r>
      <w:r>
        <w:rPr>
          <w:rFonts w:hint="eastAsia" w:eastAsia="仿宋_GB2312"/>
          <w:bCs/>
          <w:color w:val="auto"/>
          <w:sz w:val="32"/>
          <w:szCs w:val="32"/>
          <w:highlight w:val="none"/>
          <w:lang w:eastAsia="zh-CN"/>
        </w:rPr>
        <w:t>。</w:t>
      </w:r>
    </w:p>
    <w:p w14:paraId="268EE663">
      <w:pPr>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（二) 政府采购预算</w:t>
      </w:r>
      <w:r>
        <w:rPr>
          <w:rFonts w:hAnsi="华文楷体" w:eastAsia="华文楷体"/>
          <w:sz w:val="32"/>
          <w:szCs w:val="32"/>
          <w:highlight w:val="none"/>
        </w:rPr>
        <w:t>：</w:t>
      </w:r>
      <w:r>
        <w:rPr>
          <w:rFonts w:eastAsia="仿宋_GB2312"/>
          <w:sz w:val="32"/>
          <w:szCs w:val="32"/>
          <w:highlight w:val="none"/>
        </w:rPr>
        <w:t>本部门2023年年初预算数为</w:t>
      </w:r>
      <w:r>
        <w:rPr>
          <w:rFonts w:hint="eastAsia" w:eastAsia="仿宋_GB2312"/>
          <w:sz w:val="32"/>
          <w:szCs w:val="32"/>
          <w:highlight w:val="none"/>
          <w:lang w:val="en-US" w:eastAsia="zh-CN"/>
        </w:rPr>
        <w:t>207.1</w:t>
      </w:r>
      <w:r>
        <w:rPr>
          <w:rFonts w:eastAsia="仿宋_GB2312"/>
          <w:sz w:val="32"/>
          <w:szCs w:val="32"/>
          <w:highlight w:val="none"/>
        </w:rPr>
        <w:t>万元。包含：政府采购货物</w:t>
      </w:r>
      <w:r>
        <w:rPr>
          <w:rFonts w:hint="eastAsia" w:eastAsia="仿宋_GB2312"/>
          <w:sz w:val="32"/>
          <w:szCs w:val="32"/>
          <w:highlight w:val="none"/>
          <w:lang w:val="en-US" w:eastAsia="zh-CN"/>
        </w:rPr>
        <w:t>101.3</w:t>
      </w:r>
      <w:r>
        <w:rPr>
          <w:rFonts w:eastAsia="仿宋_GB2312"/>
          <w:sz w:val="32"/>
          <w:szCs w:val="32"/>
          <w:highlight w:val="none"/>
        </w:rPr>
        <w:t>万元，政府采购工程</w:t>
      </w:r>
      <w:r>
        <w:rPr>
          <w:rFonts w:hint="eastAsia" w:eastAsia="仿宋_GB2312"/>
          <w:sz w:val="32"/>
          <w:szCs w:val="32"/>
          <w:highlight w:val="none"/>
          <w:lang w:val="en-US" w:eastAsia="zh-CN"/>
        </w:rPr>
        <w:t>105.8</w:t>
      </w:r>
      <w:r>
        <w:rPr>
          <w:rFonts w:eastAsia="仿宋_GB2312"/>
          <w:sz w:val="32"/>
          <w:szCs w:val="32"/>
          <w:highlight w:val="none"/>
        </w:rPr>
        <w:t>万元</w:t>
      </w:r>
      <w:r>
        <w:rPr>
          <w:rFonts w:hint="eastAsia" w:eastAsia="仿宋_GB2312"/>
          <w:sz w:val="32"/>
          <w:szCs w:val="32"/>
          <w:highlight w:val="none"/>
        </w:rPr>
        <w:t>，</w:t>
      </w:r>
      <w:r>
        <w:rPr>
          <w:rFonts w:eastAsia="仿宋_GB2312"/>
          <w:sz w:val="32"/>
          <w:szCs w:val="32"/>
          <w:highlight w:val="none"/>
        </w:rPr>
        <w:t>政府采购</w:t>
      </w:r>
      <w:r>
        <w:rPr>
          <w:rFonts w:hint="eastAsia" w:eastAsia="仿宋_GB2312"/>
          <w:sz w:val="32"/>
          <w:szCs w:val="32"/>
          <w:highlight w:val="none"/>
        </w:rPr>
        <w:t>服务0万元</w:t>
      </w:r>
      <w:r>
        <w:rPr>
          <w:rFonts w:eastAsia="仿宋_GB2312"/>
          <w:sz w:val="32"/>
          <w:szCs w:val="32"/>
          <w:highlight w:val="none"/>
        </w:rPr>
        <w:t>。</w:t>
      </w:r>
    </w:p>
    <w:p w14:paraId="28369BDE">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（三）国有资产占有情况：</w:t>
      </w:r>
      <w:r>
        <w:rPr>
          <w:rFonts w:eastAsia="仿宋_GB2312"/>
          <w:sz w:val="32"/>
          <w:szCs w:val="32"/>
          <w:highlight w:val="none"/>
        </w:rPr>
        <w:t>截止20</w:t>
      </w:r>
      <w:r>
        <w:rPr>
          <w:rFonts w:hint="eastAsia" w:eastAsia="仿宋_GB2312"/>
          <w:sz w:val="32"/>
          <w:szCs w:val="32"/>
          <w:highlight w:val="none"/>
        </w:rPr>
        <w:t>22</w:t>
      </w:r>
      <w:r>
        <w:rPr>
          <w:rFonts w:eastAsia="仿宋_GB2312"/>
          <w:sz w:val="32"/>
          <w:szCs w:val="32"/>
          <w:highlight w:val="none"/>
        </w:rPr>
        <w:t>年12月31日，本部门共有办公及业务用房</w:t>
      </w:r>
      <w:r>
        <w:rPr>
          <w:rFonts w:hint="eastAsia" w:eastAsia="仿宋_GB2312"/>
          <w:sz w:val="32"/>
          <w:szCs w:val="32"/>
          <w:highlight w:val="none"/>
          <w:lang w:val="en-US" w:eastAsia="zh-CN"/>
        </w:rPr>
        <w:t>244</w:t>
      </w:r>
      <w:r>
        <w:rPr>
          <w:rFonts w:eastAsia="仿宋_GB2312"/>
          <w:sz w:val="32"/>
          <w:szCs w:val="32"/>
          <w:highlight w:val="none"/>
        </w:rPr>
        <w:t xml:space="preserve">平方米；车辆 </w:t>
      </w:r>
      <w:r>
        <w:rPr>
          <w:rFonts w:hint="eastAsia" w:eastAsia="仿宋_GB2312"/>
          <w:sz w:val="32"/>
          <w:szCs w:val="32"/>
          <w:highlight w:val="none"/>
          <w:lang w:val="en-US" w:eastAsia="zh-CN"/>
        </w:rPr>
        <w:t>1</w:t>
      </w:r>
      <w:r>
        <w:rPr>
          <w:rFonts w:eastAsia="仿宋_GB2312"/>
          <w:sz w:val="32"/>
          <w:szCs w:val="32"/>
          <w:highlight w:val="none"/>
        </w:rPr>
        <w:t xml:space="preserve"> 辆，其中一般公务用车</w:t>
      </w:r>
      <w:r>
        <w:rPr>
          <w:rFonts w:hint="eastAsia" w:eastAsia="仿宋_GB2312"/>
          <w:sz w:val="32"/>
          <w:szCs w:val="32"/>
          <w:highlight w:val="none"/>
          <w:lang w:val="en-US" w:eastAsia="zh-CN"/>
        </w:rPr>
        <w:t>1</w:t>
      </w:r>
      <w:r>
        <w:rPr>
          <w:rFonts w:eastAsia="仿宋_GB2312"/>
          <w:sz w:val="32"/>
          <w:szCs w:val="32"/>
          <w:highlight w:val="none"/>
        </w:rPr>
        <w:t>辆、一般执法执勤用车</w:t>
      </w:r>
      <w:r>
        <w:rPr>
          <w:rFonts w:hint="eastAsia" w:eastAsia="仿宋_GB2312"/>
          <w:sz w:val="32"/>
          <w:szCs w:val="32"/>
          <w:highlight w:val="none"/>
          <w:lang w:val="en-US" w:eastAsia="zh-CN"/>
        </w:rPr>
        <w:t>0</w:t>
      </w:r>
      <w:r>
        <w:rPr>
          <w:rFonts w:eastAsia="仿宋_GB2312"/>
          <w:sz w:val="32"/>
          <w:szCs w:val="32"/>
          <w:highlight w:val="none"/>
        </w:rPr>
        <w:t>辆、货币化用车</w:t>
      </w:r>
      <w:r>
        <w:rPr>
          <w:rFonts w:hint="eastAsia" w:eastAsia="仿宋_GB2312"/>
          <w:sz w:val="32"/>
          <w:szCs w:val="32"/>
          <w:highlight w:val="none"/>
          <w:lang w:val="en-US" w:eastAsia="zh-CN"/>
        </w:rPr>
        <w:t>0</w:t>
      </w:r>
      <w:r>
        <w:rPr>
          <w:rFonts w:eastAsia="仿宋_GB2312"/>
          <w:sz w:val="32"/>
          <w:szCs w:val="32"/>
          <w:highlight w:val="none"/>
        </w:rPr>
        <w:t>辆；单位价值200万以上大型设备</w:t>
      </w:r>
      <w:r>
        <w:rPr>
          <w:rFonts w:hint="eastAsia" w:eastAsia="仿宋_GB2312"/>
          <w:sz w:val="32"/>
          <w:szCs w:val="32"/>
          <w:highlight w:val="none"/>
          <w:lang w:val="en-US" w:eastAsia="zh-CN"/>
        </w:rPr>
        <w:t>0</w:t>
      </w:r>
      <w:r>
        <w:rPr>
          <w:rFonts w:eastAsia="仿宋_GB2312"/>
          <w:sz w:val="32"/>
          <w:szCs w:val="32"/>
          <w:highlight w:val="none"/>
        </w:rPr>
        <w:t>套。20</w:t>
      </w:r>
      <w:r>
        <w:rPr>
          <w:rFonts w:hint="eastAsia" w:eastAsia="仿宋_GB2312"/>
          <w:sz w:val="32"/>
          <w:szCs w:val="32"/>
          <w:highlight w:val="none"/>
        </w:rPr>
        <w:t>23</w:t>
      </w:r>
      <w:r>
        <w:rPr>
          <w:rFonts w:eastAsia="仿宋_GB2312"/>
          <w:sz w:val="32"/>
          <w:szCs w:val="32"/>
          <w:highlight w:val="none"/>
        </w:rPr>
        <w:t>年部门预算安排购置车辆</w:t>
      </w:r>
      <w:r>
        <w:rPr>
          <w:rFonts w:hint="eastAsia" w:eastAsia="仿宋_GB2312"/>
          <w:sz w:val="32"/>
          <w:szCs w:val="32"/>
          <w:highlight w:val="none"/>
          <w:lang w:val="en-US" w:eastAsia="zh-CN"/>
        </w:rPr>
        <w:t>0</w:t>
      </w:r>
      <w:r>
        <w:rPr>
          <w:rFonts w:eastAsia="仿宋_GB2312"/>
          <w:sz w:val="32"/>
          <w:szCs w:val="32"/>
          <w:highlight w:val="none"/>
        </w:rPr>
        <w:t>辆，预算安排购置价值200万以上大型设备</w:t>
      </w:r>
      <w:r>
        <w:rPr>
          <w:rFonts w:hint="eastAsia" w:eastAsia="仿宋_GB2312"/>
          <w:sz w:val="32"/>
          <w:szCs w:val="32"/>
          <w:highlight w:val="none"/>
          <w:lang w:val="en-US" w:eastAsia="zh-CN"/>
        </w:rPr>
        <w:t>0</w:t>
      </w:r>
      <w:r>
        <w:rPr>
          <w:rFonts w:eastAsia="仿宋_GB2312"/>
          <w:sz w:val="32"/>
          <w:szCs w:val="32"/>
          <w:highlight w:val="none"/>
        </w:rPr>
        <w:t>套。</w:t>
      </w:r>
    </w:p>
    <w:p w14:paraId="7D2C758B">
      <w:pPr>
        <w:tabs>
          <w:tab w:val="left" w:pos="7560"/>
        </w:tabs>
        <w:adjustRightInd w:val="0"/>
        <w:snapToGrid w:val="0"/>
        <w:spacing w:line="560" w:lineRule="exact"/>
        <w:ind w:firstLine="640" w:firstLineChars="200"/>
        <w:rPr>
          <w:rFonts w:eastAsia="仿宋_GB2312"/>
          <w:b/>
          <w:bCs/>
          <w:sz w:val="32"/>
          <w:szCs w:val="32"/>
          <w:highlight w:val="none"/>
        </w:rPr>
      </w:pPr>
      <w:r>
        <w:rPr>
          <w:rFonts w:eastAsia="楷体_GB2312"/>
          <w:bCs/>
          <w:sz w:val="32"/>
          <w:szCs w:val="32"/>
          <w:highlight w:val="none"/>
        </w:rPr>
        <w:t>（四）重点项目预算的绩效目标等情况：</w:t>
      </w:r>
      <w:r>
        <w:rPr>
          <w:rFonts w:eastAsia="仿宋_GB2312"/>
          <w:sz w:val="32"/>
          <w:szCs w:val="32"/>
          <w:highlight w:val="none"/>
        </w:rPr>
        <w:t>本部门整体支出和项目支出实行绩效目标管理，纳入20</w:t>
      </w:r>
      <w:r>
        <w:rPr>
          <w:rFonts w:hint="eastAsia" w:eastAsia="仿宋_GB2312"/>
          <w:sz w:val="32"/>
          <w:szCs w:val="32"/>
          <w:highlight w:val="none"/>
        </w:rPr>
        <w:t>23</w:t>
      </w:r>
      <w:r>
        <w:rPr>
          <w:rFonts w:eastAsia="仿宋_GB2312"/>
          <w:sz w:val="32"/>
          <w:szCs w:val="32"/>
          <w:highlight w:val="none"/>
        </w:rPr>
        <w:t>年部门整体支出绩效目标的金额为</w:t>
      </w:r>
      <w:r>
        <w:rPr>
          <w:rFonts w:hint="eastAsia" w:eastAsia="仿宋_GB2312"/>
          <w:sz w:val="32"/>
          <w:szCs w:val="32"/>
          <w:highlight w:val="none"/>
          <w:lang w:val="en-US" w:eastAsia="zh-CN"/>
        </w:rPr>
        <w:t>513.12</w:t>
      </w:r>
      <w:r>
        <w:rPr>
          <w:rFonts w:eastAsia="仿宋_GB2312"/>
          <w:sz w:val="32"/>
          <w:szCs w:val="32"/>
          <w:highlight w:val="none"/>
        </w:rPr>
        <w:t>万元，其中，基本支出</w:t>
      </w:r>
      <w:r>
        <w:rPr>
          <w:rFonts w:hint="eastAsia" w:eastAsia="仿宋_GB2312"/>
          <w:color w:val="000000"/>
          <w:sz w:val="32"/>
          <w:szCs w:val="32"/>
          <w:highlight w:val="none"/>
          <w:lang w:val="en-US" w:eastAsia="zh-CN"/>
        </w:rPr>
        <w:t>47.52</w:t>
      </w:r>
      <w:r>
        <w:rPr>
          <w:rFonts w:eastAsia="仿宋_GB2312"/>
          <w:sz w:val="32"/>
          <w:szCs w:val="32"/>
          <w:highlight w:val="none"/>
        </w:rPr>
        <w:t>万元，项目支出</w:t>
      </w:r>
      <w:r>
        <w:rPr>
          <w:rFonts w:hint="eastAsia" w:eastAsia="仿宋_GB2312"/>
          <w:sz w:val="32"/>
          <w:szCs w:val="32"/>
          <w:highlight w:val="none"/>
          <w:lang w:val="en-US" w:eastAsia="zh-CN"/>
        </w:rPr>
        <w:t>465.6</w:t>
      </w:r>
      <w:r>
        <w:rPr>
          <w:rFonts w:eastAsia="仿宋_GB2312"/>
          <w:sz w:val="32"/>
          <w:szCs w:val="32"/>
          <w:highlight w:val="none"/>
        </w:rPr>
        <w:t>万元（详见附表）。 </w:t>
      </w:r>
    </w:p>
    <w:p w14:paraId="569ABC15">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（五）一般公共预算“三公”经费情况：</w:t>
      </w:r>
      <w:r>
        <w:rPr>
          <w:rFonts w:eastAsia="仿宋_GB2312"/>
          <w:sz w:val="32"/>
          <w:szCs w:val="32"/>
          <w:highlight w:val="none"/>
        </w:rPr>
        <w:t>2023年“三公”经费预算数</w:t>
      </w:r>
      <w:r>
        <w:rPr>
          <w:rFonts w:hint="eastAsia" w:eastAsia="仿宋_GB2312"/>
          <w:sz w:val="32"/>
          <w:szCs w:val="32"/>
          <w:highlight w:val="none"/>
          <w:lang w:val="en-US" w:eastAsia="zh-CN"/>
        </w:rPr>
        <w:t>0.6</w:t>
      </w:r>
      <w:r>
        <w:rPr>
          <w:rFonts w:eastAsia="仿宋_GB2312"/>
          <w:sz w:val="32"/>
          <w:szCs w:val="32"/>
          <w:highlight w:val="none"/>
        </w:rPr>
        <w:t>万元，其中：“因公出国（境）费”</w:t>
      </w:r>
      <w:r>
        <w:rPr>
          <w:rFonts w:hint="eastAsia" w:eastAsia="仿宋_GB2312"/>
          <w:sz w:val="32"/>
          <w:szCs w:val="32"/>
          <w:highlight w:val="none"/>
          <w:lang w:val="en-US" w:eastAsia="zh-CN"/>
        </w:rPr>
        <w:t>0</w:t>
      </w:r>
      <w:r>
        <w:rPr>
          <w:rFonts w:eastAsia="仿宋_GB2312"/>
          <w:sz w:val="32"/>
          <w:szCs w:val="32"/>
          <w:highlight w:val="none"/>
        </w:rPr>
        <w:t>万元、“公务用车购置及运行费”</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rPr>
        <w:t>（其中，公务用车购置费0万元，公务用车运行费0万元）</w:t>
      </w:r>
      <w:r>
        <w:rPr>
          <w:rFonts w:hint="eastAsia" w:eastAsia="仿宋_GB2312"/>
          <w:sz w:val="32"/>
          <w:szCs w:val="32"/>
          <w:highlight w:val="none"/>
          <w:lang w:eastAsia="zh-CN"/>
        </w:rPr>
        <w:t>、</w:t>
      </w:r>
      <w:r>
        <w:rPr>
          <w:rFonts w:eastAsia="仿宋_GB2312"/>
          <w:sz w:val="32"/>
          <w:szCs w:val="32"/>
          <w:highlight w:val="none"/>
        </w:rPr>
        <w:t>“公务接待费”</w:t>
      </w:r>
      <w:r>
        <w:rPr>
          <w:rFonts w:hint="eastAsia" w:eastAsia="仿宋_GB2312"/>
          <w:sz w:val="32"/>
          <w:szCs w:val="32"/>
          <w:highlight w:val="none"/>
          <w:lang w:val="en-US" w:eastAsia="zh-CN"/>
        </w:rPr>
        <w:t>0.6</w:t>
      </w:r>
      <w:r>
        <w:rPr>
          <w:rFonts w:eastAsia="仿宋_GB2312"/>
          <w:sz w:val="32"/>
          <w:szCs w:val="32"/>
          <w:highlight w:val="none"/>
        </w:rPr>
        <w:t>万元。</w:t>
      </w:r>
      <w:r>
        <w:rPr>
          <w:rFonts w:hint="eastAsia" w:eastAsia="仿宋_GB2312"/>
          <w:sz w:val="32"/>
          <w:szCs w:val="32"/>
          <w:highlight w:val="none"/>
        </w:rPr>
        <w:t>2023年公务用车购置数0台。</w:t>
      </w:r>
    </w:p>
    <w:p w14:paraId="22DFAA43">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2023年“三公”经费预算数与2022年持平，主要是厉行节约要求，从严控制“三公”经费开支</w:t>
      </w:r>
      <w:r>
        <w:rPr>
          <w:rFonts w:eastAsia="仿宋_GB2312"/>
          <w:sz w:val="32"/>
          <w:szCs w:val="32"/>
          <w:highlight w:val="none"/>
        </w:rPr>
        <w:t>。</w:t>
      </w:r>
    </w:p>
    <w:p w14:paraId="498D577A">
      <w:pPr>
        <w:tabs>
          <w:tab w:val="left" w:pos="7560"/>
        </w:tabs>
        <w:adjustRightInd w:val="0"/>
        <w:snapToGrid w:val="0"/>
        <w:spacing w:line="560" w:lineRule="exact"/>
        <w:ind w:firstLine="640" w:firstLineChars="200"/>
        <w:jc w:val="left"/>
        <w:rPr>
          <w:rFonts w:eastAsia="楷体_GB2312"/>
          <w:bCs/>
          <w:color w:val="000000"/>
          <w:sz w:val="32"/>
          <w:szCs w:val="32"/>
          <w:highlight w:val="none"/>
        </w:rPr>
      </w:pPr>
      <w:r>
        <w:rPr>
          <w:rFonts w:eastAsia="楷体_GB2312"/>
          <w:bCs/>
          <w:sz w:val="32"/>
          <w:szCs w:val="32"/>
          <w:highlight w:val="none"/>
        </w:rPr>
        <w:t>（六）会议费、培训费预算：</w:t>
      </w:r>
    </w:p>
    <w:p w14:paraId="7061C8C0">
      <w:pPr>
        <w:tabs>
          <w:tab w:val="left" w:pos="7560"/>
        </w:tabs>
        <w:adjustRightInd w:val="0"/>
        <w:snapToGrid w:val="0"/>
        <w:spacing w:line="560" w:lineRule="exact"/>
        <w:ind w:firstLine="640" w:firstLineChars="20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年预算安排会议费</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w:t>
      </w:r>
    </w:p>
    <w:p w14:paraId="10044E34">
      <w:pPr>
        <w:tabs>
          <w:tab w:val="left" w:pos="7560"/>
        </w:tabs>
        <w:adjustRightInd w:val="0"/>
        <w:snapToGrid w:val="0"/>
        <w:spacing w:line="560" w:lineRule="exact"/>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年预算安排培训费</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w:t>
      </w:r>
    </w:p>
    <w:p w14:paraId="36CF713E">
      <w:pPr>
        <w:pStyle w:val="10"/>
      </w:pPr>
      <w:r>
        <w:rPr>
          <w:rFonts w:hint="eastAsia" w:ascii="Calibri" w:eastAsia="宋体"/>
          <w:lang w:val="en-US" w:eastAsia="zh-CN"/>
        </w:rPr>
        <w:t>未计划举办节庆、晚会、论坛、赛事活动。</w:t>
      </w:r>
    </w:p>
    <w:p w14:paraId="7FD4E8F5">
      <w:pPr>
        <w:numPr>
          <w:ilvl w:val="0"/>
          <w:numId w:val="4"/>
        </w:numPr>
        <w:tabs>
          <w:tab w:val="left" w:pos="7560"/>
        </w:tabs>
        <w:adjustRightInd w:val="0"/>
        <w:snapToGrid w:val="0"/>
        <w:spacing w:line="560" w:lineRule="exact"/>
        <w:ind w:left="0" w:firstLine="640" w:firstLineChars="200"/>
        <w:jc w:val="left"/>
        <w:rPr>
          <w:rFonts w:eastAsia="楷体_GB2312"/>
          <w:bCs/>
          <w:sz w:val="32"/>
          <w:szCs w:val="32"/>
          <w:highlight w:val="none"/>
        </w:rPr>
      </w:pPr>
      <w:r>
        <w:rPr>
          <w:rFonts w:eastAsia="楷体_GB2312"/>
          <w:bCs/>
          <w:sz w:val="32"/>
          <w:szCs w:val="32"/>
          <w:highlight w:val="none"/>
        </w:rPr>
        <w:t>其他事项。</w:t>
      </w:r>
    </w:p>
    <w:p w14:paraId="654AB21D">
      <w:pPr>
        <w:tabs>
          <w:tab w:val="left" w:pos="7560"/>
        </w:tabs>
        <w:adjustRightInd w:val="0"/>
        <w:snapToGrid w:val="0"/>
        <w:spacing w:line="560" w:lineRule="exact"/>
        <w:ind w:left="0" w:firstLine="640" w:firstLineChars="200"/>
        <w:jc w:val="left"/>
        <w:rPr>
          <w:rFonts w:eastAsia="仿宋_GB2312"/>
          <w:b/>
          <w:bCs/>
          <w:sz w:val="32"/>
          <w:szCs w:val="32"/>
          <w:highlight w:val="none"/>
        </w:rPr>
      </w:pPr>
      <w:r>
        <w:rPr>
          <w:rFonts w:hAnsi="仿宋" w:eastAsia="仿宋"/>
          <w:color w:val="000000"/>
          <w:sz w:val="32"/>
          <w:szCs w:val="32"/>
          <w:highlight w:val="none"/>
        </w:rPr>
        <w:t>本单位</w:t>
      </w:r>
      <w:r>
        <w:rPr>
          <w:rFonts w:eastAsia="仿宋"/>
          <w:color w:val="000000"/>
          <w:sz w:val="32"/>
          <w:szCs w:val="32"/>
          <w:highlight w:val="none"/>
        </w:rPr>
        <w:t>202</w:t>
      </w:r>
      <w:r>
        <w:rPr>
          <w:rFonts w:hint="eastAsia" w:eastAsia="仿宋"/>
          <w:color w:val="000000"/>
          <w:sz w:val="32"/>
          <w:szCs w:val="32"/>
          <w:highlight w:val="none"/>
          <w:lang w:val="en-US" w:eastAsia="zh-CN"/>
        </w:rPr>
        <w:t>3</w:t>
      </w:r>
      <w:r>
        <w:rPr>
          <w:rFonts w:hAnsi="仿宋" w:eastAsia="仿宋"/>
          <w:color w:val="000000"/>
          <w:sz w:val="32"/>
          <w:szCs w:val="32"/>
          <w:highlight w:val="none"/>
        </w:rPr>
        <w:t>年预算未安排政府性基金收支预算、未安排纳入专户管理的非税收入拨款预算</w:t>
      </w:r>
      <w:r>
        <w:rPr>
          <w:rFonts w:hint="eastAsia" w:hAnsi="仿宋" w:eastAsia="仿宋"/>
          <w:color w:val="000000"/>
          <w:sz w:val="32"/>
          <w:szCs w:val="32"/>
          <w:highlight w:val="none"/>
        </w:rPr>
        <w:t>,无</w:t>
      </w:r>
      <w:r>
        <w:rPr>
          <w:rFonts w:eastAsia="仿宋_GB2312"/>
          <w:sz w:val="32"/>
          <w:szCs w:val="32"/>
          <w:highlight w:val="none"/>
        </w:rPr>
        <w:t>政府性基金收支预算</w:t>
      </w:r>
      <w:r>
        <w:rPr>
          <w:rFonts w:hint="eastAsia" w:eastAsia="仿宋_GB2312"/>
          <w:sz w:val="32"/>
          <w:szCs w:val="32"/>
          <w:highlight w:val="none"/>
        </w:rPr>
        <w:t>、国有资本经营收支预算、财政专户管理资金收支预算</w:t>
      </w:r>
      <w:r>
        <w:rPr>
          <w:rFonts w:hint="eastAsia" w:eastAsia="仿宋"/>
          <w:color w:val="000000"/>
          <w:sz w:val="32"/>
          <w:szCs w:val="32"/>
          <w:highlight w:val="none"/>
        </w:rPr>
        <w:t>。</w:t>
      </w:r>
      <w:r>
        <w:rPr>
          <w:rFonts w:hint="eastAsia" w:eastAsia="仿宋"/>
          <w:color w:val="000000"/>
          <w:sz w:val="32"/>
          <w:szCs w:val="32"/>
          <w:highlight w:val="none"/>
          <w:lang w:eastAsia="zh-CN"/>
        </w:rPr>
        <w:t>本</w:t>
      </w:r>
      <w:r>
        <w:rPr>
          <w:rFonts w:hint="eastAsia" w:hAnsi="仿宋" w:eastAsia="仿宋"/>
          <w:color w:val="000000"/>
          <w:sz w:val="32"/>
          <w:szCs w:val="32"/>
          <w:highlight w:val="none"/>
        </w:rPr>
        <w:t>单位无门户网站，统一在政府门户网站上公开。</w:t>
      </w:r>
    </w:p>
    <w:p w14:paraId="0ED70425">
      <w:pPr>
        <w:tabs>
          <w:tab w:val="left" w:pos="7560"/>
        </w:tabs>
        <w:adjustRightInd w:val="0"/>
        <w:snapToGrid w:val="0"/>
        <w:spacing w:line="560" w:lineRule="exact"/>
        <w:ind w:firstLine="640" w:firstLineChars="200"/>
        <w:rPr>
          <w:rFonts w:eastAsia="黑体"/>
          <w:bCs/>
          <w:sz w:val="32"/>
          <w:szCs w:val="32"/>
          <w:highlight w:val="none"/>
        </w:rPr>
      </w:pPr>
      <w:r>
        <w:rPr>
          <w:rFonts w:hAnsi="黑体" w:eastAsia="黑体"/>
          <w:bCs/>
          <w:sz w:val="32"/>
          <w:szCs w:val="32"/>
          <w:highlight w:val="none"/>
        </w:rPr>
        <w:t>八、名词解释</w:t>
      </w:r>
    </w:p>
    <w:p w14:paraId="306E3AD6">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sz w:val="32"/>
          <w:szCs w:val="32"/>
          <w:highlight w:val="none"/>
        </w:rPr>
        <w:t>（一）一般公共预算:</w:t>
      </w:r>
      <w:r>
        <w:rPr>
          <w:rFonts w:eastAsia="仿宋_GB2312"/>
          <w:sz w:val="32"/>
          <w:szCs w:val="32"/>
          <w:highlight w:val="none"/>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4BAF7160">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sz w:val="32"/>
          <w:szCs w:val="32"/>
          <w:highlight w:val="none"/>
        </w:rPr>
        <w:t>（二）政府性基金预算:</w:t>
      </w:r>
      <w:r>
        <w:rPr>
          <w:rFonts w:eastAsia="仿宋_GB2312"/>
          <w:sz w:val="32"/>
          <w:szCs w:val="32"/>
          <w:highlight w:val="none"/>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39059132">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sz w:val="32"/>
          <w:szCs w:val="32"/>
          <w:highlight w:val="none"/>
        </w:rPr>
        <w:t xml:space="preserve">（三）国有资本经营预算: </w:t>
      </w:r>
      <w:r>
        <w:rPr>
          <w:rFonts w:eastAsia="仿宋_GB2312"/>
          <w:sz w:val="32"/>
          <w:szCs w:val="32"/>
          <w:highlight w:val="none"/>
        </w:rPr>
        <w:t>是对国有资本收益作出支出安排的收支预算。应当按照收支平衡的原则编制，不列赤字，并安排资金调入一般公共预算。</w:t>
      </w:r>
    </w:p>
    <w:p w14:paraId="051FC4AD">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sz w:val="32"/>
          <w:szCs w:val="32"/>
          <w:highlight w:val="none"/>
        </w:rPr>
        <w:t>（四）社会保险基金预算:</w:t>
      </w:r>
      <w:r>
        <w:rPr>
          <w:rFonts w:eastAsia="仿宋_GB2312"/>
          <w:sz w:val="32"/>
          <w:szCs w:val="32"/>
          <w:highlight w:val="none"/>
        </w:rPr>
        <w:t xml:space="preserve"> 是对社会保险缴款、一般公共预算安排和其他方式筹集的资金，专项用于社会保险的收支预算。应当按照统筹层次和社会保险项目分别编制，做到收支平衡。</w:t>
      </w:r>
    </w:p>
    <w:p w14:paraId="3FCF0A5A">
      <w:pPr>
        <w:tabs>
          <w:tab w:val="left" w:pos="7560"/>
        </w:tabs>
        <w:adjustRightInd w:val="0"/>
        <w:snapToGrid w:val="0"/>
        <w:spacing w:line="560" w:lineRule="exact"/>
        <w:ind w:firstLine="643" w:firstLineChars="200"/>
        <w:rPr>
          <w:rFonts w:hint="eastAsia" w:eastAsia="仿宋_GB2312"/>
          <w:sz w:val="32"/>
          <w:szCs w:val="32"/>
          <w:highlight w:val="none"/>
          <w:lang w:eastAsia="zh-CN"/>
        </w:rPr>
      </w:pPr>
      <w:r>
        <w:rPr>
          <w:rFonts w:eastAsia="仿宋_GB2312"/>
          <w:b/>
          <w:sz w:val="32"/>
          <w:szCs w:val="32"/>
          <w:highlight w:val="none"/>
        </w:rPr>
        <w:t>（五）“三公”经费：</w:t>
      </w:r>
      <w:r>
        <w:rPr>
          <w:rFonts w:eastAsia="仿宋_GB2312"/>
          <w:sz w:val="32"/>
          <w:szCs w:val="32"/>
          <w:highlight w:val="none"/>
        </w:rPr>
        <w:t>是指商品和服务支出中的因公出国（境）费用、公务用车购置及运行维护费和公务接待费。</w:t>
      </w:r>
    </w:p>
    <w:p w14:paraId="01DC849F">
      <w:pPr>
        <w:tabs>
          <w:tab w:val="left" w:pos="7560"/>
        </w:tabs>
        <w:adjustRightInd w:val="0"/>
        <w:snapToGrid w:val="0"/>
        <w:spacing w:line="560" w:lineRule="exact"/>
        <w:ind w:left="0" w:firstLine="643" w:firstLineChars="200"/>
        <w:rPr>
          <w:rFonts w:eastAsia="仿宋_GB2312"/>
          <w:sz w:val="32"/>
          <w:szCs w:val="32"/>
          <w:highlight w:val="none"/>
        </w:rPr>
      </w:pPr>
      <w:r>
        <w:rPr>
          <w:rFonts w:eastAsia="仿宋_GB2312"/>
          <w:b/>
          <w:sz w:val="32"/>
          <w:szCs w:val="32"/>
          <w:highlight w:val="none"/>
        </w:rPr>
        <w:t>（六）机关运行经费：</w:t>
      </w:r>
      <w:r>
        <w:rPr>
          <w:rFonts w:eastAsia="仿宋_GB2312"/>
          <w:sz w:val="32"/>
          <w:szCs w:val="32"/>
          <w:highlight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964E">
    <w:pPr>
      <w:pStyle w:val="14"/>
      <w:framePr w:wrap="around" w:vAnchor="text" w:hAnchor="margin" w:xAlign="outside" w:y="1"/>
      <w:rPr>
        <w:rStyle w:val="18"/>
        <w:rFonts w:hint="eastAsia" w:ascii="宋体"/>
        <w:sz w:val="28"/>
        <w:szCs w:val="28"/>
      </w:rPr>
    </w:pPr>
    <w:r>
      <w:rPr>
        <w:rStyle w:val="18"/>
        <w:rFonts w:hint="eastAsia" w:ascii="宋体"/>
        <w:color w:val="FFFFFF"/>
        <w:sz w:val="28"/>
        <w:szCs w:val="28"/>
      </w:rPr>
      <w:t>—</w:t>
    </w:r>
    <w:r>
      <w:rPr>
        <w:rStyle w:val="18"/>
        <w:rFonts w:hint="eastAsia" w:ascii="宋体"/>
        <w:sz w:val="28"/>
        <w:szCs w:val="28"/>
      </w:rPr>
      <w:t xml:space="preserve">— </w:t>
    </w:r>
    <w:r>
      <w:rPr>
        <w:rStyle w:val="18"/>
        <w:rFonts w:hint="eastAsia" w:ascii="宋体"/>
        <w:sz w:val="28"/>
        <w:szCs w:val="28"/>
      </w:rPr>
      <w:fldChar w:fldCharType="begin"/>
    </w:r>
    <w:r>
      <w:rPr>
        <w:rStyle w:val="18"/>
        <w:rFonts w:hint="eastAsia" w:ascii="宋体"/>
        <w:sz w:val="28"/>
        <w:szCs w:val="28"/>
      </w:rPr>
      <w:instrText xml:space="preserve">PAGE  </w:instrText>
    </w:r>
    <w:r>
      <w:rPr>
        <w:rFonts w:hint="eastAsia" w:ascii="宋体"/>
        <w:sz w:val="28"/>
        <w:szCs w:val="28"/>
      </w:rPr>
      <w:fldChar w:fldCharType="separate"/>
    </w:r>
    <w:r>
      <w:rPr>
        <w:rStyle w:val="18"/>
        <w:rFonts w:ascii="宋体"/>
        <w:sz w:val="28"/>
        <w:szCs w:val="28"/>
      </w:rPr>
      <w:t>2</w:t>
    </w:r>
    <w:r>
      <w:rPr>
        <w:rFonts w:hint="eastAsia" w:ascii="宋体"/>
        <w:sz w:val="28"/>
        <w:szCs w:val="28"/>
      </w:rPr>
      <w:fldChar w:fldCharType="end"/>
    </w:r>
    <w:r>
      <w:rPr>
        <w:rStyle w:val="18"/>
        <w:rFonts w:hint="eastAsia" w:ascii="宋体"/>
        <w:sz w:val="28"/>
        <w:szCs w:val="28"/>
      </w:rPr>
      <w:t xml:space="preserve"> —</w:t>
    </w:r>
    <w:r>
      <w:rPr>
        <w:rStyle w:val="18"/>
        <w:rFonts w:hint="eastAsia" w:ascii="宋体"/>
        <w:color w:val="FFFFFF"/>
        <w:sz w:val="28"/>
        <w:szCs w:val="28"/>
      </w:rPr>
      <w:t>—</w:t>
    </w:r>
  </w:p>
  <w:p w14:paraId="66008650">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97DE">
    <w:pPr>
      <w:pStyle w:val="14"/>
      <w:framePr w:wrap="around" w:vAnchor="text" w:hAnchor="margin" w:xAlign="outside" w:y="1"/>
      <w:rPr>
        <w:rStyle w:val="18"/>
      </w:rPr>
    </w:pPr>
    <w:r>
      <w:rPr>
        <w:rStyle w:val="18"/>
      </w:rPr>
      <w:fldChar w:fldCharType="begin"/>
    </w:r>
    <w:r>
      <w:rPr>
        <w:rStyle w:val="18"/>
      </w:rPr>
      <w:instrText xml:space="preserve">PAGE  </w:instrText>
    </w:r>
    <w:r>
      <w:fldChar w:fldCharType="separate"/>
    </w:r>
    <w:r>
      <w:rPr>
        <w:rStyle w:val="18"/>
      </w:rPr>
      <w:t xml:space="preserve"> </w:t>
    </w:r>
    <w:r>
      <w:fldChar w:fldCharType="end"/>
    </w:r>
  </w:p>
  <w:p w14:paraId="6BC19D43">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301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5CA5"/>
    <w:multiLevelType w:val="singleLevel"/>
    <w:tmpl w:val="E2FA5CA5"/>
    <w:lvl w:ilvl="0" w:tentative="0">
      <w:start w:val="1"/>
      <w:numFmt w:val="chineseCounting"/>
      <w:suff w:val="nothing"/>
      <w:lvlText w:val="%1、"/>
      <w:lvlJc w:val="left"/>
      <w:pPr>
        <w:ind w:left="0" w:firstLine="0"/>
      </w:pPr>
      <w:rPr>
        <w:rFonts w:hint="eastAsia"/>
      </w:rPr>
    </w:lvl>
  </w:abstractNum>
  <w:abstractNum w:abstractNumId="1">
    <w:nsid w:val="F0AF489E"/>
    <w:multiLevelType w:val="singleLevel"/>
    <w:tmpl w:val="F0AF489E"/>
    <w:lvl w:ilvl="0" w:tentative="0">
      <w:start w:val="3"/>
      <w:numFmt w:val="chineseCounting"/>
      <w:suff w:val="nothing"/>
      <w:lvlText w:val="%1、"/>
      <w:lvlJc w:val="left"/>
      <w:pPr>
        <w:ind w:left="720" w:firstLine="0"/>
      </w:pPr>
      <w:rPr>
        <w:rFonts w:hint="eastAsia"/>
      </w:rPr>
    </w:lvl>
  </w:abstractNum>
  <w:abstractNum w:abstractNumId="2">
    <w:nsid w:val="1D57D0F7"/>
    <w:multiLevelType w:val="singleLevel"/>
    <w:tmpl w:val="1D57D0F7"/>
    <w:lvl w:ilvl="0" w:tentative="0">
      <w:start w:val="7"/>
      <w:numFmt w:val="chineseCounting"/>
      <w:suff w:val="nothing"/>
      <w:lvlText w:val="（%1）"/>
      <w:lvlJc w:val="left"/>
      <w:pPr>
        <w:ind w:left="0" w:firstLine="0"/>
      </w:pPr>
      <w:rPr>
        <w:rFonts w:hint="eastAsia"/>
      </w:rPr>
    </w:lvl>
  </w:abstractNum>
  <w:abstractNum w:abstractNumId="3">
    <w:nsid w:val="52742798"/>
    <w:multiLevelType w:val="singleLevel"/>
    <w:tmpl w:val="52742798"/>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597"/>
  <w:displayHorizontalDrawingGridEvery w:val="2"/>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ZjVhNGJiMWVmZTg4ZjFhYWZhYWFiMzBkODkwYWRkZmUifQ=="/>
  </w:docVars>
  <w:rsids>
    <w:rsidRoot w:val="00000000"/>
    <w:rsid w:val="018067FB"/>
    <w:rsid w:val="09BB6C68"/>
    <w:rsid w:val="0C9B098C"/>
    <w:rsid w:val="18086B85"/>
    <w:rsid w:val="1EBF1693"/>
    <w:rsid w:val="214815A8"/>
    <w:rsid w:val="25796FC6"/>
    <w:rsid w:val="2C8042C9"/>
    <w:rsid w:val="320C6FCF"/>
    <w:rsid w:val="342D1CB8"/>
    <w:rsid w:val="366003CD"/>
    <w:rsid w:val="3AD544BF"/>
    <w:rsid w:val="3C9C79C8"/>
    <w:rsid w:val="43D74AFE"/>
    <w:rsid w:val="4561381A"/>
    <w:rsid w:val="473A184E"/>
    <w:rsid w:val="49B22896"/>
    <w:rsid w:val="52E553C3"/>
    <w:rsid w:val="55482300"/>
    <w:rsid w:val="55A10F40"/>
    <w:rsid w:val="61554209"/>
    <w:rsid w:val="67136C12"/>
    <w:rsid w:val="68B57B35"/>
    <w:rsid w:val="6CE60925"/>
    <w:rsid w:val="6D1160C5"/>
    <w:rsid w:val="70950CE1"/>
    <w:rsid w:val="71C07997"/>
    <w:rsid w:val="7B0A7E43"/>
    <w:rsid w:val="7C615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7">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szCs w:val="20"/>
    </w:rPr>
  </w:style>
  <w:style w:type="paragraph" w:styleId="6">
    <w:name w:val="Body Text"/>
    <w:basedOn w:val="1"/>
    <w:autoRedefine/>
    <w:qFormat/>
    <w:uiPriority w:val="0"/>
    <w:pPr>
      <w:spacing w:line="400" w:lineRule="atLeast"/>
    </w:pPr>
    <w:rPr>
      <w:rFonts w:ascii="楷体_GB2312" w:eastAsia="楷体_GB2312"/>
      <w:sz w:val="32"/>
    </w:rPr>
  </w:style>
  <w:style w:type="paragraph" w:styleId="7">
    <w:name w:val="Body Text Indent"/>
    <w:basedOn w:val="1"/>
    <w:autoRedefine/>
    <w:qFormat/>
    <w:uiPriority w:val="0"/>
    <w:pPr>
      <w:spacing w:line="360" w:lineRule="auto"/>
      <w:ind w:firstLine="200" w:firstLineChars="200"/>
    </w:pPr>
    <w:rPr>
      <w:rFonts w:ascii="方正仿宋_GBK" w:eastAsia="方正仿宋_GBK"/>
      <w:sz w:val="30"/>
    </w:rPr>
  </w:style>
  <w:style w:type="paragraph" w:styleId="8">
    <w:name w:val="Plain Text"/>
    <w:basedOn w:val="1"/>
    <w:autoRedefine/>
    <w:qFormat/>
    <w:uiPriority w:val="0"/>
    <w:rPr>
      <w:rFonts w:ascii="宋体" w:hAnsi="Courier New"/>
    </w:rPr>
  </w:style>
  <w:style w:type="paragraph" w:styleId="9">
    <w:name w:val="Date"/>
    <w:basedOn w:val="1"/>
    <w:next w:val="1"/>
    <w:autoRedefine/>
    <w:qFormat/>
    <w:uiPriority w:val="0"/>
    <w:pPr>
      <w:ind w:left="2500" w:leftChars="2500"/>
    </w:pPr>
  </w:style>
  <w:style w:type="paragraph" w:styleId="10">
    <w:name w:val="Body Text Indent 2"/>
    <w:next w:val="11"/>
    <w:qFormat/>
    <w:uiPriority w:val="0"/>
    <w:pPr>
      <w:widowControl w:val="0"/>
      <w:adjustRightInd/>
      <w:spacing w:line="360" w:lineRule="auto"/>
      <w:ind w:firstLine="200" w:firstLineChars="200"/>
      <w:jc w:val="both"/>
    </w:pPr>
    <w:rPr>
      <w:rFonts w:ascii="Times New Roman" w:hAnsi="Times New Roman" w:eastAsia="宋体" w:cs="Times New Roman"/>
      <w:color w:val="auto"/>
      <w:kern w:val="2"/>
      <w:sz w:val="30"/>
      <w:szCs w:val="30"/>
      <w:lang w:val="en-US" w:eastAsia="zh-CN" w:bidi="ar-SA"/>
    </w:rPr>
  </w:style>
  <w:style w:type="paragraph" w:customStyle="1" w:styleId="11">
    <w:name w:val="p0"/>
    <w:next w:val="12"/>
    <w:qFormat/>
    <w:uiPriority w:val="0"/>
    <w:pPr>
      <w:spacing w:line="365" w:lineRule="atLeast"/>
      <w:ind w:left="1"/>
    </w:pPr>
    <w:rPr>
      <w:rFonts w:ascii="Times New Roman" w:hAnsi="Times New Roman" w:eastAsia="宋体" w:cs="Times New Roman"/>
      <w:sz w:val="24"/>
      <w:lang w:val="en-US" w:eastAsia="zh-CN" w:bidi="ar-SA"/>
    </w:rPr>
  </w:style>
  <w:style w:type="paragraph" w:styleId="12">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alloon Text"/>
    <w:basedOn w:val="1"/>
    <w:autoRedefine/>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color w:val="000000"/>
      <w:kern w:val="0"/>
      <w:sz w:val="24"/>
    </w:rPr>
  </w:style>
  <w:style w:type="character" w:styleId="18">
    <w:name w:val="page number"/>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h</Company>
  <Pages>10</Pages>
  <Words>2972</Words>
  <Characters>3192</Characters>
  <Lines>0</Lines>
  <Paragraphs>119</Paragraphs>
  <TotalTime>0</TotalTime>
  <ScaleCrop>false</ScaleCrop>
  <LinksUpToDate>false</LinksUpToDate>
  <CharactersWithSpaces>3207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2023-02-15T01:06:00Z</dcterms:created>
  <dc:creator>lzlyc</dc:creator>
  <cp:lastModifiedBy>白日梦</cp:lastModifiedBy>
  <cp:lastPrinted>2023-02-06T09:18:00Z</cp:lastPrinted>
  <dcterms:modified xsi:type="dcterms:W3CDTF">2024-11-22T07:28:37Z</dcterms:modified>
  <dc:title>此件拟比照国务院办公厅发文由省政府办公厅转发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F8CA2D43E5874203A0EEA0EE091F74BE</vt:lpwstr>
  </property>
</Properties>
</file>