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02A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5A42E7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C8B4D4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F0F763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4F13912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醴陵市社会福利中心</w:t>
      </w:r>
      <w:r>
        <w:rPr>
          <w:rFonts w:eastAsia="方正小标宋简体"/>
          <w:bCs/>
          <w:sz w:val="84"/>
          <w:szCs w:val="84"/>
        </w:rPr>
        <w:t>2023年部门预算</w:t>
      </w:r>
    </w:p>
    <w:p w14:paraId="7DD40EF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83F70E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955E4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86DF0E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7786A2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014086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6E246C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A06C08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52A750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613537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AD626B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E8D9A2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CD7906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59F8E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5284839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2050491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3D80F3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539B78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133ED2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153F7A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4F666A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3A78B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662863D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7A98E4F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57A8A5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3176ED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231AE7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4F29E9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0549F4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1C5CD3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414F560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17821E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2901DD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4C4FCA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125E69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4FDA88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39085FE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5683EE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4CC457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5D69F5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18A4F50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6C8F64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5A4CA7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1353ED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4CD26B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（八）一般公共预算基本支出表</w:t>
      </w:r>
    </w:p>
    <w:p w14:paraId="6A0AC8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 w14:paraId="4A4B160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49F6AF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12BD6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3F7042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CB497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2EBDC8C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  <w:lang w:eastAsia="zh-CN"/>
        </w:rPr>
        <w:t>一般公共预算“三公”经费支出表</w:t>
      </w:r>
    </w:p>
    <w:p w14:paraId="2026D8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14CD0A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A6ECE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)</w:t>
      </w:r>
    </w:p>
    <w:p w14:paraId="541C41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  <w:r>
        <w:rPr>
          <w:rFonts w:hint="eastAsia" w:hAnsi="仿宋_GB2312" w:eastAsia="仿宋_GB2312"/>
          <w:sz w:val="32"/>
          <w:szCs w:val="32"/>
          <w:lang w:eastAsia="zh-CN"/>
        </w:rPr>
        <w:t>支出表</w:t>
      </w:r>
    </w:p>
    <w:p w14:paraId="2E0220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01D235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</w:t>
      </w:r>
      <w:r>
        <w:rPr>
          <w:rFonts w:hint="eastAsia" w:hAnsi="仿宋_GB2312" w:eastAsia="仿宋_GB2312"/>
          <w:sz w:val="32"/>
          <w:szCs w:val="32"/>
          <w:lang w:eastAsia="zh-CN"/>
        </w:rPr>
        <w:t>资金预算汇总表</w:t>
      </w:r>
    </w:p>
    <w:p w14:paraId="0C06C9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7FA91F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</w:p>
    <w:p w14:paraId="3DE0B373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（注：本套报表金额单位转换时可能存在尾数误差）</w:t>
      </w:r>
    </w:p>
    <w:p w14:paraId="293DEE56">
      <w:pPr>
        <w:rPr>
          <w:rFonts w:hint="eastAsia" w:eastAsia="宋体"/>
          <w:lang w:eastAsia="zh-CN"/>
        </w:rPr>
      </w:pPr>
    </w:p>
    <w:p w14:paraId="45D32708">
      <w:pPr>
        <w:tabs>
          <w:tab w:val="left" w:pos="7560"/>
        </w:tabs>
        <w:adjustRightInd w:val="0"/>
        <w:snapToGrid w:val="0"/>
        <w:spacing w:line="560" w:lineRule="exact"/>
        <w:ind w:firstLine="3840" w:firstLineChars="1200"/>
        <w:rPr>
          <w:rFonts w:eastAsia="黑体"/>
          <w:sz w:val="32"/>
          <w:szCs w:val="32"/>
        </w:rPr>
      </w:pPr>
    </w:p>
    <w:p w14:paraId="78905787">
      <w:pPr>
        <w:tabs>
          <w:tab w:val="left" w:pos="7560"/>
        </w:tabs>
        <w:adjustRightInd w:val="0"/>
        <w:snapToGrid w:val="0"/>
        <w:spacing w:line="560" w:lineRule="exact"/>
        <w:ind w:firstLine="3840" w:firstLineChars="1200"/>
        <w:rPr>
          <w:rFonts w:eastAsia="黑体"/>
          <w:sz w:val="32"/>
          <w:szCs w:val="32"/>
        </w:rPr>
      </w:pPr>
    </w:p>
    <w:p w14:paraId="63E559C1">
      <w:pPr>
        <w:tabs>
          <w:tab w:val="left" w:pos="7560"/>
        </w:tabs>
        <w:adjustRightInd w:val="0"/>
        <w:snapToGrid w:val="0"/>
        <w:spacing w:line="560" w:lineRule="exact"/>
        <w:ind w:firstLine="3840" w:firstLineChars="1200"/>
        <w:rPr>
          <w:rFonts w:eastAsia="黑体"/>
          <w:sz w:val="32"/>
          <w:szCs w:val="32"/>
        </w:rPr>
      </w:pPr>
    </w:p>
    <w:p w14:paraId="530CD646">
      <w:pPr>
        <w:tabs>
          <w:tab w:val="left" w:pos="7560"/>
        </w:tabs>
        <w:adjustRightInd w:val="0"/>
        <w:snapToGrid w:val="0"/>
        <w:spacing w:line="560" w:lineRule="exact"/>
        <w:ind w:firstLine="3840" w:firstLineChars="1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7FB817D1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7F2D0F4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醴陵市社会福利中心</w:t>
      </w:r>
      <w:r>
        <w:rPr>
          <w:rFonts w:eastAsia="方正小标宋简体"/>
          <w:bCs/>
          <w:sz w:val="44"/>
          <w:szCs w:val="44"/>
        </w:rPr>
        <w:t>2023年部门预算说明</w:t>
      </w:r>
    </w:p>
    <w:p w14:paraId="05C140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77336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5ACA8566">
      <w:pPr>
        <w:pStyle w:val="1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本部门主要职责是：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承担为城区范围内集中供养对象提供救助保护工作；负责城区农村五保户、城市“三无人员”的集中供养等事务性工作。</w:t>
      </w:r>
    </w:p>
    <w:p w14:paraId="3927C0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83333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55547DC4">
      <w:pPr>
        <w:pStyle w:val="1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醴陵市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社会福利中心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是市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民政局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五保老人集中供养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工作的正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公益一类单位二级机构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，现有在职人员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人，属市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级预算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全额拨款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独立核算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单位。</w:t>
      </w:r>
    </w:p>
    <w:p w14:paraId="6F59C903">
      <w:pPr>
        <w:pStyle w:val="1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本单位共有人员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人，其中在职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在编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人。</w:t>
      </w:r>
    </w:p>
    <w:p w14:paraId="76F3B9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52DE2D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eastAsia="仿宋_GB2312"/>
          <w:color w:val="000000"/>
          <w:sz w:val="32"/>
          <w:szCs w:val="32"/>
        </w:rPr>
        <w:t>本部门无下属预算单位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650928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本单位无下属机构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4DF2DC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44ED260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2023 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醴陵市社会福利中心</w:t>
      </w:r>
      <w:r>
        <w:rPr>
          <w:rFonts w:hint="eastAsia" w:eastAsia="仿宋_GB2312"/>
          <w:color w:val="000000"/>
          <w:sz w:val="32"/>
          <w:szCs w:val="32"/>
        </w:rPr>
        <w:t>公开的部门预算为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本单位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收入包括一般公共预算收入、上级财政补助等收入；支出</w:t>
      </w:r>
      <w:r>
        <w:rPr>
          <w:rFonts w:hint="eastAsia" w:eastAsia="仿宋_GB2312"/>
          <w:sz w:val="32"/>
          <w:szCs w:val="32"/>
          <w:lang w:eastAsia="zh-CN"/>
        </w:rPr>
        <w:t>只</w:t>
      </w:r>
      <w:r>
        <w:rPr>
          <w:rFonts w:eastAsia="仿宋_GB2312"/>
          <w:sz w:val="32"/>
          <w:szCs w:val="32"/>
        </w:rPr>
        <w:t>包括保障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单位基本运行的经费。（详见附表）</w:t>
      </w:r>
    </w:p>
    <w:p w14:paraId="7604AC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108.68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108.68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0.00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65C358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年年初预算数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108.68</w:t>
      </w:r>
      <w:r>
        <w:rPr>
          <w:rFonts w:eastAsia="仿宋_GB2312"/>
          <w:color w:val="000000"/>
          <w:sz w:val="32"/>
          <w:szCs w:val="32"/>
        </w:rPr>
        <w:t>万元，其中，</w:t>
      </w:r>
      <w:r>
        <w:rPr>
          <w:rFonts w:hint="eastAsia" w:eastAsia="仿宋_GB2312"/>
          <w:color w:val="000000"/>
          <w:sz w:val="32"/>
          <w:szCs w:val="32"/>
        </w:rPr>
        <w:t>社会保障和就业支出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102.02</w:t>
      </w:r>
      <w:r>
        <w:rPr>
          <w:rFonts w:hint="eastAsia" w:eastAsia="仿宋_GB2312"/>
          <w:color w:val="000000"/>
          <w:sz w:val="32"/>
          <w:szCs w:val="32"/>
        </w:rPr>
        <w:t>万元、卫生健康支出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1.78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、住房保障支出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4.88万元</w:t>
      </w:r>
      <w:r>
        <w:rPr>
          <w:rFonts w:eastAsia="仿宋_GB2312"/>
          <w:color w:val="000000"/>
          <w:sz w:val="32"/>
          <w:szCs w:val="32"/>
        </w:rPr>
        <w:t>。</w:t>
      </w:r>
    </w:p>
    <w:p w14:paraId="25B6350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47.8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15.44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10.98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9.05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职工基本医疗保险缴费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1.78万元、住房公积金4.88万元、机关事业单位基本养老保险5.67万元等。</w:t>
      </w:r>
    </w:p>
    <w:p w14:paraId="0F87B5A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60.88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sz w:val="32"/>
          <w:szCs w:val="32"/>
          <w:lang w:val="en-US" w:eastAsia="zh-CN"/>
        </w:rPr>
        <w:t>特定目标类支出：</w:t>
      </w:r>
    </w:p>
    <w:p w14:paraId="294793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社会福利事业单位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sz w:val="32"/>
          <w:szCs w:val="32"/>
        </w:rPr>
        <w:t>支出为</w:t>
      </w:r>
      <w:r>
        <w:rPr>
          <w:rFonts w:hint="eastAsia" w:eastAsia="仿宋_GB2312"/>
          <w:sz w:val="32"/>
          <w:szCs w:val="32"/>
          <w:lang w:val="en-US" w:eastAsia="zh-CN"/>
        </w:rPr>
        <w:t>60.88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社会福利事业单位商品和服务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支出，其中</w:t>
      </w:r>
      <w:r>
        <w:rPr>
          <w:rFonts w:hint="eastAsia" w:eastAsia="仿宋_GB2312"/>
          <w:sz w:val="32"/>
          <w:szCs w:val="32"/>
          <w:lang w:val="en-US" w:eastAsia="zh-CN"/>
        </w:rPr>
        <w:t>其中运转经费10.88万元、上级专项转移支付50万元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342E26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108.68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10.39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主要原因是因人员经费和运转经费上涨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5BD171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247B30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108.68</w:t>
      </w:r>
      <w:r>
        <w:rPr>
          <w:rFonts w:eastAsia="仿宋_GB2312"/>
          <w:sz w:val="32"/>
          <w:szCs w:val="32"/>
        </w:rPr>
        <w:t>万元，具体安排如下：</w:t>
      </w:r>
    </w:p>
    <w:p w14:paraId="3C363D5E">
      <w:pPr>
        <w:pStyle w:val="3"/>
        <w:numPr>
          <w:ilvl w:val="0"/>
          <w:numId w:val="1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574C5E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2023年预算支出5.67万元。</w:t>
      </w:r>
    </w:p>
    <w:p w14:paraId="681E3A93">
      <w:pPr>
        <w:pStyle w:val="3"/>
        <w:numPr>
          <w:ilvl w:val="0"/>
          <w:numId w:val="1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社会保障和就业支出（类）社会福利（款）社会福利事业单位（项）</w:t>
      </w:r>
    </w:p>
    <w:p w14:paraId="2ACB64ED"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2023年预算支出96.34万元。</w:t>
      </w:r>
    </w:p>
    <w:p w14:paraId="73C6D03B">
      <w:pPr>
        <w:pStyle w:val="3"/>
        <w:numPr>
          <w:ilvl w:val="0"/>
          <w:numId w:val="1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卫生健康支出（类）行政事业单位医疗（款）事业单位医疗（项）</w:t>
      </w:r>
    </w:p>
    <w:p w14:paraId="0741D9B0">
      <w:pPr>
        <w:pStyle w:val="2"/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2023年预算支出1.78万元。</w:t>
      </w:r>
    </w:p>
    <w:p w14:paraId="68CAC3B7">
      <w:pPr>
        <w:pStyle w:val="3"/>
        <w:numPr>
          <w:ilvl w:val="0"/>
          <w:numId w:val="1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住房保障支出（类）住房改革支出（款）住房公积金（项）</w:t>
      </w:r>
    </w:p>
    <w:p w14:paraId="208AF916">
      <w:pPr>
        <w:pStyle w:val="2"/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2023年预算支出4.88万元。</w:t>
      </w:r>
    </w:p>
    <w:p w14:paraId="31B25660">
      <w:pPr>
        <w:pStyle w:val="3"/>
      </w:pPr>
    </w:p>
    <w:p w14:paraId="321613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1416E7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47.8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15.44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10.98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9.05</w:t>
      </w:r>
      <w:r>
        <w:rPr>
          <w:rFonts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职工基本医疗保险缴费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1.78万元、住房公积金4.88万元、机关事业单位基本养老保险5.67万元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2CF57F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2、公用类支出。2023年年初预算数为0元。</w:t>
      </w:r>
    </w:p>
    <w:p w14:paraId="4E8205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014C6D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1、其他运转类支出。</w:t>
      </w:r>
      <w:r>
        <w:rPr>
          <w:rFonts w:hint="eastAsia"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  <w:lang w:eastAsia="zh-CN"/>
        </w:rPr>
        <w:t>度本单位其他运转类项目支出年初预算数为</w:t>
      </w:r>
      <w:r>
        <w:rPr>
          <w:rFonts w:hint="eastAsia" w:eastAsia="仿宋_GB2312"/>
          <w:sz w:val="32"/>
          <w:szCs w:val="32"/>
          <w:lang w:val="en-US" w:eastAsia="zh-CN"/>
        </w:rPr>
        <w:t>60.88万元，其中运转经费10.88万元、上级专项转移支付50万元。</w:t>
      </w:r>
    </w:p>
    <w:p w14:paraId="26084703">
      <w:pPr>
        <w:pStyle w:val="2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2、特定目标类支出。</w:t>
      </w:r>
    </w:p>
    <w:p w14:paraId="54D477EC">
      <w:pPr>
        <w:pStyle w:val="2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 w14:paraId="32912418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1A1F99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hint="eastAsia" w:eastAsia="仿宋_GB2312"/>
          <w:bCs/>
          <w:color w:val="000000"/>
          <w:sz w:val="32"/>
          <w:szCs w:val="32"/>
        </w:rPr>
        <w:t>23</w:t>
      </w:r>
      <w:r>
        <w:rPr>
          <w:rFonts w:eastAsia="仿宋_GB2312"/>
          <w:bCs/>
          <w:color w:val="000000"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。</w:t>
      </w:r>
    </w:p>
    <w:p w14:paraId="6B08DF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41527C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60.88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比上年度预算减少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2.72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eastAsia="仿宋_GB2312"/>
          <w:bCs/>
          <w:color w:val="000000"/>
          <w:sz w:val="32"/>
          <w:szCs w:val="32"/>
        </w:rPr>
        <w:t>减少的主要原因是：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厉行节俭。</w:t>
      </w:r>
    </w:p>
    <w:p w14:paraId="1B6C70B4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47</w:t>
      </w:r>
      <w:r>
        <w:rPr>
          <w:rFonts w:eastAsia="仿宋_GB2312"/>
          <w:sz w:val="32"/>
          <w:szCs w:val="32"/>
        </w:rPr>
        <w:t>万元。包含采购货物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32</w:t>
      </w:r>
      <w:r>
        <w:rPr>
          <w:rFonts w:eastAsia="仿宋_GB2312"/>
          <w:sz w:val="32"/>
          <w:szCs w:val="32"/>
        </w:rPr>
        <w:t>万元，工程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万元，服务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万元。</w:t>
      </w:r>
    </w:p>
    <w:p w14:paraId="43AFE9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7558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其中一般公务用车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25E968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 xml:space="preserve">年部门整体支出绩效目标的金额为 </w:t>
      </w:r>
      <w:r>
        <w:rPr>
          <w:rFonts w:hint="eastAsia" w:eastAsia="仿宋_GB2312"/>
          <w:sz w:val="32"/>
          <w:szCs w:val="32"/>
          <w:lang w:val="en-US" w:eastAsia="zh-CN"/>
        </w:rPr>
        <w:t>108.68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47.80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项目支出60.88万元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（详见附表）。 </w:t>
      </w:r>
    </w:p>
    <w:p w14:paraId="0AFA37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hint="eastAsia" w:eastAsia="仿宋_GB2312"/>
          <w:sz w:val="32"/>
          <w:szCs w:val="32"/>
        </w:rPr>
        <w:t>2023年“三公”经费预算数0万元，其中：“因公出国（境）费”0万元、“公务用车购置及运行费”0万元（公务用车购置费0万元、公务用车运行费0万元）、“公务接待费”0万元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6C5C0E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2023年“三公”经费预算数与2022年持平，主要是厉行节约要求，从严控制“三公”经费开支。</w:t>
      </w:r>
    </w:p>
    <w:p w14:paraId="4569FD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（六）会议费、培训费预算：</w:t>
      </w:r>
      <w:bookmarkStart w:id="0" w:name="_GoBack"/>
      <w:bookmarkEnd w:id="0"/>
    </w:p>
    <w:p w14:paraId="4D4ECF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年预算安排会议费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 w14:paraId="44F9B124">
      <w:pPr>
        <w:pStyle w:val="2"/>
        <w:rPr>
          <w:rFonts w:hint="eastAsia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年预算安排培训费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未计划举办节庆、晚会、论坛、赛事活动。</w:t>
      </w:r>
    </w:p>
    <w:p w14:paraId="6A0363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七</w:t>
      </w:r>
      <w:r>
        <w:rPr>
          <w:rFonts w:eastAsia="楷体_GB2312"/>
          <w:bCs/>
          <w:sz w:val="32"/>
          <w:szCs w:val="32"/>
        </w:rPr>
        <w:t>）其他事项。</w:t>
      </w:r>
      <w:r>
        <w:rPr>
          <w:rFonts w:eastAsia="仿宋_GB2312"/>
          <w:color w:val="000000"/>
          <w:sz w:val="32"/>
          <w:szCs w:val="32"/>
        </w:rPr>
        <w:t>本单位20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eastAsia="仿宋_GB2312"/>
          <w:color w:val="000000"/>
          <w:sz w:val="32"/>
          <w:szCs w:val="32"/>
        </w:rPr>
        <w:t>年预算未安排政府性基金收支预算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，无重点专项支出预算。本单位无门户网站，统一在政府门户网站上公开。</w:t>
      </w:r>
    </w:p>
    <w:p w14:paraId="1E0163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2FECE15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4825880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75CE95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71C8976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143A646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35CCE9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16EC">
    <w:pPr>
      <w:pStyle w:val="14"/>
      <w:framePr w:wrap="around" w:vAnchor="text" w:hAnchor="margin" w:xAlign="outside" w:y="1"/>
      <w:rPr>
        <w:rStyle w:val="19"/>
        <w:rFonts w:ascii="宋体"/>
        <w:sz w:val="28"/>
        <w:szCs w:val="28"/>
      </w:rPr>
    </w:pPr>
    <w:r>
      <w:rPr>
        <w:rStyle w:val="19"/>
        <w:rFonts w:hint="eastAsia" w:ascii="宋体"/>
        <w:color w:val="FFFFFF"/>
        <w:sz w:val="28"/>
        <w:szCs w:val="28"/>
      </w:rPr>
      <w:t>—</w:t>
    </w:r>
    <w:r>
      <w:rPr>
        <w:rStyle w:val="19"/>
        <w:rFonts w:hint="eastAsia" w:ascii="宋体"/>
        <w:sz w:val="28"/>
        <w:szCs w:val="28"/>
      </w:rPr>
      <w:t xml:space="preserve">— </w:t>
    </w:r>
    <w:r>
      <w:rPr>
        <w:rStyle w:val="19"/>
        <w:rFonts w:hint="eastAsia" w:ascii="宋体"/>
        <w:sz w:val="28"/>
        <w:szCs w:val="28"/>
      </w:rPr>
      <w:fldChar w:fldCharType="begin"/>
    </w:r>
    <w:r>
      <w:rPr>
        <w:rStyle w:val="19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9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9"/>
        <w:rFonts w:hint="eastAsia" w:ascii="宋体"/>
        <w:sz w:val="28"/>
        <w:szCs w:val="28"/>
      </w:rPr>
      <w:t xml:space="preserve"> —</w:t>
    </w:r>
    <w:r>
      <w:rPr>
        <w:rStyle w:val="19"/>
        <w:rFonts w:hint="eastAsia" w:ascii="宋体"/>
        <w:color w:val="FFFFFF"/>
        <w:sz w:val="28"/>
        <w:szCs w:val="28"/>
      </w:rPr>
      <w:t>—</w:t>
    </w:r>
  </w:p>
  <w:p w14:paraId="3395E519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6B5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c3MzUzOWE5ZGNhMTg2MzlhYTQ0MjYyMTk2MzI3MTEifQ=="/>
  </w:docVars>
  <w:rsids>
    <w:rsidRoot w:val="00000000"/>
    <w:rsid w:val="3133421D"/>
    <w:rsid w:val="3F5300FA"/>
    <w:rsid w:val="57E8194F"/>
    <w:rsid w:val="661D7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9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0">
    <w:name w:val="Body Text Indent"/>
    <w:basedOn w:val="1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uiPriority w:val="0"/>
    <w:pPr>
      <w:ind w:left="2500" w:leftChars="2500"/>
    </w:pPr>
  </w:style>
  <w:style w:type="paragraph" w:styleId="13">
    <w:name w:val="Balloon Text"/>
    <w:basedOn w:val="1"/>
    <w:qFormat/>
    <w:uiPriority w:val="0"/>
    <w:rPr>
      <w:sz w:val="18"/>
      <w:szCs w:val="18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6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6">
    <w:name w:val="正文1"/>
    <w:uiPriority w:val="0"/>
    <w:pPr>
      <w:widowControl/>
      <w:suppressAutoHyphens w:val="0"/>
      <w:kinsoku w:val="0"/>
      <w:bidi w:val="0"/>
      <w:snapToGrid w:val="0"/>
      <w:spacing w:beforeAutospacing="0" w:afterAutospacing="0"/>
      <w:jc w:val="left"/>
      <w:textAlignment w:val="baseline"/>
    </w:pPr>
    <w:rPr>
      <w:rFonts w:ascii="Arial" w:hAnsi="Arial" w:eastAsia="Arial" w:cs="Arial"/>
      <w:color w:val="000000"/>
      <w:kern w:val="0"/>
      <w:sz w:val="21"/>
      <w:szCs w:val="21"/>
      <w:lang w:val="en-US" w:eastAsia="zh-CN" w:bidi="ar-SA"/>
    </w:rPr>
  </w:style>
  <w:style w:type="character" w:styleId="19">
    <w:name w:val="page number"/>
    <w:basedOn w:val="18"/>
    <w:qFormat/>
    <w:uiPriority w:val="0"/>
  </w:style>
  <w:style w:type="paragraph" w:customStyle="1" w:styleId="20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10</Pages>
  <Words>2806</Words>
  <Characters>3022</Characters>
  <Lines>0</Lines>
  <Paragraphs>111</Paragraphs>
  <TotalTime>0</TotalTime>
  <ScaleCrop>false</ScaleCrop>
  <LinksUpToDate>false</LinksUpToDate>
  <CharactersWithSpaces>3043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2024-11-24T06:58:18Z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52FEBA74A25D402691E70F4C0B21B7CD_12</vt:lpwstr>
  </property>
</Properties>
</file>