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922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257440C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1DA3D91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39193EE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25F3B3A9">
      <w:pPr>
        <w:tabs>
          <w:tab w:val="left" w:pos="7560"/>
        </w:tabs>
        <w:adjustRightInd w:val="0"/>
        <w:snapToGrid w:val="0"/>
        <w:jc w:val="center"/>
        <w:rPr>
          <w:rFonts w:hint="eastAsia" w:eastAsia="方正小标宋简体"/>
          <w:bCs/>
          <w:sz w:val="84"/>
          <w:szCs w:val="84"/>
          <w:highlight w:val="none"/>
          <w:lang w:eastAsia="zh-CN"/>
        </w:rPr>
      </w:pPr>
      <w:r>
        <w:rPr>
          <w:rFonts w:hint="eastAsia" w:eastAsia="方正小标宋简体"/>
          <w:bCs/>
          <w:sz w:val="84"/>
          <w:szCs w:val="84"/>
          <w:highlight w:val="none"/>
          <w:lang w:eastAsia="zh-CN"/>
        </w:rPr>
        <w:t>醴陵市殡仪馆</w:t>
      </w:r>
    </w:p>
    <w:p w14:paraId="0AAD8220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  <w:highlight w:val="none"/>
        </w:rPr>
      </w:pPr>
      <w:r>
        <w:rPr>
          <w:rFonts w:eastAsia="方正小标宋简体"/>
          <w:bCs/>
          <w:sz w:val="84"/>
          <w:szCs w:val="84"/>
          <w:highlight w:val="none"/>
        </w:rPr>
        <w:t>2023年部门预算</w:t>
      </w:r>
    </w:p>
    <w:p w14:paraId="08311CF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3858AAF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5886463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3135F65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07C0C64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0EAA44B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1FF5262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6A513C4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464A632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75C3D69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0C7A9FF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4BB998A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4D995F6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2A1548B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67723B5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>目  录</w:t>
      </w:r>
    </w:p>
    <w:p w14:paraId="3A38ADD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第一部分 部门预算公开说明</w:t>
      </w:r>
    </w:p>
    <w:p w14:paraId="6E13DA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一、部门职能职责</w:t>
      </w:r>
    </w:p>
    <w:p w14:paraId="2C354E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二、机构设置</w:t>
      </w:r>
    </w:p>
    <w:p w14:paraId="243611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三、部门预算单位构成</w:t>
      </w:r>
    </w:p>
    <w:p w14:paraId="162BD0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四、部门收支总体情况</w:t>
      </w:r>
    </w:p>
    <w:p w14:paraId="53E7C9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（一）收入预算</w:t>
      </w:r>
    </w:p>
    <w:p w14:paraId="73BE25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（二）支出预算</w:t>
      </w:r>
    </w:p>
    <w:p w14:paraId="624E208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（三）预算收支增减变化情况说明</w:t>
      </w:r>
    </w:p>
    <w:p w14:paraId="1E55320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五、一般公共预算拨款支出预算</w:t>
      </w:r>
    </w:p>
    <w:p w14:paraId="44D26F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（一）基本支出</w:t>
      </w:r>
    </w:p>
    <w:p w14:paraId="4EC05C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（二）项目支出</w:t>
      </w:r>
    </w:p>
    <w:p w14:paraId="412F09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六、政府性基金预算支出</w:t>
      </w:r>
    </w:p>
    <w:p w14:paraId="2FFA6A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七、其他重要事项情况说明</w:t>
      </w:r>
    </w:p>
    <w:p w14:paraId="6FE7EBC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（一）机关运行经费</w:t>
      </w:r>
    </w:p>
    <w:p w14:paraId="5AACE7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（二）政府采购预算</w:t>
      </w:r>
    </w:p>
    <w:p w14:paraId="7CBC712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（三）国有资产占有情况</w:t>
      </w:r>
    </w:p>
    <w:p w14:paraId="5A05D3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（四）重点项目预算的绩效目标等情况</w:t>
      </w:r>
    </w:p>
    <w:p w14:paraId="5A6E00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（五）一般公共预算“三公”经费预算</w:t>
      </w:r>
    </w:p>
    <w:p w14:paraId="0297589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（六）会议费、培训费</w:t>
      </w:r>
    </w:p>
    <w:p w14:paraId="5D2B41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（七）其他事项</w:t>
      </w:r>
    </w:p>
    <w:p w14:paraId="2EC8E1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八、名词解释</w:t>
      </w:r>
    </w:p>
    <w:p w14:paraId="34F7EAD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第二部分 部门预算公开表格</w:t>
      </w:r>
    </w:p>
    <w:p w14:paraId="2394A7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（一）</w:t>
      </w:r>
      <w:r>
        <w:rPr>
          <w:rFonts w:hint="eastAsia" w:hAnsi="仿宋_GB2312" w:eastAsia="仿宋_GB2312"/>
          <w:sz w:val="32"/>
          <w:szCs w:val="32"/>
          <w:highlight w:val="none"/>
        </w:rPr>
        <w:t>部门收支总体情况表</w:t>
      </w:r>
    </w:p>
    <w:p w14:paraId="30C26AF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（二）</w:t>
      </w:r>
      <w:r>
        <w:rPr>
          <w:rFonts w:hint="eastAsia" w:hAnsi="仿宋_GB2312" w:eastAsia="仿宋_GB2312"/>
          <w:sz w:val="32"/>
          <w:szCs w:val="32"/>
          <w:highlight w:val="none"/>
        </w:rPr>
        <w:t>部门收入总体情况表</w:t>
      </w:r>
    </w:p>
    <w:p w14:paraId="40B1DF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（三）</w:t>
      </w:r>
      <w:r>
        <w:rPr>
          <w:rFonts w:hint="eastAsia" w:hAnsi="仿宋_GB2312" w:eastAsia="仿宋_GB2312"/>
          <w:sz w:val="32"/>
          <w:szCs w:val="32"/>
          <w:highlight w:val="none"/>
        </w:rPr>
        <w:t>部门支出总体情况表</w:t>
      </w:r>
    </w:p>
    <w:p w14:paraId="488263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（四）支出分类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1E80B1D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（五）支出分类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部门预算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081F5A3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（六）</w:t>
      </w:r>
      <w:r>
        <w:rPr>
          <w:rFonts w:hint="eastAsia" w:hAnsi="仿宋_GB2312" w:eastAsia="仿宋_GB2312"/>
          <w:sz w:val="32"/>
          <w:szCs w:val="32"/>
          <w:highlight w:val="none"/>
        </w:rPr>
        <w:t>财政拨款收支总体情况表</w:t>
      </w:r>
    </w:p>
    <w:p w14:paraId="01DEF4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（七）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一般公共预算支出情况表</w:t>
      </w:r>
    </w:p>
    <w:p w14:paraId="7F8CF87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（八）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一般公共预算基本支出情况表</w:t>
      </w:r>
    </w:p>
    <w:p w14:paraId="1DADE9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Ansi="仿宋_GB2312" w:eastAsia="仿宋_GB2312"/>
          <w:sz w:val="32"/>
          <w:szCs w:val="32"/>
          <w:highlight w:val="none"/>
        </w:rPr>
        <w:t>工资福利（政府预算）</w:t>
      </w:r>
    </w:p>
    <w:p w14:paraId="33437FC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（十）工资福利</w:t>
      </w:r>
    </w:p>
    <w:p w14:paraId="6CAFA6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（十一）个人家庭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192BBF3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（十二）个人家庭</w:t>
      </w:r>
    </w:p>
    <w:p w14:paraId="691694C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（十三）商品服务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0CA0FB6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（十四）商品服务</w:t>
      </w:r>
    </w:p>
    <w:p w14:paraId="448998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（十五）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一般公共预算“三公”经费支出情况表</w:t>
      </w:r>
    </w:p>
    <w:p w14:paraId="413D908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（十六）</w:t>
      </w:r>
      <w:r>
        <w:rPr>
          <w:rFonts w:hint="eastAsia" w:hAnsi="仿宋_GB2312" w:eastAsia="仿宋_GB2312"/>
          <w:sz w:val="32"/>
          <w:szCs w:val="32"/>
          <w:highlight w:val="none"/>
        </w:rPr>
        <w:t>政府性基金预算支出情况表</w:t>
      </w:r>
    </w:p>
    <w:p w14:paraId="6B0AB66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（十七）政府性基金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32051EC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（十八）政府性基金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部门预算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178B84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（十九）国有资本经营预算</w:t>
      </w:r>
    </w:p>
    <w:p w14:paraId="3146719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（二十）财政专户管理资金</w:t>
      </w:r>
    </w:p>
    <w:p w14:paraId="4E0D3D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（二十一）专项清单</w:t>
      </w:r>
    </w:p>
    <w:p w14:paraId="40F2DFA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（二十二）项目支出绩效目标表</w:t>
      </w:r>
    </w:p>
    <w:p w14:paraId="2062C3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Ansi="仿宋_GB2312" w:eastAsia="仿宋_GB2312"/>
          <w:sz w:val="32"/>
          <w:szCs w:val="32"/>
          <w:highlight w:val="none"/>
        </w:rPr>
        <w:t>）整体支出绩效目标表</w:t>
      </w:r>
      <w:r>
        <w:rPr>
          <w:rFonts w:eastAsia="仿宋_GB2312"/>
          <w:sz w:val="32"/>
          <w:szCs w:val="32"/>
          <w:highlight w:val="none"/>
        </w:rPr>
        <w:t xml:space="preserve"> </w:t>
      </w:r>
    </w:p>
    <w:p w14:paraId="32B3E9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表金额单位转换时可能存在尾数误差）</w:t>
      </w:r>
      <w:r>
        <w:rPr>
          <w:rFonts w:eastAsia="仿宋_GB2312"/>
          <w:sz w:val="32"/>
          <w:szCs w:val="32"/>
          <w:highlight w:val="none"/>
        </w:rPr>
        <w:t xml:space="preserve"> </w:t>
      </w:r>
    </w:p>
    <w:p w14:paraId="0A780C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 w14:paraId="37DDB51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第一部分：</w:t>
      </w:r>
    </w:p>
    <w:p w14:paraId="6CFF2C76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  <w:highlight w:val="none"/>
        </w:rPr>
      </w:pPr>
    </w:p>
    <w:p w14:paraId="52282B9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  <w:lang w:eastAsia="zh-CN"/>
        </w:rPr>
        <w:t>醴陵市殡仪馆</w:t>
      </w:r>
      <w:r>
        <w:rPr>
          <w:rFonts w:eastAsia="方正小标宋简体"/>
          <w:bCs/>
          <w:sz w:val="44"/>
          <w:szCs w:val="44"/>
          <w:highlight w:val="none"/>
        </w:rPr>
        <w:t>2023年部门预算说明</w:t>
      </w:r>
    </w:p>
    <w:p w14:paraId="6151D98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</w:p>
    <w:p w14:paraId="3C00F2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一、部门职能职责</w:t>
      </w:r>
    </w:p>
    <w:p w14:paraId="502B7F8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Style w:val="19"/>
          <w:rFonts w:hint="eastAsia" w:ascii="仿宋" w:hAnsi="仿宋" w:eastAsia="仿宋_GB2312"/>
          <w:sz w:val="32"/>
          <w:szCs w:val="32"/>
          <w:highlight w:val="none"/>
        </w:rPr>
        <w:t>提供殡仪服务、殡葬礼仪服务、遗体处置服务、遗体火化、骨灰安葬安放服务、丧葬用品服务</w:t>
      </w:r>
      <w:r>
        <w:rPr>
          <w:rFonts w:hint="eastAsia" w:ascii="仿宋" w:hAnsi="Times New Roman" w:eastAsia="仿宋_GB2312" w:cs="仿宋"/>
          <w:sz w:val="32"/>
          <w:szCs w:val="32"/>
          <w:highlight w:val="none"/>
        </w:rPr>
        <w:t>。</w:t>
      </w:r>
    </w:p>
    <w:p w14:paraId="0DA4CF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二、机构设置</w:t>
      </w:r>
    </w:p>
    <w:p w14:paraId="6CB95F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_GB2312" w:cs="仿宋"/>
          <w:sz w:val="32"/>
          <w:szCs w:val="32"/>
          <w:highlight w:val="none"/>
        </w:rPr>
        <w:t>本单位为</w:t>
      </w:r>
      <w:r>
        <w:rPr>
          <w:rFonts w:hint="eastAsia" w:ascii="仿宋" w:hAnsi="仿宋" w:eastAsia="仿宋_GB2312" w:cs="仿宋"/>
          <w:sz w:val="32"/>
          <w:szCs w:val="32"/>
          <w:highlight w:val="none"/>
          <w:lang w:eastAsia="zh-CN"/>
        </w:rPr>
        <w:t>醴陵市民政</w:t>
      </w:r>
      <w:r>
        <w:rPr>
          <w:rFonts w:hint="eastAsia" w:ascii="仿宋" w:hAnsi="仿宋" w:eastAsia="仿宋_GB2312" w:cs="仿宋"/>
          <w:sz w:val="32"/>
          <w:szCs w:val="32"/>
          <w:highlight w:val="none"/>
        </w:rPr>
        <w:t>局下属二级预算单位，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属于公益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类事业单位，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eastAsia="zh-CN"/>
        </w:rPr>
        <w:t>无内设机构，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共有编制人数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人，实有人数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val="en-US" w:eastAsia="zh-CN"/>
        </w:rPr>
        <w:t>12人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。</w:t>
      </w:r>
    </w:p>
    <w:p w14:paraId="1F31E1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三、部门预算单位构成</w:t>
      </w:r>
    </w:p>
    <w:p w14:paraId="0829A6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醴陵市殡仪馆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只有本级，没有其他预算单位，因此纳入2023年部门预算编制范围的只有醴陵市殡仪馆本级</w:t>
      </w:r>
      <w:r>
        <w:rPr>
          <w:rFonts w:eastAsia="仿宋_GB2312"/>
          <w:color w:val="000000"/>
          <w:sz w:val="32"/>
          <w:szCs w:val="32"/>
          <w:highlight w:val="none"/>
        </w:rPr>
        <w:t>。</w:t>
      </w:r>
    </w:p>
    <w:p w14:paraId="46910D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四、部门收支总体情况</w:t>
      </w:r>
    </w:p>
    <w:p w14:paraId="639AC3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2023年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醴陵市殡仪馆</w:t>
      </w:r>
      <w:r>
        <w:rPr>
          <w:rFonts w:hint="eastAsia" w:eastAsia="仿宋_GB2312"/>
          <w:color w:val="auto"/>
          <w:sz w:val="32"/>
          <w:szCs w:val="32"/>
          <w:highlight w:val="none"/>
        </w:rPr>
        <w:t>公开的部门预算为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本单位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  <w:highlight w:val="none"/>
        </w:rPr>
        <w:t>收入包括一般公共预算收入；支出既包括保障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本</w:t>
      </w:r>
      <w:r>
        <w:rPr>
          <w:rFonts w:eastAsia="仿宋_GB2312"/>
          <w:sz w:val="32"/>
          <w:szCs w:val="32"/>
          <w:highlight w:val="none"/>
        </w:rPr>
        <w:t>单位基本运行的经费，也包括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无名尸</w:t>
      </w:r>
      <w:r>
        <w:rPr>
          <w:rFonts w:eastAsia="仿宋_GB2312"/>
          <w:sz w:val="32"/>
          <w:szCs w:val="32"/>
          <w:highlight w:val="none"/>
        </w:rPr>
        <w:t>专项经费。（详见附表）</w:t>
      </w:r>
    </w:p>
    <w:p w14:paraId="1E3640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（一）收入预算</w:t>
      </w:r>
      <w:r>
        <w:rPr>
          <w:rFonts w:eastAsia="楷体_GB2312"/>
          <w:sz w:val="32"/>
          <w:szCs w:val="32"/>
          <w:highlight w:val="none"/>
        </w:rPr>
        <w:t>：</w:t>
      </w:r>
      <w:r>
        <w:rPr>
          <w:rFonts w:eastAsia="仿宋_GB2312"/>
          <w:sz w:val="32"/>
          <w:szCs w:val="32"/>
          <w:highlight w:val="none"/>
        </w:rPr>
        <w:t>2023年年初预算数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130.38</w:t>
      </w:r>
      <w:r>
        <w:rPr>
          <w:rFonts w:eastAsia="仿宋_GB2312"/>
          <w:sz w:val="32"/>
          <w:szCs w:val="32"/>
          <w:highlight w:val="none"/>
        </w:rPr>
        <w:t>万元，其中，一般公共预算拨款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130.38</w:t>
      </w:r>
      <w:r>
        <w:rPr>
          <w:rFonts w:eastAsia="仿宋_GB2312"/>
          <w:sz w:val="32"/>
          <w:szCs w:val="32"/>
          <w:highlight w:val="none"/>
        </w:rPr>
        <w:t>万元；政府性基金拨款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万元；财政专户管理的非税收入拨款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万元；上级财政补助收入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万元。因上年结转数暂未最终确定，本年度收支预算中均不含上年结转数字。</w:t>
      </w:r>
    </w:p>
    <w:p w14:paraId="42963C9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（二）支出预算：</w:t>
      </w:r>
      <w:r>
        <w:rPr>
          <w:rFonts w:hint="eastAsia" w:ascii="仿宋" w:hAnsi="仿宋" w:eastAsia="仿宋_GB2312" w:cs="仿宋"/>
          <w:sz w:val="32"/>
          <w:szCs w:val="32"/>
          <w:highlight w:val="none"/>
        </w:rPr>
        <w:t>2023年年初预算数</w:t>
      </w:r>
      <w:r>
        <w:rPr>
          <w:rFonts w:hint="eastAsia" w:ascii="仿宋" w:hAnsi="仿宋" w:eastAsia="仿宋_GB2312" w:cs="仿宋"/>
          <w:sz w:val="32"/>
          <w:szCs w:val="32"/>
          <w:highlight w:val="none"/>
          <w:lang w:val="en-US" w:eastAsia="zh-CN"/>
        </w:rPr>
        <w:t>130.38</w:t>
      </w:r>
      <w:r>
        <w:rPr>
          <w:rFonts w:hint="eastAsia" w:ascii="仿宋" w:hAnsi="仿宋" w:eastAsia="仿宋_GB2312" w:cs="仿宋"/>
          <w:sz w:val="32"/>
          <w:szCs w:val="32"/>
          <w:highlight w:val="none"/>
        </w:rPr>
        <w:t>万元，其中，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社会保障和就业支出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val="en-US" w:eastAsia="zh-CN"/>
        </w:rPr>
        <w:t>113.21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万元、卫生健康支出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val="en-US" w:eastAsia="zh-CN"/>
        </w:rPr>
        <w:t>4.28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万元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eastAsia="zh-CN"/>
        </w:rPr>
        <w:t>、住房保障支出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val="en-US" w:eastAsia="zh-CN"/>
        </w:rPr>
        <w:t>12.89万元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。</w:t>
      </w:r>
    </w:p>
    <w:p w14:paraId="1707A59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color w:val="000000"/>
          <w:sz w:val="32"/>
          <w:szCs w:val="32"/>
          <w:highlight w:val="none"/>
        </w:rPr>
        <w:t>1.基本支出：</w:t>
      </w:r>
      <w:r>
        <w:rPr>
          <w:rFonts w:eastAsia="仿宋_GB2312"/>
          <w:color w:val="000000"/>
          <w:sz w:val="32"/>
          <w:szCs w:val="32"/>
          <w:highlight w:val="none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127.38</w:t>
      </w:r>
      <w:r>
        <w:rPr>
          <w:rFonts w:eastAsia="仿宋_GB2312"/>
          <w:color w:val="000000"/>
          <w:sz w:val="32"/>
          <w:szCs w:val="32"/>
          <w:highlight w:val="none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46.04</w:t>
      </w:r>
      <w:r>
        <w:rPr>
          <w:rFonts w:eastAsia="仿宋_GB2312"/>
          <w:color w:val="000000"/>
          <w:sz w:val="32"/>
          <w:szCs w:val="32"/>
          <w:highlight w:val="none"/>
        </w:rPr>
        <w:t>万元、津贴补贴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26.35</w:t>
      </w:r>
      <w:r>
        <w:rPr>
          <w:rFonts w:eastAsia="仿宋_GB2312"/>
          <w:color w:val="000000"/>
          <w:sz w:val="32"/>
          <w:szCs w:val="32"/>
          <w:highlight w:val="none"/>
        </w:rPr>
        <w:t>万元、奖金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22.61</w:t>
      </w:r>
      <w:r>
        <w:rPr>
          <w:rFonts w:eastAsia="仿宋_GB2312"/>
          <w:color w:val="000000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社会保障缴费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19.48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万元、住房公积金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12.89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color w:val="000000"/>
          <w:sz w:val="32"/>
          <w:szCs w:val="32"/>
          <w:highlight w:val="none"/>
        </w:rPr>
        <w:t>其他工资福利支出</w:t>
      </w:r>
      <w:r>
        <w:rPr>
          <w:rFonts w:hint="eastAsia" w:eastAsia="仿宋_GB2312"/>
          <w:color w:val="000000"/>
          <w:sz w:val="32"/>
          <w:szCs w:val="32"/>
          <w:highlight w:val="none"/>
        </w:rPr>
        <w:t>0</w:t>
      </w:r>
      <w:r>
        <w:rPr>
          <w:rFonts w:eastAsia="仿宋_GB2312"/>
          <w:color w:val="000000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对个人和家庭的补助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万元、</w:t>
      </w:r>
      <w:r>
        <w:rPr>
          <w:rFonts w:eastAsia="仿宋_GB2312"/>
          <w:color w:val="000000"/>
          <w:sz w:val="32"/>
          <w:szCs w:val="32"/>
          <w:highlight w:val="none"/>
        </w:rPr>
        <w:t>公用经费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eastAsia="仿宋_GB2312"/>
          <w:color w:val="000000"/>
          <w:sz w:val="32"/>
          <w:szCs w:val="32"/>
          <w:highlight w:val="none"/>
        </w:rPr>
        <w:t>、工作性专项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万元</w:t>
      </w:r>
      <w:r>
        <w:rPr>
          <w:rFonts w:eastAsia="仿宋_GB2312"/>
          <w:color w:val="000000"/>
          <w:sz w:val="32"/>
          <w:szCs w:val="32"/>
          <w:highlight w:val="none"/>
        </w:rPr>
        <w:t>等。</w:t>
      </w:r>
    </w:p>
    <w:p w14:paraId="7981F1D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b/>
          <w:color w:val="000000"/>
          <w:sz w:val="32"/>
          <w:szCs w:val="32"/>
          <w:highlight w:val="none"/>
        </w:rPr>
        <w:t>2.项目支出：</w:t>
      </w:r>
      <w:r>
        <w:rPr>
          <w:rFonts w:hint="eastAsia" w:eastAsia="仿宋_GB2312"/>
          <w:color w:val="000000"/>
          <w:sz w:val="32"/>
          <w:szCs w:val="32"/>
          <w:highlight w:val="none"/>
        </w:rPr>
        <w:t>2023</w:t>
      </w:r>
      <w:r>
        <w:rPr>
          <w:rFonts w:eastAsia="仿宋_GB2312"/>
          <w:color w:val="000000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  <w:highlight w:val="none"/>
        </w:rPr>
        <w:t>万元，是指单位为完成特定行政工作任务或事业发展目标而发生的支出，包括有关事业发展专项、基本建设支出、资本性支出等。其中：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无名尸</w:t>
      </w:r>
      <w:r>
        <w:rPr>
          <w:rFonts w:eastAsia="仿宋_GB2312"/>
          <w:color w:val="000000"/>
          <w:sz w:val="32"/>
          <w:szCs w:val="32"/>
          <w:highlight w:val="none"/>
        </w:rPr>
        <w:t>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  <w:highlight w:val="none"/>
        </w:rPr>
        <w:t>万元。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主要</w:t>
      </w:r>
      <w:r>
        <w:rPr>
          <w:rFonts w:hint="eastAsia" w:ascii="仿宋" w:hAnsi="仿宋" w:eastAsia="仿宋_GB2312" w:cs="仿宋"/>
          <w:sz w:val="32"/>
          <w:szCs w:val="32"/>
          <w:highlight w:val="none"/>
        </w:rPr>
        <w:t>通过对无名尸遗体保存及火化，可以在一定程度上维护社会稳定，减少风险发生</w:t>
      </w:r>
      <w:r>
        <w:rPr>
          <w:rFonts w:hint="eastAsia" w:ascii="仿宋" w:hAnsi="仿宋" w:eastAsia="仿宋_GB2312" w:cs="仿宋"/>
          <w:sz w:val="32"/>
          <w:szCs w:val="32"/>
          <w:highlight w:val="none"/>
          <w:lang w:eastAsia="zh-CN"/>
        </w:rPr>
        <w:t>。</w:t>
      </w:r>
    </w:p>
    <w:p w14:paraId="4707A37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楷体_GB2312"/>
          <w:bCs/>
          <w:sz w:val="32"/>
          <w:szCs w:val="32"/>
          <w:highlight w:val="none"/>
        </w:rPr>
        <w:t>（三）预算收支增减变化情况说明：</w:t>
      </w: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年度本部门年初预算数为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130.38</w:t>
      </w:r>
      <w:r>
        <w:rPr>
          <w:rFonts w:eastAsia="仿宋_GB2312"/>
          <w:sz w:val="32"/>
          <w:szCs w:val="32"/>
          <w:highlight w:val="none"/>
        </w:rPr>
        <w:t>万元，比上年增加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33.69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eastAsia="仿宋_GB2312"/>
          <w:color w:val="auto"/>
          <w:sz w:val="32"/>
          <w:szCs w:val="32"/>
          <w:highlight w:val="none"/>
        </w:rPr>
        <w:t>主要原因是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财政适当增加了</w:t>
      </w:r>
      <w:r>
        <w:rPr>
          <w:rFonts w:eastAsia="仿宋_GB2312"/>
          <w:color w:val="auto"/>
          <w:sz w:val="32"/>
          <w:szCs w:val="32"/>
          <w:highlight w:val="none"/>
        </w:rPr>
        <w:t>人员经费和运转经费上涨等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5E4D8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五、一般公共预算拨款支出预算</w:t>
      </w:r>
    </w:p>
    <w:p w14:paraId="075C9B1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年本部门一般公共预算拨款支出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130.38</w:t>
      </w:r>
      <w:r>
        <w:rPr>
          <w:rFonts w:eastAsia="仿宋_GB2312"/>
          <w:sz w:val="32"/>
          <w:szCs w:val="32"/>
          <w:highlight w:val="none"/>
        </w:rPr>
        <w:t>万元，具体安排如下：</w:t>
      </w:r>
    </w:p>
    <w:p w14:paraId="3C363D5E">
      <w:pPr>
        <w:pStyle w:val="3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52B373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2023年预算支出15.20万元。</w:t>
      </w:r>
    </w:p>
    <w:p w14:paraId="7C15CB94">
      <w:pPr>
        <w:pStyle w:val="3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社会保障和就业支出（类）社会福利（款）殡葬（项）</w:t>
      </w:r>
    </w:p>
    <w:p w14:paraId="339E8B55"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2023年预算支出98.01万元。</w:t>
      </w:r>
    </w:p>
    <w:p w14:paraId="006C04DD">
      <w:pPr>
        <w:pStyle w:val="3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卫生健康支出（类）行政事业单位医疗（款）事业单位医疗（项）</w:t>
      </w:r>
    </w:p>
    <w:p w14:paraId="13803ACC"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2023年预算支出4.28万元。</w:t>
      </w:r>
    </w:p>
    <w:p w14:paraId="3882A3F1">
      <w:pPr>
        <w:pStyle w:val="3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住房保障支出（类）住房改革支出（款）住房公积金（项）</w:t>
      </w:r>
    </w:p>
    <w:p w14:paraId="72EC3746"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2023年预算支出12.89万元。</w:t>
      </w:r>
    </w:p>
    <w:p w14:paraId="1BFE70E9">
      <w:pPr>
        <w:pStyle w:val="3"/>
      </w:pPr>
    </w:p>
    <w:p w14:paraId="397C40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（一）基本支出</w:t>
      </w:r>
    </w:p>
    <w:p w14:paraId="6C0B2DC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1、人员类支出。2023</w:t>
      </w:r>
      <w:r>
        <w:rPr>
          <w:rFonts w:eastAsia="仿宋_GB2312"/>
          <w:sz w:val="32"/>
          <w:szCs w:val="32"/>
          <w:highlight w:val="none"/>
        </w:rPr>
        <w:t>年年初预算数为</w:t>
      </w:r>
      <w:r>
        <w:rPr>
          <w:rFonts w:eastAsia="仿宋_GB2312"/>
          <w:sz w:val="32"/>
          <w:szCs w:val="32"/>
          <w:highlight w:val="none"/>
          <w:lang w:val="en-US" w:eastAsia="zh-CN"/>
        </w:rPr>
        <w:t>127.38</w:t>
      </w:r>
      <w:r>
        <w:rPr>
          <w:rFonts w:eastAsia="仿宋_GB2312"/>
          <w:sz w:val="32"/>
          <w:szCs w:val="32"/>
          <w:highlight w:val="none"/>
        </w:rPr>
        <w:t>万元。其中包括基本工资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46.04</w:t>
      </w:r>
      <w:r>
        <w:rPr>
          <w:rFonts w:eastAsia="仿宋_GB2312"/>
          <w:sz w:val="32"/>
          <w:szCs w:val="32"/>
          <w:highlight w:val="none"/>
        </w:rPr>
        <w:t>万元、津贴补贴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26.35</w:t>
      </w:r>
      <w:r>
        <w:rPr>
          <w:rFonts w:eastAsia="仿宋_GB2312"/>
          <w:sz w:val="32"/>
          <w:szCs w:val="32"/>
          <w:highlight w:val="none"/>
        </w:rPr>
        <w:t>万元、奖金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22.61</w:t>
      </w:r>
      <w:r>
        <w:rPr>
          <w:rFonts w:eastAsia="仿宋_GB2312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社会保障缴费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19.48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万元、住房公积金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12.89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其他工资福利支出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等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0457B9E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2、公用类支出。2023年年初预算数为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sz w:val="32"/>
          <w:szCs w:val="32"/>
          <w:highlight w:val="none"/>
        </w:rPr>
        <w:t>万元。</w:t>
      </w:r>
    </w:p>
    <w:p w14:paraId="2FB30D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（二）项目支出</w:t>
      </w:r>
    </w:p>
    <w:p w14:paraId="5B94A1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1、其他运转类支出。2023年年初预算数为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sz w:val="32"/>
          <w:szCs w:val="32"/>
          <w:highlight w:val="none"/>
        </w:rPr>
        <w:t>万元。</w:t>
      </w:r>
    </w:p>
    <w:p w14:paraId="48EDDD7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2、特定目标类支出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：无名尸</w:t>
      </w:r>
      <w:r>
        <w:rPr>
          <w:rFonts w:eastAsia="仿宋_GB2312"/>
          <w:sz w:val="32"/>
          <w:szCs w:val="32"/>
          <w:highlight w:val="none"/>
        </w:rPr>
        <w:t>专项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hint="eastAsia" w:ascii="仿宋" w:hAnsi="仿宋" w:eastAsia="仿宋_GB2312" w:cs="仿宋"/>
          <w:color w:val="000000"/>
          <w:sz w:val="32"/>
          <w:szCs w:val="32"/>
          <w:highlight w:val="none"/>
        </w:rPr>
        <w:t>主要</w:t>
      </w:r>
      <w:r>
        <w:rPr>
          <w:rFonts w:hint="eastAsia" w:ascii="仿宋" w:hAnsi="仿宋" w:eastAsia="仿宋_GB2312" w:cs="仿宋"/>
          <w:sz w:val="32"/>
          <w:szCs w:val="32"/>
          <w:highlight w:val="none"/>
        </w:rPr>
        <w:t>通过对无名尸遗体保存及火化，可以在一定程度上维护社会稳定，减少风险发生</w:t>
      </w:r>
      <w:r>
        <w:rPr>
          <w:rFonts w:hint="eastAsia" w:ascii="仿宋" w:hAnsi="仿宋" w:eastAsia="仿宋_GB2312" w:cs="仿宋"/>
          <w:sz w:val="32"/>
          <w:szCs w:val="32"/>
          <w:highlight w:val="none"/>
          <w:lang w:eastAsia="zh-CN"/>
        </w:rPr>
        <w:t>。</w:t>
      </w:r>
    </w:p>
    <w:p w14:paraId="0EF43870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政</w:t>
      </w:r>
      <w:r>
        <w:rPr>
          <w:rFonts w:eastAsia="黑体"/>
          <w:sz w:val="32"/>
          <w:szCs w:val="32"/>
          <w:highlight w:val="none"/>
        </w:rPr>
        <w:t>府性基金预算支出</w:t>
      </w:r>
    </w:p>
    <w:p w14:paraId="095934B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bCs/>
          <w:color w:val="auto"/>
          <w:sz w:val="32"/>
          <w:szCs w:val="32"/>
          <w:highlight w:val="none"/>
        </w:rPr>
        <w:t>年度本部门无政府性基金预算安排的支出</w:t>
      </w:r>
    </w:p>
    <w:p w14:paraId="399E622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七、其他重要事项情况说明</w:t>
      </w:r>
    </w:p>
    <w:p w14:paraId="6B4EABD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  <w:highlight w:val="none"/>
          <w:lang w:eastAsia="zh-CN"/>
        </w:rPr>
      </w:pPr>
      <w:r>
        <w:rPr>
          <w:rFonts w:eastAsia="楷体_GB2312"/>
          <w:bCs/>
          <w:sz w:val="32"/>
          <w:szCs w:val="32"/>
          <w:highlight w:val="none"/>
        </w:rPr>
        <w:t>（一）</w:t>
      </w:r>
      <w:r>
        <w:rPr>
          <w:rFonts w:hint="eastAsia" w:eastAsia="楷体_GB2312"/>
          <w:bCs/>
          <w:sz w:val="32"/>
          <w:szCs w:val="32"/>
          <w:highlight w:val="none"/>
          <w:lang w:eastAsia="zh-CN"/>
        </w:rPr>
        <w:t>部门</w:t>
      </w:r>
      <w:r>
        <w:rPr>
          <w:rFonts w:eastAsia="楷体_GB2312"/>
          <w:bCs/>
          <w:sz w:val="32"/>
          <w:szCs w:val="32"/>
          <w:highlight w:val="none"/>
        </w:rPr>
        <w:t>运行经费：</w:t>
      </w:r>
      <w:r>
        <w:rPr>
          <w:rFonts w:eastAsia="仿宋_GB2312"/>
          <w:sz w:val="32"/>
          <w:szCs w:val="32"/>
          <w:highlight w:val="none"/>
        </w:rPr>
        <w:t>本部门</w:t>
      </w:r>
      <w:r>
        <w:rPr>
          <w:rFonts w:hint="eastAsia" w:eastAsia="仿宋_GB2312"/>
          <w:sz w:val="32"/>
          <w:szCs w:val="32"/>
          <w:highlight w:val="none"/>
        </w:rPr>
        <w:t>2023</w:t>
      </w:r>
      <w:r>
        <w:rPr>
          <w:rFonts w:eastAsia="仿宋_GB2312"/>
          <w:sz w:val="32"/>
          <w:szCs w:val="32"/>
          <w:highlight w:val="none"/>
        </w:rPr>
        <w:t>年年初预算机关运行经费共安排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3CECB55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</w:t>
      </w:r>
      <w:r>
        <w:rPr>
          <w:rFonts w:hint="eastAsia" w:eastAsia="楷体_GB2312"/>
          <w:bCs/>
          <w:sz w:val="32"/>
          <w:szCs w:val="32"/>
          <w:highlight w:val="none"/>
          <w:lang w:eastAsia="zh-CN"/>
        </w:rPr>
        <w:t>）</w:t>
      </w:r>
      <w:r>
        <w:rPr>
          <w:rFonts w:eastAsia="楷体_GB2312"/>
          <w:bCs/>
          <w:sz w:val="32"/>
          <w:szCs w:val="32"/>
          <w:highlight w:val="none"/>
        </w:rPr>
        <w:t>政府采购预算</w:t>
      </w:r>
      <w:r>
        <w:rPr>
          <w:rFonts w:hAnsi="华文楷体" w:eastAsia="华文楷体"/>
          <w:sz w:val="32"/>
          <w:szCs w:val="32"/>
          <w:highlight w:val="none"/>
        </w:rPr>
        <w:t>：</w:t>
      </w:r>
      <w:r>
        <w:rPr>
          <w:rFonts w:eastAsia="仿宋_GB2312"/>
          <w:sz w:val="32"/>
          <w:szCs w:val="32"/>
          <w:highlight w:val="none"/>
        </w:rPr>
        <w:t>本部门2023年年初预算数为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hint="eastAsia" w:eastAsia="仿宋_GB2312"/>
          <w:sz w:val="32"/>
          <w:szCs w:val="32"/>
          <w:highlight w:val="none"/>
        </w:rPr>
        <w:t>政府采购货物类0万元，服务类0万元，工程类0万元。</w:t>
      </w:r>
    </w:p>
    <w:p w14:paraId="58C61E1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（三）国有资产占有情况：</w:t>
      </w:r>
      <w:r>
        <w:rPr>
          <w:rFonts w:eastAsia="仿宋_GB2312"/>
          <w:sz w:val="32"/>
          <w:szCs w:val="32"/>
          <w:highlight w:val="none"/>
        </w:rPr>
        <w:t>截止20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年12月31日，本部门共有办公及业务用房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850</w:t>
      </w:r>
      <w:r>
        <w:rPr>
          <w:rFonts w:eastAsia="仿宋_GB2312"/>
          <w:sz w:val="32"/>
          <w:szCs w:val="32"/>
          <w:highlight w:val="none"/>
        </w:rPr>
        <w:t>平方米；车辆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辆，其中一般公务用车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辆、一般执法执勤用车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辆、货币化用车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、特种专业技术用车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3辆</w:t>
      </w:r>
      <w:r>
        <w:rPr>
          <w:rFonts w:eastAsia="仿宋_GB2312"/>
          <w:sz w:val="32"/>
          <w:szCs w:val="32"/>
          <w:highlight w:val="none"/>
        </w:rPr>
        <w:t>；单位价值200万以上大型设备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套。20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年部门预算安排购置车辆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辆，预算安排购置价值200万以上大型设备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套。</w:t>
      </w:r>
    </w:p>
    <w:p w14:paraId="410083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（四）重点项目预算的绩效目标等情况：</w:t>
      </w:r>
      <w:r>
        <w:rPr>
          <w:rFonts w:eastAsia="仿宋_GB2312"/>
          <w:sz w:val="32"/>
          <w:szCs w:val="32"/>
          <w:highlight w:val="none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年部门整体支出绩效目标的金额为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130.38</w:t>
      </w:r>
      <w:r>
        <w:rPr>
          <w:rFonts w:eastAsia="仿宋_GB2312"/>
          <w:sz w:val="32"/>
          <w:szCs w:val="32"/>
          <w:highlight w:val="none"/>
        </w:rPr>
        <w:t>万元，其中，基本支出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127.38</w:t>
      </w:r>
      <w:r>
        <w:rPr>
          <w:rFonts w:eastAsia="仿宋_GB2312"/>
          <w:sz w:val="32"/>
          <w:szCs w:val="32"/>
          <w:highlight w:val="none"/>
        </w:rPr>
        <w:t>万元，项目支出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万元（详见附表）。 </w:t>
      </w:r>
    </w:p>
    <w:p w14:paraId="4CB29FC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楷体_GB2312"/>
          <w:bCs/>
          <w:sz w:val="32"/>
          <w:szCs w:val="32"/>
          <w:highlight w:val="none"/>
        </w:rPr>
        <w:t>（五）一般公共预算“三公”经费情况：</w:t>
      </w:r>
      <w:r>
        <w:rPr>
          <w:rFonts w:eastAsia="仿宋_GB2312"/>
          <w:color w:val="auto"/>
          <w:sz w:val="32"/>
          <w:szCs w:val="32"/>
          <w:highlight w:val="none"/>
        </w:rPr>
        <w:t>本单位无公共财政拨款三公经费预算，所有“三公”经费均为自有资金安排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7095BF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年“三公”经费预算数0万元，其中：公务接待费0万元、</w:t>
      </w:r>
      <w:r>
        <w:rPr>
          <w:rFonts w:hint="eastAsia" w:eastAsia="仿宋_GB2312"/>
          <w:sz w:val="32"/>
          <w:szCs w:val="32"/>
          <w:highlight w:val="none"/>
        </w:rPr>
        <w:t>公务用车购置及运行费0万元（其中，公务用车购置费0万元，公务用车运行费0万元）</w:t>
      </w:r>
      <w:r>
        <w:rPr>
          <w:rFonts w:eastAsia="仿宋_GB2312"/>
          <w:sz w:val="32"/>
          <w:szCs w:val="32"/>
          <w:highlight w:val="none"/>
        </w:rPr>
        <w:t>、因公出国（境）费0万元。202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年公务用车购置数0台。</w:t>
      </w:r>
    </w:p>
    <w:p w14:paraId="0D2309E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2023年“三公”经费预算数与2022年持平，主要是</w:t>
      </w:r>
      <w:r>
        <w:rPr>
          <w:rFonts w:eastAsia="仿宋_GB2312"/>
          <w:color w:val="auto"/>
          <w:sz w:val="32"/>
          <w:szCs w:val="32"/>
          <w:highlight w:val="none"/>
        </w:rPr>
        <w:t>所有“三公”经费均为自有资金安排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1937366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（六）会议费、培训费预算：</w:t>
      </w:r>
    </w:p>
    <w:p w14:paraId="7C8BB04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年本单位无公共财政拨款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会议</w:t>
      </w:r>
      <w:r>
        <w:rPr>
          <w:rFonts w:eastAsia="仿宋_GB2312"/>
          <w:color w:val="auto"/>
          <w:sz w:val="32"/>
          <w:szCs w:val="32"/>
          <w:highlight w:val="none"/>
        </w:rPr>
        <w:t>费预算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58D655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年本单位无公共财政拨款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培训费</w:t>
      </w:r>
      <w:r>
        <w:rPr>
          <w:rFonts w:eastAsia="仿宋_GB2312"/>
          <w:color w:val="auto"/>
          <w:sz w:val="32"/>
          <w:szCs w:val="32"/>
          <w:highlight w:val="none"/>
        </w:rPr>
        <w:t>预算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。未计划举办节庆、晚会、论坛、赛事活动。</w:t>
      </w:r>
      <w:bookmarkStart w:id="0" w:name="_GoBack"/>
      <w:bookmarkEnd w:id="0"/>
    </w:p>
    <w:p w14:paraId="58F964C7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eastAsia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eastAsia="楷体_GB2312"/>
          <w:b w:val="0"/>
          <w:bCs w:val="0"/>
          <w:sz w:val="32"/>
          <w:szCs w:val="32"/>
          <w:highlight w:val="none"/>
        </w:rPr>
        <w:t>其他事项</w:t>
      </w:r>
      <w:r>
        <w:rPr>
          <w:rFonts w:hint="eastAsia" w:eastAsia="楷体_GB2312"/>
          <w:b w:val="0"/>
          <w:bCs w:val="0"/>
          <w:sz w:val="32"/>
          <w:szCs w:val="32"/>
          <w:highlight w:val="none"/>
          <w:lang w:val="en-US" w:eastAsia="zh-CN"/>
        </w:rPr>
        <w:t>:</w:t>
      </w:r>
    </w:p>
    <w:p w14:paraId="118448A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单位2023年预算未安排一般公共预算基本支出表--人员经费(对个人和家庭的补助)(按部门及政府预算经济分类)的预算；本单位2023年预算未安排一般公共预算基本支出表--公用经费(商品和服务支出)（按部门及政府预算经济分类）；本单位2023年预算未安排政府性基金收支预算和专户收支预算。本单位无门户网站，已在政府网站统一公开。</w:t>
      </w:r>
    </w:p>
    <w:p w14:paraId="4FF3BA4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  <w:highlight w:val="none"/>
        </w:rPr>
      </w:pPr>
      <w:r>
        <w:rPr>
          <w:rFonts w:hAnsi="黑体" w:eastAsia="黑体"/>
          <w:bCs/>
          <w:sz w:val="32"/>
          <w:szCs w:val="32"/>
          <w:highlight w:val="none"/>
        </w:rPr>
        <w:t>八、名词解释</w:t>
      </w:r>
    </w:p>
    <w:p w14:paraId="7AAA5C6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（一）一般公共预算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：</w:t>
      </w:r>
      <w:r>
        <w:rPr>
          <w:rFonts w:eastAsia="仿宋_GB2312"/>
          <w:sz w:val="32"/>
          <w:szCs w:val="32"/>
          <w:highlight w:val="none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4ABB411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（二）政府性基金预算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：</w:t>
      </w:r>
      <w:r>
        <w:rPr>
          <w:rFonts w:eastAsia="仿宋_GB2312"/>
          <w:sz w:val="32"/>
          <w:szCs w:val="32"/>
          <w:highlight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07C00E9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（三）国有资本经营预算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：</w:t>
      </w:r>
      <w:r>
        <w:rPr>
          <w:rFonts w:eastAsia="仿宋_GB2312"/>
          <w:sz w:val="32"/>
          <w:szCs w:val="32"/>
          <w:highlight w:val="none"/>
        </w:rPr>
        <w:t>是对国有资本收益作出支出安排的收支预算。应当按照收支平衡的原则编制，不列赤字，并安排资金调入一般公共预算。</w:t>
      </w:r>
    </w:p>
    <w:p w14:paraId="3C4B033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（四）社会保险基金预算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：</w:t>
      </w:r>
      <w:r>
        <w:rPr>
          <w:rFonts w:eastAsia="仿宋_GB2312"/>
          <w:sz w:val="32"/>
          <w:szCs w:val="32"/>
          <w:highlight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52B9B9A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（五）“三公”经费：</w:t>
      </w:r>
      <w:r>
        <w:rPr>
          <w:rFonts w:eastAsia="仿宋_GB2312"/>
          <w:sz w:val="32"/>
          <w:szCs w:val="32"/>
          <w:highlight w:val="none"/>
        </w:rPr>
        <w:t>是指商品和服务支出中的因公出国（境）费用、公务用车购置及运行维护费和公务接待费。</w:t>
      </w:r>
    </w:p>
    <w:p w14:paraId="6394F7B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（六）机关运行经费：</w:t>
      </w:r>
      <w:r>
        <w:rPr>
          <w:rFonts w:eastAsia="仿宋_GB2312"/>
          <w:sz w:val="32"/>
          <w:szCs w:val="32"/>
          <w:highlight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440C0F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C4093">
    <w:pPr>
      <w:pStyle w:val="14"/>
      <w:framePr w:wrap="around" w:vAnchor="text" w:hAnchor="margin" w:xAlign="outside" w:y="1"/>
      <w:rPr>
        <w:rStyle w:val="18"/>
        <w:rFonts w:ascii="宋体"/>
        <w:sz w:val="28"/>
        <w:szCs w:val="28"/>
      </w:rPr>
    </w:pPr>
    <w:r>
      <w:rPr>
        <w:rStyle w:val="18"/>
        <w:rFonts w:hint="eastAsia" w:ascii="宋体"/>
        <w:color w:val="FFFFFF"/>
        <w:sz w:val="28"/>
        <w:szCs w:val="28"/>
      </w:rPr>
      <w:t>—</w:t>
    </w:r>
    <w:r>
      <w:rPr>
        <w:rStyle w:val="18"/>
        <w:rFonts w:hint="eastAsia" w:ascii="宋体"/>
        <w:sz w:val="28"/>
        <w:szCs w:val="28"/>
      </w:rPr>
      <w:t xml:space="preserve">— </w:t>
    </w:r>
    <w:r>
      <w:rPr>
        <w:rStyle w:val="18"/>
        <w:rFonts w:hint="eastAsia" w:ascii="宋体"/>
        <w:sz w:val="28"/>
        <w:szCs w:val="28"/>
      </w:rPr>
      <w:fldChar w:fldCharType="begin"/>
    </w:r>
    <w:r>
      <w:rPr>
        <w:rStyle w:val="1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8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8"/>
        <w:rFonts w:hint="eastAsia" w:ascii="宋体"/>
        <w:sz w:val="28"/>
        <w:szCs w:val="28"/>
      </w:rPr>
      <w:t xml:space="preserve"> —</w:t>
    </w:r>
    <w:r>
      <w:rPr>
        <w:rStyle w:val="18"/>
        <w:rFonts w:hint="eastAsia" w:ascii="宋体"/>
        <w:color w:val="FFFFFF"/>
        <w:sz w:val="28"/>
        <w:szCs w:val="28"/>
      </w:rPr>
      <w:t>—</w:t>
    </w:r>
  </w:p>
  <w:p w14:paraId="79CFC61E"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10217">
    <w:pPr>
      <w:pStyle w:val="14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 w14:paraId="42353434">
    <w:pPr>
      <w:pStyle w:val="1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D336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D3134"/>
    <w:multiLevelType w:val="singleLevel"/>
    <w:tmpl w:val="3C8D3134"/>
    <w:lvl w:ilvl="0" w:tentative="0">
      <w:start w:val="7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52742798"/>
    <w:multiLevelType w:val="singleLevel"/>
    <w:tmpl w:val="5274279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DA5MDY5NTAwNGYzYTAzNTAzYjUzYmYzYjU2ZmYzNWUifQ=="/>
  </w:docVars>
  <w:rsids>
    <w:rsidRoot w:val="00000000"/>
    <w:rsid w:val="00155743"/>
    <w:rsid w:val="03855E93"/>
    <w:rsid w:val="17822E75"/>
    <w:rsid w:val="19D164C6"/>
    <w:rsid w:val="34E61774"/>
    <w:rsid w:val="36200AE6"/>
    <w:rsid w:val="3C9670CF"/>
    <w:rsid w:val="43CD7FF9"/>
    <w:rsid w:val="6D6B514C"/>
    <w:rsid w:val="6F812714"/>
    <w:rsid w:val="72A25DD2"/>
    <w:rsid w:val="7C403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autoRedefine/>
    <w:qFormat/>
    <w:uiPriority w:val="0"/>
    <w:pPr>
      <w:jc w:val="center"/>
      <w:outlineLvl w:val="2"/>
    </w:pPr>
    <w:rPr>
      <w:rFonts w:ascii="宋体" w:hAnsi="宋体" w:cs="宋体"/>
      <w:b/>
      <w:bCs/>
      <w:sz w:val="25"/>
      <w:szCs w:val="25"/>
    </w:rPr>
  </w:style>
  <w:style w:type="character" w:default="1" w:styleId="17">
    <w:name w:val="Default Paragraph Font"/>
    <w:autoRedefine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  <w:lang w:val="en-US" w:eastAsia="zh-CN" w:bidi="ar-SA"/>
    </w:rPr>
  </w:style>
  <w:style w:type="paragraph" w:customStyle="1" w:styleId="3">
    <w:name w:val="p0"/>
    <w:next w:val="4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4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9">
    <w:name w:val="Body Text"/>
    <w:basedOn w:val="1"/>
    <w:autoRedefine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10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11">
    <w:name w:val="Plain Text"/>
    <w:basedOn w:val="1"/>
    <w:autoRedefine/>
    <w:qFormat/>
    <w:uiPriority w:val="0"/>
    <w:rPr>
      <w:rFonts w:ascii="宋体" w:hAnsi="Courier New"/>
    </w:rPr>
  </w:style>
  <w:style w:type="paragraph" w:styleId="12">
    <w:name w:val="Date"/>
    <w:basedOn w:val="1"/>
    <w:next w:val="1"/>
    <w:autoRedefine/>
    <w:qFormat/>
    <w:uiPriority w:val="0"/>
    <w:pPr>
      <w:ind w:left="2500" w:leftChars="2500"/>
    </w:pPr>
  </w:style>
  <w:style w:type="paragraph" w:styleId="13">
    <w:name w:val="Balloon Text"/>
    <w:basedOn w:val="1"/>
    <w:autoRedefine/>
    <w:qFormat/>
    <w:uiPriority w:val="0"/>
    <w:rPr>
      <w:sz w:val="18"/>
      <w:szCs w:val="18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8">
    <w:name w:val="page number"/>
    <w:basedOn w:val="17"/>
    <w:autoRedefine/>
    <w:qFormat/>
    <w:uiPriority w:val="0"/>
  </w:style>
  <w:style w:type="character" w:customStyle="1" w:styleId="19">
    <w:name w:val="20"/>
    <w:basedOn w:val="17"/>
    <w:autoRedefine/>
    <w:qFormat/>
    <w:uiPriority w:val="0"/>
    <w:rPr>
      <w:rFonts w:ascii="Times New Roman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10</Pages>
  <Words>2895</Words>
  <Characters>3098</Characters>
  <Lines>0</Lines>
  <Paragraphs>114</Paragraphs>
  <TotalTime>2</TotalTime>
  <ScaleCrop>false</ScaleCrop>
  <LinksUpToDate>false</LinksUpToDate>
  <CharactersWithSpaces>3105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白日梦</cp:lastModifiedBy>
  <cp:lastPrinted>2023-02-06T09:18:00Z</cp:lastPrinted>
  <dcterms:modified xsi:type="dcterms:W3CDTF">2024-11-24T07:37:33Z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F49CC7F903F4456BBB7280C8A6CCFF3F</vt:lpwstr>
  </property>
</Properties>
</file>