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1C7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44B103E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3F9DCF1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5D26F34C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7E80F69E"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醴陵市考古研究和</w:t>
      </w:r>
    </w:p>
    <w:p w14:paraId="72F6E215">
      <w:pPr>
        <w:tabs>
          <w:tab w:val="left" w:pos="7560"/>
        </w:tabs>
        <w:adjustRightInd w:val="0"/>
        <w:snapToGrid w:val="0"/>
        <w:jc w:val="center"/>
        <w:rPr>
          <w:rFonts w:hint="eastAsia"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</w:rPr>
        <w:t>文物保护中心</w:t>
      </w:r>
    </w:p>
    <w:p w14:paraId="778A7A32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2023年部门预算</w:t>
      </w:r>
    </w:p>
    <w:p w14:paraId="2FE729D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CB4FA7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4CF46E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ABBB55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3AACC38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82BEF7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F9D60B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37A785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3284B1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3C7B38C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7088DA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F0AE33B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F2DCCFD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30AD03A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7FBB26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76642CE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4A4009D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073DD9A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6E5F19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64024C0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75536FA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6AF494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717FD60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2FD89A9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32513B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08A5C71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4D260E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5BEC76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5474641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043D00D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7C2D71D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0A01108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221A94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71C6E8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278A023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73F965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 w14:paraId="4E7A7B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 w14:paraId="46EA98E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 w14:paraId="65D0B8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2CE6089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08831C5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 w14:paraId="3F318E5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  <w:lang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 w14:paraId="36657BE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  <w:lang w:eastAsia="zh-CN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（八）一般公共预算基本支出表</w:t>
      </w:r>
    </w:p>
    <w:p w14:paraId="59F35E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（九）工资福利（政府预算）</w:t>
      </w:r>
    </w:p>
    <w:p w14:paraId="12104D6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 w14:paraId="53D9BD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12797FC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14AF0FB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23A6F0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4E4D75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  <w:lang w:eastAsia="zh-CN"/>
        </w:rPr>
        <w:t>一般公共预算“三公”经费支出表</w:t>
      </w:r>
    </w:p>
    <w:p w14:paraId="6B4D68E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123B6C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8B383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)</w:t>
      </w:r>
    </w:p>
    <w:p w14:paraId="15503B7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  <w:r>
        <w:rPr>
          <w:rFonts w:hint="eastAsia" w:hAnsi="仿宋_GB2312" w:eastAsia="仿宋_GB2312"/>
          <w:sz w:val="32"/>
          <w:szCs w:val="32"/>
          <w:lang w:eastAsia="zh-CN"/>
        </w:rPr>
        <w:t>支出表</w:t>
      </w:r>
    </w:p>
    <w:p w14:paraId="66C5F81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116F574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</w:t>
      </w:r>
      <w:r>
        <w:rPr>
          <w:rFonts w:hint="eastAsia" w:hAnsi="仿宋_GB2312" w:eastAsia="仿宋_GB2312"/>
          <w:sz w:val="32"/>
          <w:szCs w:val="32"/>
          <w:lang w:eastAsia="zh-CN"/>
        </w:rPr>
        <w:t>资金预算汇总表</w:t>
      </w:r>
    </w:p>
    <w:p w14:paraId="6AC799C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70CBFB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</w:p>
    <w:p w14:paraId="017CD3C3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（注：本套报表金额单位转换时可能存在尾数误差）</w:t>
      </w:r>
    </w:p>
    <w:p w14:paraId="7ACC72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7D5B81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33CDF7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56C8327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106712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7D488ED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55678A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085127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44E6C89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2ABF05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0E7860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0D255D1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5635A57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5C62099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156BEA9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</w:p>
    <w:p w14:paraId="173BE2D9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A2ABAD7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1038F79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272959DA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4FCE5C5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DEE928D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E571959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9A2F04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24E58B1F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5DDD1D53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醴陵市考古研究和文物保护中心</w:t>
      </w:r>
    </w:p>
    <w:p w14:paraId="5FBE076B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/>
          <w:bCs/>
          <w:sz w:val="44"/>
          <w:szCs w:val="44"/>
        </w:rPr>
        <w:t>2023年部门预算说明</w:t>
      </w:r>
    </w:p>
    <w:p w14:paraId="5FAACC3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5A21AB9C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部门职能职责</w:t>
      </w:r>
    </w:p>
    <w:p w14:paraId="03E7846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根据醴编办〔2022〕28号文件规定，于2022年7月27日设立市考古研究和文物保护中心，加挂“市渌江书院和渌江桥管理所”牌子。本部门主要职责是：负责全市境内不可移动文物日常保护及安全巡查工作；负责文保单位开放窗口的日常管理及运营；负责全市境内突发地下文物抢救性保护工作；配合做好全市文物修缮、保护方案的制订及施工、文物考古调查与勘探工作；负责做好渌江书院和渌江桥的保护、研究、管理与利用工作。</w:t>
      </w:r>
    </w:p>
    <w:p w14:paraId="59D21C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1D988B7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本单位为</w:t>
      </w:r>
      <w:r>
        <w:rPr>
          <w:rFonts w:hint="eastAsia" w:eastAsia="仿宋_GB2312"/>
          <w:color w:val="000000"/>
          <w:sz w:val="32"/>
          <w:szCs w:val="32"/>
        </w:rPr>
        <w:t>文化旅游广电体育局</w:t>
      </w:r>
      <w:r>
        <w:rPr>
          <w:rFonts w:eastAsia="仿宋_GB2312"/>
          <w:sz w:val="32"/>
          <w:szCs w:val="32"/>
        </w:rPr>
        <w:t>下属二级预算单位，</w:t>
      </w:r>
      <w:r>
        <w:rPr>
          <w:rFonts w:eastAsia="仿宋_GB2312"/>
          <w:color w:val="000000"/>
          <w:sz w:val="32"/>
          <w:szCs w:val="32"/>
        </w:rPr>
        <w:t>属于公益一类事业单位，共有编制人数</w:t>
      </w:r>
      <w:r>
        <w:rPr>
          <w:rFonts w:hint="eastAsia" w:eastAsia="仿宋_GB2312"/>
          <w:color w:val="000000"/>
          <w:sz w:val="32"/>
          <w:szCs w:val="32"/>
        </w:rPr>
        <w:t>8</w:t>
      </w:r>
      <w:r>
        <w:rPr>
          <w:rFonts w:eastAsia="仿宋_GB2312"/>
          <w:color w:val="000000"/>
          <w:sz w:val="32"/>
          <w:szCs w:val="32"/>
        </w:rPr>
        <w:t>人，实有人数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 xml:space="preserve">人。内设科室  </w:t>
      </w:r>
      <w:r>
        <w:rPr>
          <w:rFonts w:hint="eastAsia" w:eastAsia="仿宋_GB2312"/>
          <w:color w:val="000000"/>
          <w:sz w:val="32"/>
          <w:szCs w:val="32"/>
        </w:rPr>
        <w:t>3</w:t>
      </w:r>
      <w:r>
        <w:rPr>
          <w:rFonts w:eastAsia="仿宋_GB2312"/>
          <w:color w:val="000000"/>
          <w:sz w:val="32"/>
          <w:szCs w:val="32"/>
        </w:rPr>
        <w:t>个，分别为：</w:t>
      </w:r>
      <w:r>
        <w:rPr>
          <w:rFonts w:hint="eastAsia" w:eastAsia="仿宋_GB2312"/>
          <w:color w:val="000000"/>
          <w:sz w:val="32"/>
          <w:szCs w:val="32"/>
        </w:rPr>
        <w:t>办公室、文物安全与考古部、窗口运营与管理部。</w:t>
      </w:r>
    </w:p>
    <w:p w14:paraId="2281405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11AFA9A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醴陵市考古研究和文物保护中心只有本级，没有其他预算单位，因此纳入2023年部门预算编制范围的只有醴陵市考古研究和文物保护中心本级</w:t>
      </w:r>
      <w:r>
        <w:rPr>
          <w:rFonts w:eastAsia="仿宋_GB2312"/>
          <w:color w:val="000000"/>
          <w:sz w:val="32"/>
          <w:szCs w:val="32"/>
        </w:rPr>
        <w:t>。</w:t>
      </w:r>
    </w:p>
    <w:p w14:paraId="6E771BD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581B947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2023年</w:t>
      </w:r>
      <w:r>
        <w:rPr>
          <w:rFonts w:hint="eastAsia" w:eastAsia="仿宋_GB2312"/>
          <w:sz w:val="32"/>
          <w:szCs w:val="32"/>
        </w:rPr>
        <w:t>醴陵市考古研究和文物保护中心</w:t>
      </w:r>
      <w:r>
        <w:rPr>
          <w:rFonts w:eastAsia="仿宋_GB2312"/>
          <w:sz w:val="32"/>
          <w:szCs w:val="32"/>
        </w:rPr>
        <w:t>公开的部门预算</w:t>
      </w:r>
      <w:r>
        <w:rPr>
          <w:rFonts w:hint="eastAsia" w:eastAsia="仿宋_GB2312"/>
          <w:sz w:val="32"/>
          <w:szCs w:val="32"/>
        </w:rPr>
        <w:t>包括本</w:t>
      </w:r>
      <w:r>
        <w:rPr>
          <w:rFonts w:eastAsia="仿宋_GB2312"/>
          <w:sz w:val="32"/>
          <w:szCs w:val="32"/>
        </w:rPr>
        <w:t>级预算。收入包括一般公共预算收入、纳入财政专户管理的非税收入拨款收入</w:t>
      </w:r>
      <w:r>
        <w:rPr>
          <w:rFonts w:hint="eastAsia" w:eastAsia="仿宋_GB2312"/>
          <w:sz w:val="32"/>
          <w:szCs w:val="32"/>
        </w:rPr>
        <w:t>、上级补助收入</w:t>
      </w:r>
      <w:r>
        <w:rPr>
          <w:rFonts w:eastAsia="仿宋_GB2312"/>
          <w:sz w:val="32"/>
          <w:szCs w:val="32"/>
        </w:rPr>
        <w:t>；支出既包括保障</w:t>
      </w:r>
      <w:r>
        <w:rPr>
          <w:rFonts w:hint="eastAsia" w:eastAsia="仿宋_GB2312"/>
          <w:sz w:val="32"/>
          <w:szCs w:val="32"/>
        </w:rPr>
        <w:t>本</w:t>
      </w:r>
      <w:r>
        <w:rPr>
          <w:rFonts w:eastAsia="仿宋_GB2312"/>
          <w:sz w:val="32"/>
          <w:szCs w:val="32"/>
        </w:rPr>
        <w:t>单位基本运行的</w:t>
      </w:r>
      <w:r>
        <w:rPr>
          <w:rFonts w:hint="eastAsia" w:eastAsia="仿宋_GB2312"/>
          <w:sz w:val="32"/>
          <w:szCs w:val="32"/>
        </w:rPr>
        <w:t>支出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也包括项目支出</w:t>
      </w:r>
      <w:r>
        <w:rPr>
          <w:rFonts w:eastAsia="仿宋_GB2312"/>
          <w:sz w:val="32"/>
          <w:szCs w:val="32"/>
        </w:rPr>
        <w:t>。（详见附表）</w:t>
      </w:r>
    </w:p>
    <w:p w14:paraId="72D2578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714.18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84.18</w:t>
      </w:r>
      <w:r>
        <w:rPr>
          <w:rFonts w:eastAsia="仿宋_GB2312"/>
          <w:sz w:val="32"/>
          <w:szCs w:val="32"/>
        </w:rPr>
        <w:t>万元。本年度收支预算中均不含上年结转数字。</w:t>
      </w:r>
    </w:p>
    <w:p w14:paraId="056CE68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</w:rPr>
        <w:t>714.18</w:t>
      </w:r>
      <w:r>
        <w:rPr>
          <w:rFonts w:eastAsia="仿宋_GB2312"/>
          <w:sz w:val="32"/>
          <w:szCs w:val="32"/>
        </w:rPr>
        <w:t>万元，其中，</w:t>
      </w:r>
    </w:p>
    <w:p w14:paraId="78FF04B0">
      <w:pPr>
        <w:tabs>
          <w:tab w:val="left" w:pos="7560"/>
        </w:tabs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文化旅游体育与传媒支出705.27万元；社会保障和就业支出4.3万元；卫生健康支出1.07万元；住房保障支出3.53万元。</w:t>
      </w:r>
    </w:p>
    <w:p w14:paraId="31536657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</w:rPr>
        <w:t>38.18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</w:rPr>
        <w:t>13.91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</w:rPr>
        <w:t>6.59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</w:rPr>
        <w:t>6.4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320ADEC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</w:rPr>
        <w:t>676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46E62C1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（1）</w:t>
      </w:r>
      <w:r>
        <w:rPr>
          <w:rFonts w:hint="eastAsia" w:eastAsia="仿宋_GB2312"/>
          <w:color w:val="000000"/>
          <w:sz w:val="32"/>
          <w:szCs w:val="32"/>
        </w:rPr>
        <w:t>运转经费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46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主要用</w:t>
      </w:r>
      <w:r>
        <w:rPr>
          <w:rFonts w:hint="eastAsia" w:eastAsia="仿宋_GB2312"/>
          <w:color w:val="000000"/>
          <w:sz w:val="32"/>
          <w:szCs w:val="32"/>
        </w:rPr>
        <w:t>于单位的日常运转；</w:t>
      </w:r>
    </w:p>
    <w:p w14:paraId="6CB6FE5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（2）</w:t>
      </w:r>
      <w:r>
        <w:rPr>
          <w:rFonts w:hint="eastAsia" w:eastAsia="仿宋_GB2312"/>
          <w:color w:val="000000"/>
          <w:sz w:val="32"/>
          <w:szCs w:val="32"/>
        </w:rPr>
        <w:t>文保员津贴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hint="eastAsia" w:eastAsia="仿宋_GB2312"/>
          <w:color w:val="000000"/>
          <w:sz w:val="32"/>
          <w:szCs w:val="32"/>
        </w:rPr>
        <w:t>14.2</w:t>
      </w:r>
      <w:r>
        <w:rPr>
          <w:rFonts w:eastAsia="仿宋_GB2312"/>
          <w:color w:val="000000"/>
          <w:sz w:val="32"/>
          <w:szCs w:val="32"/>
        </w:rPr>
        <w:t>万元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hint="eastAsia" w:eastAsia="仿宋_GB2312"/>
          <w:color w:val="000000"/>
          <w:sz w:val="32"/>
          <w:szCs w:val="32"/>
        </w:rPr>
        <w:t>发放文保员的津贴费用；</w:t>
      </w:r>
    </w:p>
    <w:p w14:paraId="3B1B1A1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（3）陈明仁故居日常运转经费专项35万元，主要用于劳务费24.5万元，其他商品和服务支出10.5万元；</w:t>
      </w:r>
    </w:p>
    <w:p w14:paraId="6D8D97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（4）六处窗口单位物业管理费专项76.8万元，主要用于劳务费53.76万元，其他商品和服务支出23.04万元；</w:t>
      </w:r>
    </w:p>
    <w:p w14:paraId="3D22869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（5）耿传公祠日常运转经费专项44万元，主要用于劳务费30.8万元，其他商品和服务支出13.2万元；</w:t>
      </w:r>
    </w:p>
    <w:p w14:paraId="357226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（6）袁昌英纪念园日常运转经费25万元，主要用于劳务费17.5万元，其他商品和服务支出7.5万元；</w:t>
      </w:r>
    </w:p>
    <w:p w14:paraId="58A1FC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（7）“南四区”苏维埃纪念馆经费专项10万元；</w:t>
      </w:r>
    </w:p>
    <w:p w14:paraId="3277E31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（8）渌江桥日常运转经费5万元，主要用于劳务费4.2万元，其他商品和服务支出0.8万元；</w:t>
      </w:r>
    </w:p>
    <w:p w14:paraId="22715C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（9）东富寺日常运转经费18万元，主要用于劳务费12.6万元，其他商品和服务支出5.4万元；</w:t>
      </w:r>
    </w:p>
    <w:p w14:paraId="48338B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（10）渌江书院日常运转经费专项160万元，主要用于印刷费10万元，劳务费59.7万元，办公费10万元，其他商品和服务支出48万元，维修（护）费32.3万元；</w:t>
      </w:r>
    </w:p>
    <w:p w14:paraId="3A4CB65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（11）142处文保单位日常维护勘察费用242万元，主要用于维修（护）142万元。</w:t>
      </w:r>
    </w:p>
    <w:p w14:paraId="2A54474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color w:val="000000"/>
          <w:sz w:val="32"/>
          <w:szCs w:val="32"/>
        </w:rPr>
        <w:t>676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，比去年增长0元（我单位2022年7月刚成立）。</w:t>
      </w:r>
    </w:p>
    <w:p w14:paraId="0AF9F27E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030429E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</w:rPr>
        <w:t>714.18</w:t>
      </w:r>
      <w:r>
        <w:rPr>
          <w:rFonts w:eastAsia="仿宋_GB2312"/>
          <w:sz w:val="32"/>
          <w:szCs w:val="32"/>
        </w:rPr>
        <w:t>万元，具体安排如下：</w:t>
      </w:r>
    </w:p>
    <w:p w14:paraId="33A6756F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文化旅游体育与传媒支出（类） 文物（款）行政运行（项）</w:t>
      </w:r>
    </w:p>
    <w:p w14:paraId="282252EE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2023年项目支出89.47万元。</w:t>
      </w:r>
    </w:p>
    <w:p w14:paraId="68142EF0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文化旅游体育与传媒支出（类） 文物（款）文物保护（项）</w:t>
      </w:r>
    </w:p>
    <w:p w14:paraId="6607DA25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2023年项目支出20.50万元。</w:t>
      </w:r>
    </w:p>
    <w:p w14:paraId="1B62A233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文化旅游体育与传媒支出（类） 文物（款）其他文物支出（项）</w:t>
      </w:r>
    </w:p>
    <w:p w14:paraId="19B6448A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2023年项目支出595.30万元。</w:t>
      </w:r>
    </w:p>
    <w:p w14:paraId="40682EB6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社会保障和就业支出（类）行政事业单位养老支出（款） 机关事业单位基本养老保险缴费支出（项）</w:t>
      </w:r>
    </w:p>
    <w:p w14:paraId="4CC348C7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2023年项目支出4.30万元。</w:t>
      </w:r>
    </w:p>
    <w:p w14:paraId="39E5FE4C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卫生健康支出（类）行政事业单位医疗（款）事业单位医疗（项）</w:t>
      </w:r>
    </w:p>
    <w:p w14:paraId="403E39BC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2023年项目支出1.07万元。</w:t>
      </w:r>
    </w:p>
    <w:p w14:paraId="15386E69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left="-1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住房保障支出（类）住房改革支出（款） 住房公积金（项）</w:t>
      </w:r>
    </w:p>
    <w:p w14:paraId="6FE589B3">
      <w:pPr>
        <w:numPr>
          <w:ilvl w:val="0"/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2023年项目支出3.53</w:t>
      </w:r>
      <w:bookmarkStart w:id="1" w:name="_GoBack"/>
      <w:bookmarkEnd w:id="1"/>
      <w:r>
        <w:rPr>
          <w:rFonts w:hint="eastAsia" w:eastAsia="仿宋_GB2312"/>
          <w:sz w:val="32"/>
          <w:szCs w:val="32"/>
          <w:lang w:val="en-US" w:eastAsia="zh-CN"/>
        </w:rPr>
        <w:t>万元。</w:t>
      </w:r>
    </w:p>
    <w:p w14:paraId="19B752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 w14:paraId="2E8C03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235EDE6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35.8</w:t>
      </w:r>
      <w:r>
        <w:rPr>
          <w:rFonts w:eastAsia="仿宋_GB2312"/>
          <w:sz w:val="32"/>
          <w:szCs w:val="32"/>
        </w:rPr>
        <w:t>万元。其中</w:t>
      </w:r>
      <w:r>
        <w:rPr>
          <w:rFonts w:hint="eastAsia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基本工资</w:t>
      </w:r>
      <w:r>
        <w:rPr>
          <w:rFonts w:hint="eastAsia" w:eastAsia="仿宋_GB2312"/>
          <w:sz w:val="32"/>
          <w:szCs w:val="32"/>
        </w:rPr>
        <w:t>13.91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,津贴补贴6.59万元，奖金6.4万元，社保缴费、住房公积金8.9万元</w:t>
      </w:r>
      <w:r>
        <w:rPr>
          <w:rFonts w:eastAsia="仿宋_GB2312"/>
          <w:sz w:val="32"/>
          <w:szCs w:val="32"/>
        </w:rPr>
        <w:t>。</w:t>
      </w:r>
    </w:p>
    <w:p w14:paraId="4656F7D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2、公用类支出。2023年年初预算数为2.37万元。其中：办公费0.9万元，工会经费0.59万元，福利费0.88万元。</w:t>
      </w:r>
    </w:p>
    <w:p w14:paraId="1D3C58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45852CE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1、其他运转类支出。2023年年初预算数为60.2万元。其中：行政运行60.2万元；</w:t>
      </w:r>
    </w:p>
    <w:p w14:paraId="631D887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2、特定目标类支出，2023年年初预算数为615.8万元</w:t>
      </w:r>
    </w:p>
    <w:p w14:paraId="485731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（1）</w:t>
      </w:r>
      <w:r>
        <w:rPr>
          <w:rFonts w:hint="eastAsia" w:eastAsia="仿宋_GB2312"/>
          <w:sz w:val="32"/>
          <w:szCs w:val="32"/>
          <w:highlight w:val="none"/>
        </w:rPr>
        <w:t>文物保护</w:t>
      </w:r>
      <w:r>
        <w:rPr>
          <w:rFonts w:eastAsia="仿宋_GB2312"/>
          <w:sz w:val="32"/>
          <w:szCs w:val="32"/>
          <w:highlight w:val="none"/>
        </w:rPr>
        <w:t>专项</w:t>
      </w:r>
      <w:r>
        <w:rPr>
          <w:rFonts w:hint="eastAsia" w:eastAsia="仿宋_GB2312"/>
          <w:sz w:val="32"/>
          <w:szCs w:val="32"/>
          <w:highlight w:val="none"/>
        </w:rPr>
        <w:t>20.5</w:t>
      </w:r>
      <w:r>
        <w:rPr>
          <w:rFonts w:eastAsia="仿宋_GB2312"/>
          <w:sz w:val="32"/>
          <w:szCs w:val="32"/>
          <w:highlight w:val="none"/>
        </w:rPr>
        <w:t>万元。主要用于</w:t>
      </w:r>
      <w:r>
        <w:rPr>
          <w:rFonts w:hint="eastAsia" w:eastAsia="仿宋_GB2312"/>
          <w:sz w:val="32"/>
          <w:szCs w:val="32"/>
          <w:highlight w:val="none"/>
        </w:rPr>
        <w:t>文物保护；</w:t>
      </w:r>
    </w:p>
    <w:p w14:paraId="406A78D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（2）</w:t>
      </w:r>
      <w:r>
        <w:rPr>
          <w:rFonts w:hint="eastAsia" w:eastAsia="仿宋_GB2312"/>
          <w:sz w:val="32"/>
          <w:szCs w:val="32"/>
          <w:highlight w:val="none"/>
        </w:rPr>
        <w:t>其他文物支出</w:t>
      </w:r>
      <w:r>
        <w:rPr>
          <w:rFonts w:eastAsia="仿宋_GB2312"/>
          <w:sz w:val="32"/>
          <w:szCs w:val="32"/>
          <w:highlight w:val="none"/>
        </w:rPr>
        <w:t>专项</w:t>
      </w:r>
      <w:r>
        <w:rPr>
          <w:rFonts w:hint="eastAsia" w:eastAsia="仿宋_GB2312"/>
          <w:sz w:val="32"/>
          <w:szCs w:val="32"/>
          <w:highlight w:val="none"/>
        </w:rPr>
        <w:t>595.3</w:t>
      </w:r>
      <w:r>
        <w:rPr>
          <w:rFonts w:eastAsia="仿宋_GB2312"/>
          <w:sz w:val="32"/>
          <w:szCs w:val="32"/>
          <w:highlight w:val="none"/>
        </w:rPr>
        <w:t>万元。主要用于</w:t>
      </w:r>
      <w:r>
        <w:rPr>
          <w:rFonts w:hint="eastAsia" w:eastAsia="仿宋_GB2312"/>
          <w:sz w:val="32"/>
          <w:szCs w:val="32"/>
          <w:highlight w:val="none"/>
        </w:rPr>
        <w:t>其他文物的保护；</w:t>
      </w:r>
    </w:p>
    <w:p w14:paraId="57A58FE0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74D8B60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</w:t>
      </w:r>
      <w:r>
        <w:rPr>
          <w:rFonts w:hint="eastAsia" w:eastAsia="仿宋_GB2312"/>
          <w:sz w:val="32"/>
          <w:szCs w:val="32"/>
        </w:rPr>
        <w:t>无政府性基金预算安排的支出。</w:t>
      </w:r>
    </w:p>
    <w:p w14:paraId="18DE5D0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41D0DEA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hint="eastAsia" w:eastAsia="仿宋_GB2312"/>
          <w:sz w:val="32"/>
          <w:szCs w:val="32"/>
        </w:rPr>
        <w:t>2023</w:t>
      </w:r>
      <w:r>
        <w:rPr>
          <w:rFonts w:eastAsia="仿宋_GB2312"/>
          <w:sz w:val="32"/>
          <w:szCs w:val="32"/>
        </w:rPr>
        <w:t>年年初预算机关运行经</w:t>
      </w:r>
      <w:r>
        <w:rPr>
          <w:rFonts w:eastAsia="仿宋_GB2312"/>
          <w:color w:val="000000"/>
          <w:sz w:val="32"/>
          <w:szCs w:val="32"/>
          <w:highlight w:val="none"/>
        </w:rPr>
        <w:t>费共安排</w:t>
      </w:r>
      <w:r>
        <w:rPr>
          <w:rFonts w:hint="eastAsia" w:eastAsia="仿宋_GB2312"/>
          <w:color w:val="000000"/>
          <w:sz w:val="32"/>
          <w:szCs w:val="32"/>
          <w:highlight w:val="none"/>
        </w:rPr>
        <w:t>62.57</w:t>
      </w:r>
      <w:r>
        <w:rPr>
          <w:rFonts w:eastAsia="仿宋_GB2312"/>
          <w:color w:val="000000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</w:rPr>
        <w:t>本部门2022年7月成立，无对比。</w:t>
      </w:r>
    </w:p>
    <w:p w14:paraId="2C391FB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（二) 政府采购预算：本单位2023年年初预算数为0万元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；</w:t>
      </w:r>
      <w:r>
        <w:rPr>
          <w:rFonts w:hint="eastAsia" w:eastAsia="仿宋_GB2312"/>
          <w:color w:val="000000"/>
          <w:sz w:val="32"/>
          <w:szCs w:val="32"/>
        </w:rPr>
        <w:t>货物类0万元，工程类0万元，服务类0万元。</w:t>
      </w:r>
    </w:p>
    <w:p w14:paraId="40E8FAC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（三）国有资产占有情况：截止2022年12月31日，本部门共有办公及业务用房400平方米；车辆  0辆，其中一般公务用车0辆、一般执法执勤用车0辆、货币化用车0辆；单位价值200万以上大型设备 0 套。2023年部门预算安排购置车辆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eastAsia="仿宋_GB2312"/>
          <w:color w:val="000000"/>
          <w:sz w:val="32"/>
          <w:szCs w:val="32"/>
        </w:rPr>
        <w:t>辆，预算安排购置价值200万以上大型设备 0套。</w:t>
      </w:r>
    </w:p>
    <w:p w14:paraId="6639E42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（四）</w:t>
      </w:r>
      <w:r>
        <w:rPr>
          <w:rFonts w:eastAsia="楷体_GB2312"/>
          <w:bCs/>
          <w:sz w:val="32"/>
          <w:szCs w:val="32"/>
        </w:rPr>
        <w:t>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714.18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38.18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676</w:t>
      </w:r>
      <w:r>
        <w:rPr>
          <w:rFonts w:eastAsia="仿宋_GB2312"/>
          <w:sz w:val="32"/>
          <w:szCs w:val="32"/>
        </w:rPr>
        <w:t>万元（详见附表）。 </w:t>
      </w:r>
    </w:p>
    <w:p w14:paraId="26C01C6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（五）一般公共预算“三公”经费情况：</w:t>
      </w:r>
      <w:r>
        <w:rPr>
          <w:rFonts w:eastAsia="仿宋_GB2312"/>
          <w:sz w:val="32"/>
          <w:szCs w:val="32"/>
        </w:rPr>
        <w:t>本单位无公共财政拨款三公经费预算</w:t>
      </w:r>
      <w:r>
        <w:rPr>
          <w:rFonts w:hint="eastAsia" w:eastAsia="仿宋_GB2312"/>
          <w:sz w:val="32"/>
          <w:szCs w:val="32"/>
          <w:lang w:eastAsia="zh-CN"/>
        </w:rPr>
        <w:t>，</w:t>
      </w:r>
      <w:bookmarkStart w:id="0" w:name="OLE_LINK1"/>
      <w:r>
        <w:rPr>
          <w:rFonts w:hint="eastAsia" w:eastAsia="仿宋_GB2312"/>
          <w:color w:val="000000"/>
          <w:sz w:val="32"/>
          <w:szCs w:val="32"/>
        </w:rPr>
        <w:t>2023年“三公”经费预算数0万元，其中：“因公出国（境）费”0万元、“公务用车购置及运行费”0万元（公务用车购置费0万元、公务用车运行费0万元）、“公务接待费”0万元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，</w:t>
      </w:r>
      <w:bookmarkEnd w:id="0"/>
      <w:r>
        <w:rPr>
          <w:rFonts w:hint="eastAsia" w:eastAsia="仿宋_GB2312"/>
          <w:color w:val="000000"/>
          <w:sz w:val="32"/>
          <w:szCs w:val="32"/>
          <w:lang w:val="en-US" w:eastAsia="zh-CN"/>
        </w:rPr>
        <w:t>本单位为新增单位，</w:t>
      </w:r>
      <w:r>
        <w:rPr>
          <w:rFonts w:hint="eastAsia" w:eastAsia="仿宋_GB2312"/>
          <w:sz w:val="32"/>
          <w:szCs w:val="32"/>
          <w:lang w:eastAsia="zh-CN"/>
        </w:rPr>
        <w:t>无上年数，无此项安排</w:t>
      </w:r>
      <w:r>
        <w:rPr>
          <w:rFonts w:hint="eastAsia" w:eastAsia="仿宋_GB2312"/>
          <w:sz w:val="32"/>
          <w:szCs w:val="32"/>
        </w:rPr>
        <w:t>。</w:t>
      </w:r>
    </w:p>
    <w:p w14:paraId="5950864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（六）会议费、培训费预算：</w:t>
      </w:r>
    </w:p>
    <w:p w14:paraId="276AB39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2023年预算安排会议费0万元。</w:t>
      </w:r>
    </w:p>
    <w:p w14:paraId="4A6D108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2023年预算安排培训费0万元。</w:t>
      </w:r>
    </w:p>
    <w:p w14:paraId="4D4CC5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未计划举办节庆、晚会、论坛、赛事活动。</w:t>
      </w:r>
    </w:p>
    <w:p w14:paraId="04AB503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（七）其他事项。</w:t>
      </w:r>
    </w:p>
    <w:p w14:paraId="07BF89B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本单位无一般公共预算基本支出--人员经费(对个人和家庭的补助)</w:t>
      </w:r>
    </w:p>
    <w:p w14:paraId="0620F57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本单位无一般公共预算“三公”经费支出</w:t>
      </w:r>
    </w:p>
    <w:p w14:paraId="1888966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本单位无政府基金预算经费支出</w:t>
      </w:r>
    </w:p>
    <w:p w14:paraId="1993CF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本单位无国有资本经营经费支出</w:t>
      </w:r>
    </w:p>
    <w:p w14:paraId="1288B2B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本单位无财政专户管理资金经费支出</w:t>
      </w:r>
    </w:p>
    <w:p w14:paraId="4440ED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本单位无门户网站，预算在政府网统一公开。</w:t>
      </w:r>
    </w:p>
    <w:p w14:paraId="6DF6A2C4">
      <w:pPr>
        <w:tabs>
          <w:tab w:val="left" w:pos="7560"/>
        </w:tabs>
        <w:adjustRightInd w:val="0"/>
        <w:snapToGrid w:val="0"/>
        <w:spacing w:line="560" w:lineRule="exact"/>
        <w:ind w:firstLine="640"/>
        <w:rPr>
          <w:rFonts w:hint="eastAsia" w:eastAsia="楷体_GB2312"/>
          <w:bCs/>
          <w:sz w:val="32"/>
          <w:szCs w:val="32"/>
        </w:rPr>
      </w:pPr>
    </w:p>
    <w:p w14:paraId="6E3A46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2FF51AC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7284F68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25B4E16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39CC1C6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29235581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59DFA15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0E3F15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984" w:right="1531" w:bottom="1928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B7540">
    <w:pPr>
      <w:pStyle w:val="8"/>
      <w:framePr w:wrap="around" w:vAnchor="text" w:hAnchor="margin" w:xAlign="outside" w:y="1"/>
      <w:rPr>
        <w:rStyle w:val="13"/>
        <w:rFonts w:hint="eastAsia"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</w:rPr>
      <w:t>10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 w14:paraId="48A743C6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9BA74"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 w14:paraId="28E3EBC5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CE36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8F40C"/>
    <w:multiLevelType w:val="singleLevel"/>
    <w:tmpl w:val="0658F40C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abstractNum w:abstractNumId="2">
    <w:nsid w:val="75B4F23C"/>
    <w:multiLevelType w:val="singleLevel"/>
    <w:tmpl w:val="75B4F23C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97"/>
  <w:displayHorizontalDrawingGridEvery w:val="2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MDY5NTAwNGYzYTAzNTAzYjUzYmYzYjU2ZmYzNWU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A3FA1"/>
    <w:rsid w:val="001D3B4D"/>
    <w:rsid w:val="001F3FE1"/>
    <w:rsid w:val="001F5ACF"/>
    <w:rsid w:val="00206F1B"/>
    <w:rsid w:val="0022719A"/>
    <w:rsid w:val="00231C79"/>
    <w:rsid w:val="002370E4"/>
    <w:rsid w:val="002466AF"/>
    <w:rsid w:val="00260D91"/>
    <w:rsid w:val="00261EE1"/>
    <w:rsid w:val="00265785"/>
    <w:rsid w:val="002714D1"/>
    <w:rsid w:val="002A26A6"/>
    <w:rsid w:val="002C3689"/>
    <w:rsid w:val="002D3CE8"/>
    <w:rsid w:val="002F7AA3"/>
    <w:rsid w:val="003501B5"/>
    <w:rsid w:val="003504E8"/>
    <w:rsid w:val="0035560D"/>
    <w:rsid w:val="00363614"/>
    <w:rsid w:val="00373BE7"/>
    <w:rsid w:val="003A1BB9"/>
    <w:rsid w:val="003C2973"/>
    <w:rsid w:val="003E1AD0"/>
    <w:rsid w:val="00401FB6"/>
    <w:rsid w:val="00430A9C"/>
    <w:rsid w:val="00433ED6"/>
    <w:rsid w:val="00435B70"/>
    <w:rsid w:val="00445518"/>
    <w:rsid w:val="0045726B"/>
    <w:rsid w:val="004670F6"/>
    <w:rsid w:val="00474F5A"/>
    <w:rsid w:val="00482C73"/>
    <w:rsid w:val="004A19BD"/>
    <w:rsid w:val="004D786C"/>
    <w:rsid w:val="00500044"/>
    <w:rsid w:val="005010F2"/>
    <w:rsid w:val="005039CF"/>
    <w:rsid w:val="00503F68"/>
    <w:rsid w:val="005132D3"/>
    <w:rsid w:val="005534D4"/>
    <w:rsid w:val="00563078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7D0"/>
    <w:rsid w:val="00724ADC"/>
    <w:rsid w:val="007257DA"/>
    <w:rsid w:val="00732E06"/>
    <w:rsid w:val="00736882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56BED"/>
    <w:rsid w:val="00D72B4C"/>
    <w:rsid w:val="00DA295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54557F7"/>
    <w:rsid w:val="0734778A"/>
    <w:rsid w:val="0B0864A9"/>
    <w:rsid w:val="0D923535"/>
    <w:rsid w:val="0DA41B83"/>
    <w:rsid w:val="126B627C"/>
    <w:rsid w:val="130A2F4B"/>
    <w:rsid w:val="13947AD3"/>
    <w:rsid w:val="158A2658"/>
    <w:rsid w:val="16B14386"/>
    <w:rsid w:val="1871248E"/>
    <w:rsid w:val="19824A5F"/>
    <w:rsid w:val="1AFD5B77"/>
    <w:rsid w:val="1B2C700E"/>
    <w:rsid w:val="1B7A4599"/>
    <w:rsid w:val="1C1C77F0"/>
    <w:rsid w:val="1D35335A"/>
    <w:rsid w:val="1D7F02EE"/>
    <w:rsid w:val="1D8F3C53"/>
    <w:rsid w:val="1E5932A8"/>
    <w:rsid w:val="2165505F"/>
    <w:rsid w:val="22AD0629"/>
    <w:rsid w:val="24227894"/>
    <w:rsid w:val="2BA030C2"/>
    <w:rsid w:val="2BD433D6"/>
    <w:rsid w:val="32A9256B"/>
    <w:rsid w:val="32AE6AA0"/>
    <w:rsid w:val="3330097C"/>
    <w:rsid w:val="34EE3B98"/>
    <w:rsid w:val="36952654"/>
    <w:rsid w:val="36BB1984"/>
    <w:rsid w:val="37DA1C37"/>
    <w:rsid w:val="39832775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3417C92"/>
    <w:rsid w:val="4496707C"/>
    <w:rsid w:val="458D5615"/>
    <w:rsid w:val="48706EFB"/>
    <w:rsid w:val="4BAD15EE"/>
    <w:rsid w:val="4C1F1C7B"/>
    <w:rsid w:val="4C934896"/>
    <w:rsid w:val="4CF55F1E"/>
    <w:rsid w:val="4E3F2145"/>
    <w:rsid w:val="51593E0B"/>
    <w:rsid w:val="519B63B5"/>
    <w:rsid w:val="541A704A"/>
    <w:rsid w:val="54796D83"/>
    <w:rsid w:val="54846CD3"/>
    <w:rsid w:val="55A272A8"/>
    <w:rsid w:val="58F2629D"/>
    <w:rsid w:val="5C3F77E0"/>
    <w:rsid w:val="5C4200CE"/>
    <w:rsid w:val="5C79326A"/>
    <w:rsid w:val="5DFB707D"/>
    <w:rsid w:val="609C3047"/>
    <w:rsid w:val="612A51A9"/>
    <w:rsid w:val="63FC040C"/>
    <w:rsid w:val="65A52F65"/>
    <w:rsid w:val="67FB1CFC"/>
    <w:rsid w:val="680E1037"/>
    <w:rsid w:val="68612A8F"/>
    <w:rsid w:val="691F2659"/>
    <w:rsid w:val="6AF66E49"/>
    <w:rsid w:val="6DE273CB"/>
    <w:rsid w:val="71385852"/>
    <w:rsid w:val="71432472"/>
    <w:rsid w:val="74824FCD"/>
    <w:rsid w:val="7627167B"/>
    <w:rsid w:val="76E316D1"/>
    <w:rsid w:val="773643B0"/>
    <w:rsid w:val="791752BB"/>
    <w:rsid w:val="7BD80ACC"/>
    <w:rsid w:val="7C0C79E1"/>
    <w:rsid w:val="7C4C19A1"/>
    <w:rsid w:val="7E69341C"/>
    <w:rsid w:val="7E975501"/>
    <w:rsid w:val="7F163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uiPriority w:val="0"/>
    <w:pPr>
      <w:ind w:left="100" w:leftChars="2500"/>
    </w:pPr>
  </w:style>
  <w:style w:type="paragraph" w:styleId="7">
    <w:name w:val="Balloon Text"/>
    <w:basedOn w:val="1"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uiPriority w:val="0"/>
  </w:style>
  <w:style w:type="character" w:customStyle="1" w:styleId="14">
    <w:name w:val="日期 Char"/>
    <w:basedOn w:val="12"/>
    <w:link w:val="6"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11</Pages>
  <Words>3373</Words>
  <Characters>3642</Characters>
  <Lines>25</Lines>
  <Paragraphs>7</Paragraphs>
  <TotalTime>2</TotalTime>
  <ScaleCrop>false</ScaleCrop>
  <LinksUpToDate>false</LinksUpToDate>
  <CharactersWithSpaces>3661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彭涵</cp:lastModifiedBy>
  <cp:lastPrinted>2023-02-06T09:18:00Z</cp:lastPrinted>
  <dcterms:modified xsi:type="dcterms:W3CDTF">2024-11-21T03:25:49Z</dcterms:modified>
  <dc:title>此件拟比照国务院办公厅发文由省政府办公厅转发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2DEBC8059F144D0E8F6247F4B66511BD_13</vt:lpwstr>
  </property>
</Properties>
</file>