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827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4830689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3DC322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3919E2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6A1273F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052EB7B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044799C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25B7A78B"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84"/>
          <w:szCs w:val="84"/>
        </w:rPr>
      </w:pPr>
      <w:r>
        <w:rPr>
          <w:rFonts w:ascii="Times New Roman" w:hAnsi="Times New Roman" w:eastAsia="方正小标宋简体" w:cs="Times New Roman"/>
          <w:bCs/>
          <w:sz w:val="84"/>
          <w:szCs w:val="84"/>
        </w:rPr>
        <w:t>醴陵市文化馆2023年部门预算</w:t>
      </w:r>
    </w:p>
    <w:p w14:paraId="38C99762">
      <w:pPr>
        <w:tabs>
          <w:tab w:val="left" w:pos="7560"/>
        </w:tabs>
        <w:adjustRightInd w:val="0"/>
        <w:snapToGrid w:val="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6B923C9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262C238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90FD17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C551D4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4755E16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1EA1760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E7807A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95F293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3EAC76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8CFF27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5FCEBE8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3E3367F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9B05C06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目  录</w:t>
      </w:r>
    </w:p>
    <w:p w14:paraId="4784B9D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第一部分 部门预算公开说明</w:t>
      </w:r>
    </w:p>
    <w:p w14:paraId="16D54B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一、部门职能职责</w:t>
      </w:r>
    </w:p>
    <w:p w14:paraId="09DA73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二、机构设置</w:t>
      </w:r>
    </w:p>
    <w:p w14:paraId="15BAF7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三、部门预算单位构成</w:t>
      </w:r>
    </w:p>
    <w:p w14:paraId="4D9D697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四、部门收支总体情况</w:t>
      </w:r>
    </w:p>
    <w:p w14:paraId="054CCE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（一）收入预算</w:t>
      </w:r>
    </w:p>
    <w:p w14:paraId="351621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（二）支出预算</w:t>
      </w:r>
    </w:p>
    <w:p w14:paraId="5BE3B5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（三）预算收支增减变化情况说明</w:t>
      </w:r>
    </w:p>
    <w:p w14:paraId="0F3488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五、一般公共预算拨款支出预算</w:t>
      </w:r>
    </w:p>
    <w:p w14:paraId="72F1E1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（一）基本支出</w:t>
      </w:r>
    </w:p>
    <w:p w14:paraId="2624DD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（二）项目支出</w:t>
      </w:r>
    </w:p>
    <w:p w14:paraId="7CAD400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六、政府性基金预算支出</w:t>
      </w:r>
    </w:p>
    <w:p w14:paraId="4B7BF5B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七、其他重要事项情况说明</w:t>
      </w:r>
    </w:p>
    <w:p w14:paraId="7999E47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（一）机关运行经费</w:t>
      </w:r>
    </w:p>
    <w:p w14:paraId="02B20A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（二）政府采购预算</w:t>
      </w:r>
    </w:p>
    <w:p w14:paraId="630135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（三）国有资产占有情况</w:t>
      </w:r>
    </w:p>
    <w:p w14:paraId="39A03E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（四）重点项目预算的绩效目标等情况</w:t>
      </w:r>
    </w:p>
    <w:p w14:paraId="196D897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（五）一般公共预算“三公”经费预算</w:t>
      </w:r>
    </w:p>
    <w:p w14:paraId="529909C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（六）会议费、培训费</w:t>
      </w:r>
    </w:p>
    <w:p w14:paraId="4B6333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（七）其他事项</w:t>
      </w:r>
    </w:p>
    <w:p w14:paraId="04178E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八、名词解释</w:t>
      </w:r>
    </w:p>
    <w:p w14:paraId="7D8FFF7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第二部分 部门预算公开表格</w:t>
      </w:r>
    </w:p>
    <w:p w14:paraId="350880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（一）部门收支总体情况表</w:t>
      </w:r>
    </w:p>
    <w:p w14:paraId="295A4B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（二）部门收入总体情况表</w:t>
      </w:r>
    </w:p>
    <w:p w14:paraId="7E4044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（三）部门支出总体情况表</w:t>
      </w:r>
    </w:p>
    <w:p w14:paraId="172A38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（四）支出分类(政府预算)</w:t>
      </w:r>
    </w:p>
    <w:p w14:paraId="211E4D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（五）支出分类(部门预算)</w:t>
      </w:r>
    </w:p>
    <w:p w14:paraId="17ED0A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（六）财政拨款收支总体情况表</w:t>
      </w:r>
    </w:p>
    <w:p w14:paraId="03E12CD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（七）一般公共预算支出情况表</w:t>
      </w:r>
    </w:p>
    <w:p w14:paraId="264C5CB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（八）一般公共预算基本支出情况表</w:t>
      </w:r>
    </w:p>
    <w:p w14:paraId="59EFAA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（九）工资福利（政府预算）</w:t>
      </w:r>
    </w:p>
    <w:p w14:paraId="387D5BE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（十）工资福利</w:t>
      </w:r>
    </w:p>
    <w:p w14:paraId="0116D5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（十一）个人家庭(政府预算)</w:t>
      </w:r>
    </w:p>
    <w:p w14:paraId="6C42C8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（十二）个人家庭</w:t>
      </w:r>
    </w:p>
    <w:p w14:paraId="147071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（十三）商品服务(政府预算)</w:t>
      </w:r>
    </w:p>
    <w:p w14:paraId="534A1D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（十四）商品服务</w:t>
      </w:r>
    </w:p>
    <w:p w14:paraId="4B5034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（十五）一般公共预算“三公”经费支出情况表</w:t>
      </w:r>
    </w:p>
    <w:p w14:paraId="5FB2251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（十六）政府性基金预算支出情况表</w:t>
      </w:r>
    </w:p>
    <w:p w14:paraId="4C59C7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（十七）政府性基金(政府预算)</w:t>
      </w:r>
    </w:p>
    <w:p w14:paraId="5BF2B7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（十八）政府性基金(部门预算)</w:t>
      </w:r>
    </w:p>
    <w:p w14:paraId="743C50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（十九）国有资本经营预算</w:t>
      </w:r>
    </w:p>
    <w:p w14:paraId="5A2C00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（二十）财政专户管理资金</w:t>
      </w:r>
    </w:p>
    <w:p w14:paraId="0243B4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（二十一）专项清单</w:t>
      </w:r>
    </w:p>
    <w:p w14:paraId="00EE29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（二十二）项目支出绩效目标表</w:t>
      </w:r>
    </w:p>
    <w:p w14:paraId="0C5613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（二十三）整体支出绩效目标表 </w:t>
      </w:r>
    </w:p>
    <w:p w14:paraId="33CA33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（注：本套报表金额单位转换时可能存在尾数误差）</w:t>
      </w:r>
    </w:p>
    <w:p w14:paraId="1D3DDB8F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6A81E9E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醴陵市文化馆2023年部门预算说明</w:t>
      </w:r>
    </w:p>
    <w:p w14:paraId="3EB905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372C72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 部门职能职责</w:t>
      </w:r>
    </w:p>
    <w:p w14:paraId="07467C5F">
      <w:pPr>
        <w:ind w:firstLine="707" w:firstLineChars="221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（一）认真贯彻执行党和国家的文化方针政策和法律、法规，弘扬中华民族优秀传统文化，弘扬时代主旋律。</w:t>
      </w:r>
    </w:p>
    <w:p w14:paraId="0A20EB63">
      <w:pPr>
        <w:spacing w:line="640" w:lineRule="exact"/>
        <w:ind w:firstLine="640" w:firstLineChars="200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（二）运用各种文化艺术手段，组织开展群众文化艺术活动，丰富群众精神文化生活。</w:t>
      </w:r>
    </w:p>
    <w:p w14:paraId="6167B604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（三）搞好业余文艺群体建设，辅导、培训业余文艺骨干，组建多种门类的业余文艺团队，开展群众性文艺创作活动。</w:t>
      </w:r>
    </w:p>
    <w:p w14:paraId="42539139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（四）加强对乡镇、社区、企（事）业、机关、学校等文化站的文化工作指导和文化活动辅导。</w:t>
      </w:r>
    </w:p>
    <w:p w14:paraId="0B749F41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（五）积极开展群众文化理论研究，有计划地进行群文调研。</w:t>
      </w:r>
    </w:p>
    <w:p w14:paraId="0BB12EBC">
      <w:pPr>
        <w:snapToGrid w:val="0"/>
        <w:spacing w:line="52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仿宋" w:eastAsia="仿宋" w:cs="Times New Roman"/>
          <w:color w:val="000000"/>
          <w:sz w:val="32"/>
          <w:szCs w:val="32"/>
        </w:rPr>
        <w:t>（六）搜集、整理、保护民族民间文化艺术遗产，建立健全群众文化艺术档案</w:t>
      </w:r>
      <w:r>
        <w:rPr>
          <w:rFonts w:ascii="Times New Roman" w:hAnsi="仿宋" w:eastAsia="仿宋" w:cs="Times New Roman"/>
          <w:sz w:val="32"/>
          <w:szCs w:val="32"/>
        </w:rPr>
        <w:t>。</w:t>
      </w:r>
    </w:p>
    <w:p w14:paraId="2D8925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二、机构设置</w:t>
      </w:r>
    </w:p>
    <w:p w14:paraId="4411365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sz w:val="32"/>
          <w:szCs w:val="32"/>
        </w:rPr>
        <w:t>本单位为文旅局下属二级预算单位，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属于全额拨款事业单位性质单位。共有编制人数11人，实有人数7人。内设股室7个，分别为：</w:t>
      </w:r>
      <w:r>
        <w:rPr>
          <w:rFonts w:ascii="Times New Roman" w:hAnsi="仿宋" w:eastAsia="仿宋" w:cs="Times New Roman"/>
          <w:bCs/>
          <w:color w:val="000000"/>
          <w:kern w:val="0"/>
          <w:sz w:val="32"/>
          <w:szCs w:val="32"/>
        </w:rPr>
        <w:t>办公室、声乐工作室、非遗工作室，舞蹈工作室，书画影工作室，器乐工作室，文学工作室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03A9EE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三、部门预算单位构成</w:t>
      </w:r>
    </w:p>
    <w:p w14:paraId="7A5BE6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醴陵市文化馆只有本级，没有其他预算单位，因此纳入2023年部门预算编制范围的只有醴陵市文化馆本级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1B81EF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 部门收支总体情况</w:t>
      </w:r>
    </w:p>
    <w:p w14:paraId="30004A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2023年醴陵市文化馆公开的部门预算为本机关预算。收入包括一般公共预算收入、上级财政补助等收入；支出既包括保障局机关基本运行的经费，也包括归口管理、面向全市分配的专项经费。（详见附表）</w:t>
      </w:r>
    </w:p>
    <w:p w14:paraId="5F96D7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（一）收入预算</w:t>
      </w:r>
      <w:r>
        <w:rPr>
          <w:rFonts w:ascii="Times New Roman" w:hAnsi="Times New Roman" w:eastAsia="楷体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2023年年初预算数268.43万元，其中，一般公共预算拨款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268</w:t>
      </w:r>
      <w:r>
        <w:rPr>
          <w:rFonts w:ascii="Times New Roman" w:hAnsi="Times New Roman" w:eastAsia="仿宋_GB2312" w:cs="Times New Roman"/>
          <w:sz w:val="32"/>
          <w:szCs w:val="32"/>
        </w:rPr>
        <w:t>.43万元；上级财政补助收入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万元。因上年结转数暂未最终确定，本年度收支预算中均不含上年结转数字。</w:t>
      </w:r>
    </w:p>
    <w:p w14:paraId="6E0FBA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（二）支出预算：</w:t>
      </w:r>
      <w:r>
        <w:rPr>
          <w:rFonts w:ascii="Times New Roman" w:hAnsi="Times New Roman" w:eastAsia="仿宋_GB2312" w:cs="Times New Roman"/>
          <w:sz w:val="32"/>
          <w:szCs w:val="32"/>
        </w:rPr>
        <w:t>2023年年初预算数268.43万元，其中，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一般公共服务支出0.00万元，外交支出0.00万元，公共安全支出0.00万元，教育支出0.00万元，科学技术支出0.00万元，文化旅游体育与传媒支出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238.53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万元，社会保障和就业支出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万元，社会保险基金支出0.00万元，卫生健康支出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3.92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万元，节能环保支出0.00万元，城乡社区支出0.00万元，农林水支出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万元，交通运输支出0.00万元，资源勘探信息等支出0.00万元，商业服务业等支出0.00万元，金融支出0.00万元，援助其他地区支出0.00万元，自然资源海洋气象等支出0.00万元，住房保障支出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11.89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粮油物资储备支出0.00万元，灾害防治及应急管理支出0.00万元，预备费0.00万元，其他支出0.00万元，转移性支出0.00万元，债务还本支出0.00万元，债务付息支出0.00万元，债务发行费用支出0.00万元，国有资本经营预算支出0万元，疫特别国债安排的支出0万元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C7F9DC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1.基本支出：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2023年年初预算数为1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3万元，其中包括基本工资42.73万元、津贴补贴24.16万元、奖金21.16万元 ,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住房公积金11.89，社会保障缴费18.01万元，对个人和困难家庭的补助0.83万元，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公用经费8.25万元等。</w:t>
      </w:r>
    </w:p>
    <w:p w14:paraId="5C96434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2.项目支出：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2023年年初预算数为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141.40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万元，其中：</w:t>
      </w:r>
    </w:p>
    <w:p w14:paraId="49508A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（1）文化和旅游专项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141.40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万元。主要用于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运用各种文化艺术手段，组织开展群众文化艺术活动，丰富群众精神文化生活。</w:t>
      </w:r>
    </w:p>
    <w:p w14:paraId="2F922E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（三）预算收支增减变化情况说明：</w:t>
      </w:r>
      <w:r>
        <w:rPr>
          <w:rFonts w:ascii="Times New Roman" w:hAnsi="Times New Roman" w:eastAsia="仿宋_GB2312" w:cs="Times New Roman"/>
          <w:sz w:val="32"/>
          <w:szCs w:val="32"/>
        </w:rPr>
        <w:t>2023年度本部门年初预算数为268.43万元，比上年增加56.49万元，主要原因是人员增加，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造成人员经费和运转经费上涨。</w:t>
      </w:r>
    </w:p>
    <w:p w14:paraId="76F837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五、一般公共预算拨款支出预算</w:t>
      </w:r>
    </w:p>
    <w:p w14:paraId="2C1D974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2023年本部门一般公共预算拨款支出268.43万元，具体安排如下：</w:t>
      </w:r>
    </w:p>
    <w:p w14:paraId="674E04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文化旅游体育与传媒支出（类）文化和旅游（款）  行政运行（项） 2023年预算数为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126.53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 。</w:t>
      </w:r>
    </w:p>
    <w:p w14:paraId="5B60D49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 文化旅游体育与传媒支出（类）文化和旅游（款）  其他文化和旅游支出（项） 2023年预算数为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 。</w:t>
      </w:r>
    </w:p>
    <w:p w14:paraId="738D71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3.社会保障和就业支出（类） 行政事业单位养老支出（款） 机关事业单位职业年金缴费支出（项）2023年预算为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 w14:paraId="06DA3D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.卫生健康支出（类） 行政事业单位医疗（款）事业单位医疗（项）2023年预算为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3.92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 w14:paraId="6B0E1F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.住房保障支出（类） 住房改革支出（款）住房公积金（项）2023年预算为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11.89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 w14:paraId="4ADC25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（一）基本支出</w:t>
      </w:r>
    </w:p>
    <w:p w14:paraId="51B7D08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1、人员类支出。2023年年初预算数为11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ascii="Times New Roman" w:hAnsi="Times New Roman" w:eastAsia="仿宋_GB2312" w:cs="Times New Roman"/>
          <w:sz w:val="32"/>
          <w:szCs w:val="32"/>
        </w:rPr>
        <w:t>万元。其中包括基本工资42.73万元、津贴补贴24.16万元、奖金21.16，住房公积金11.89，社会保障缴费18.01万元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，社会福利和救济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0.83万元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96C70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2、公用类支出。2023年年初预算数为8.25万元。用于单位办公费，水电费等</w:t>
      </w:r>
    </w:p>
    <w:p w14:paraId="6D614C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（二）项目支出</w:t>
      </w:r>
    </w:p>
    <w:p w14:paraId="6B76D4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eastAsia="仿宋_GB2312" w:cs="Times New Roman"/>
          <w:sz w:val="32"/>
          <w:szCs w:val="32"/>
        </w:rPr>
        <w:t>、其他运转类支出。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eastAsia="仿宋_GB2312" w:cs="Times New Roman"/>
          <w:sz w:val="32"/>
          <w:szCs w:val="32"/>
        </w:rPr>
        <w:t>年年初预算数为</w:t>
      </w:r>
      <w:r>
        <w:rPr>
          <w:rFonts w:ascii="Times New Roman" w:hAnsi="Times New Roman" w:eastAsia="仿宋_GB2312" w:cs="Times New Roman"/>
          <w:sz w:val="32"/>
          <w:szCs w:val="32"/>
        </w:rPr>
        <w:t>29.4</w:t>
      </w:r>
      <w:r>
        <w:rPr>
          <w:rFonts w:ascii="Times New Roman" w:eastAsia="仿宋_GB2312" w:cs="Times New Roman"/>
          <w:sz w:val="32"/>
          <w:szCs w:val="32"/>
        </w:rPr>
        <w:t>万元。其中：运转经费</w:t>
      </w:r>
      <w:r>
        <w:rPr>
          <w:rFonts w:ascii="Times New Roman" w:hAnsi="Times New Roman" w:eastAsia="仿宋_GB2312" w:cs="Times New Roman"/>
          <w:sz w:val="32"/>
          <w:szCs w:val="32"/>
        </w:rPr>
        <w:t>14.4</w:t>
      </w:r>
      <w:r>
        <w:rPr>
          <w:rFonts w:ascii="Times New Roman" w:eastAsia="仿宋_GB2312" w:cs="Times New Roman"/>
          <w:sz w:val="32"/>
          <w:szCs w:val="32"/>
        </w:rPr>
        <w:t>，免费开放经费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eastAsia="仿宋_GB2312" w:cs="Times New Roman"/>
          <w:sz w:val="32"/>
          <w:szCs w:val="32"/>
        </w:rPr>
        <w:t>万。</w:t>
      </w:r>
    </w:p>
    <w:p w14:paraId="1D072B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eastAsia="仿宋_GB2312" w:cs="Times New Roman"/>
          <w:sz w:val="32"/>
          <w:szCs w:val="32"/>
        </w:rPr>
        <w:t>、特定目标类支出</w:t>
      </w:r>
    </w:p>
    <w:p w14:paraId="077697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（1）文化和旅游专项 112万元。主要用于</w:t>
      </w:r>
      <w:r>
        <w:rPr>
          <w:rFonts w:ascii="Times New Roman" w:hAnsi="仿宋" w:eastAsia="仿宋" w:cs="Times New Roman"/>
          <w:color w:val="000000"/>
          <w:sz w:val="32"/>
          <w:szCs w:val="32"/>
        </w:rPr>
        <w:t>运用各种文化艺术手段，组织开展群众文化艺术活动，丰富群众精神文化生活。</w:t>
      </w:r>
    </w:p>
    <w:p w14:paraId="0E97B85B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政府性基金预算支出</w:t>
      </w:r>
    </w:p>
    <w:p w14:paraId="4CBC7030">
      <w:pPr>
        <w:tabs>
          <w:tab w:val="left" w:pos="7560"/>
        </w:tabs>
        <w:adjustRightInd w:val="0"/>
        <w:snapToGrid w:val="0"/>
        <w:spacing w:line="560" w:lineRule="exact"/>
        <w:ind w:firstLine="160" w:firstLineChar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2023年度本部门无政府性基金预算安排的支出。</w:t>
      </w:r>
    </w:p>
    <w:p w14:paraId="674F70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七、其他重要事项情况说明</w:t>
      </w:r>
    </w:p>
    <w:p w14:paraId="7C0804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（一）机关运行经费：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本部门2023年年初预算机关运行经费(公用类+其他运转类)共安排37.65万元，比上年预算增加 14.33万元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主要原因是人员增加，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造成公用经费和运转经费上涨。</w:t>
      </w:r>
    </w:p>
    <w:p w14:paraId="790708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11888EE4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（二) 政府采购预算</w:t>
      </w:r>
      <w:r>
        <w:rPr>
          <w:rFonts w:ascii="Times New Roman" w:hAnsi="Times New Roman" w:eastAsia="华文楷体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本单位2023年政府采购年初预算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其中：政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府采购货物类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万元，服务类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万元，工程类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B8BA38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（三）国有资产占有情况：</w:t>
      </w:r>
      <w:r>
        <w:rPr>
          <w:rFonts w:ascii="Times New Roman" w:hAnsi="Times New Roman" w:eastAsia="仿宋_GB2312" w:cs="Times New Roman"/>
          <w:sz w:val="32"/>
          <w:szCs w:val="32"/>
        </w:rPr>
        <w:t>截止2022年12月31日，本部门共有办公及业务用房3211.91平方米；车辆0辆，其中一般公务用车0辆、一般执法执勤用车0辆、货币化用车0辆；单位价值200万以上大型设备0套。2023年部门预算安排购置车辆0辆，预算安排购置价值200万以上大型设备0套。</w:t>
      </w:r>
    </w:p>
    <w:p w14:paraId="3C337D2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（四）重点项目预算的绩效目标等情况：</w:t>
      </w:r>
      <w:r>
        <w:rPr>
          <w:rFonts w:ascii="Times New Roman" w:eastAsia="仿宋_GB2312" w:cs="Times New Roman"/>
          <w:sz w:val="32"/>
          <w:szCs w:val="32"/>
        </w:rPr>
        <w:t>本部门整体支出和项目支出实行绩效目标管理，纳入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eastAsia="仿宋_GB2312" w:cs="Times New Roman"/>
          <w:sz w:val="32"/>
          <w:szCs w:val="32"/>
        </w:rPr>
        <w:t>年部门整体支出绩效目标的金额为</w:t>
      </w:r>
      <w:r>
        <w:rPr>
          <w:rFonts w:ascii="Times New Roman" w:hAnsi="Times New Roman" w:eastAsia="仿宋_GB2312" w:cs="Times New Roman"/>
          <w:sz w:val="32"/>
          <w:szCs w:val="32"/>
        </w:rPr>
        <w:t>268.43</w:t>
      </w:r>
      <w:r>
        <w:rPr>
          <w:rFonts w:ascii="Times New Roman" w:eastAsia="仿宋_GB2312" w:cs="Times New Roman"/>
          <w:sz w:val="32"/>
          <w:szCs w:val="32"/>
        </w:rPr>
        <w:t>万元，其中，基本支</w:t>
      </w:r>
      <w:r>
        <w:rPr>
          <w:rFonts w:ascii="Times New Roman" w:hAnsi="Times New Roman" w:eastAsia="仿宋_GB2312" w:cs="Times New Roman"/>
          <w:sz w:val="32"/>
          <w:szCs w:val="32"/>
        </w:rPr>
        <w:t>127.03</w:t>
      </w:r>
      <w:r>
        <w:rPr>
          <w:rFonts w:ascii="Times New Roman" w:eastAsia="仿宋_GB2312" w:cs="Times New Roman"/>
          <w:sz w:val="32"/>
          <w:szCs w:val="32"/>
        </w:rPr>
        <w:t>万元，项目支出</w:t>
      </w:r>
      <w:r>
        <w:rPr>
          <w:rFonts w:ascii="Times New Roman" w:hAnsi="Times New Roman" w:eastAsia="仿宋_GB2312" w:cs="Times New Roman"/>
          <w:sz w:val="32"/>
          <w:szCs w:val="32"/>
        </w:rPr>
        <w:t>141.40</w:t>
      </w:r>
      <w:r>
        <w:rPr>
          <w:rFonts w:ascii="Times New Roman" w:eastAsia="仿宋_GB2312" w:cs="Times New Roman"/>
          <w:sz w:val="32"/>
          <w:szCs w:val="32"/>
        </w:rPr>
        <w:t>万元（详见附表）。</w:t>
      </w:r>
    </w:p>
    <w:p w14:paraId="55B15D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（五）一般公共预算“三公”经费情况：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本单位无公共财政拨款三公经费预算</w:t>
      </w:r>
      <w:r>
        <w:rPr>
          <w:rFonts w:ascii="Times New Roman" w:hAnsi="Times New Roman" w:eastAsia="仿宋_GB2312" w:cs="Times New Roman"/>
          <w:sz w:val="32"/>
          <w:szCs w:val="32"/>
        </w:rPr>
        <w:t>2023年“三公”经费预算数0万元，其中：“因公出国（境）费”0万元、“公务用车购置及运行费”0万元“公务接待费”0万元。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与上年相比无增减，无此项安排，未计划举办节庆、晚会、论坛、赛事活动。</w:t>
      </w:r>
    </w:p>
    <w:p w14:paraId="74D08A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（六）会议费、培训费预算：</w:t>
      </w:r>
    </w:p>
    <w:p w14:paraId="3E36F2E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2023年预算安排会议费0万元。</w:t>
      </w:r>
    </w:p>
    <w:p w14:paraId="33A453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2023年预算安排培训费0万元。</w:t>
      </w:r>
    </w:p>
    <w:p w14:paraId="2819F0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未计划举办节庆、晚会、论坛、赛事活动。</w:t>
      </w:r>
      <w:bookmarkStart w:id="0" w:name="_GoBack"/>
      <w:bookmarkEnd w:id="0"/>
    </w:p>
    <w:p w14:paraId="6AEE6B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（七）其他事项。</w:t>
      </w:r>
    </w:p>
    <w:p w14:paraId="5322EDC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本单位无一般公共预算“三公”经费支出；</w:t>
      </w:r>
    </w:p>
    <w:p w14:paraId="48A19D3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本单位无政府基金预算经费开支；</w:t>
      </w:r>
    </w:p>
    <w:p w14:paraId="58F3976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本单位无国有资产经营经费开支；</w:t>
      </w:r>
    </w:p>
    <w:p w14:paraId="6B472B6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本单位无财政专户管理资金经费开支；</w:t>
      </w:r>
    </w:p>
    <w:p w14:paraId="2A671E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本单位无门户网站，统一在政府门户网站上公开。</w:t>
      </w:r>
    </w:p>
    <w:p w14:paraId="7B245F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八、名词解释</w:t>
      </w:r>
    </w:p>
    <w:p w14:paraId="7FEF0C5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（一）一般公共预算: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03B46B6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（二）政府性基金预算: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17824A6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（三）国有资本经营预算: </w:t>
      </w:r>
      <w:r>
        <w:rPr>
          <w:rFonts w:ascii="Times New Roman" w:hAnsi="Times New Roman" w:eastAsia="仿宋_GB2312" w:cs="Times New Roman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03D4516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（四）社会保险基金预算: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4AD9797B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（五）“三公”经费：</w:t>
      </w:r>
      <w:r>
        <w:rPr>
          <w:rFonts w:ascii="Times New Roman" w:hAnsi="Times New Roman" w:eastAsia="仿宋_GB2312" w:cs="Times New Roman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（六）机关运行经费：</w:t>
      </w:r>
      <w:r>
        <w:rPr>
          <w:rFonts w:ascii="Times New Roman" w:hAnsi="Times New Roman" w:eastAsia="仿宋_GB2312" w:cs="Times New Roman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32F1FD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（行距：固定值28磅）</w:t>
      </w:r>
    </w:p>
    <w:p w14:paraId="02EA4844">
      <w:pPr>
        <w:rPr>
          <w:rFonts w:ascii="Times New Roman" w:hAnsi="Times New Roman" w:cs="Times New Roman"/>
        </w:rPr>
      </w:pPr>
    </w:p>
    <w:p w14:paraId="08364647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VhMzY0NmM0YWUxNzQ1MWZkNzc4Y2FiZTZiN2JlYWIifQ=="/>
  </w:docVars>
  <w:rsids>
    <w:rsidRoot w:val="002F05B3"/>
    <w:rsid w:val="00156B38"/>
    <w:rsid w:val="002D022C"/>
    <w:rsid w:val="002F05B3"/>
    <w:rsid w:val="003A05E2"/>
    <w:rsid w:val="005A20C4"/>
    <w:rsid w:val="0062643E"/>
    <w:rsid w:val="00651A3B"/>
    <w:rsid w:val="007A3F77"/>
    <w:rsid w:val="007A75CA"/>
    <w:rsid w:val="007C16D6"/>
    <w:rsid w:val="00801F20"/>
    <w:rsid w:val="009415B1"/>
    <w:rsid w:val="00A072A4"/>
    <w:rsid w:val="00BB6EF5"/>
    <w:rsid w:val="00C01F10"/>
    <w:rsid w:val="00D11446"/>
    <w:rsid w:val="00E92F4B"/>
    <w:rsid w:val="00EB0568"/>
    <w:rsid w:val="0E9B425B"/>
    <w:rsid w:val="15723063"/>
    <w:rsid w:val="231F71F7"/>
    <w:rsid w:val="241733C5"/>
    <w:rsid w:val="2EB14B18"/>
    <w:rsid w:val="31254569"/>
    <w:rsid w:val="46E33C39"/>
    <w:rsid w:val="571F319F"/>
    <w:rsid w:val="57CC4CCD"/>
    <w:rsid w:val="64A456E8"/>
    <w:rsid w:val="6D125E56"/>
    <w:rsid w:val="71CD03AB"/>
    <w:rsid w:val="733B14AB"/>
    <w:rsid w:val="73736C75"/>
    <w:rsid w:val="76E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3259</Words>
  <Characters>3602</Characters>
  <Lines>22</Lines>
  <Paragraphs>6</Paragraphs>
  <TotalTime>0</TotalTime>
  <ScaleCrop>false</ScaleCrop>
  <LinksUpToDate>false</LinksUpToDate>
  <CharactersWithSpaces>3635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2023-02-20T08:12:00Z</dcterms:created>
  <dc:creator>Administrator</dc:creator>
  <cp:lastModifiedBy>松哥</cp:lastModifiedBy>
  <dcterms:modified xsi:type="dcterms:W3CDTF">2024-11-28T00:54:24Z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EACE0D50401543D7B3D30783E3DA7F6F</vt:lpwstr>
  </property>
</Properties>
</file>