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6FFA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8A388B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C13EED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FEDCBDF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7DEB1CD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  <w:lang w:val="en-US" w:eastAsia="zh-CN"/>
        </w:rPr>
        <w:t>醴陵市潘矿离退休人员服务中心</w:t>
      </w:r>
      <w:r>
        <w:rPr>
          <w:rFonts w:eastAsia="方正小标宋简体"/>
          <w:bCs/>
          <w:sz w:val="84"/>
          <w:szCs w:val="84"/>
        </w:rPr>
        <w:t>2023年部门</w:t>
      </w:r>
    </w:p>
    <w:p w14:paraId="01AA2E0E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/>
          <w:bCs/>
          <w:sz w:val="84"/>
          <w:szCs w:val="84"/>
        </w:rPr>
        <w:t>预算</w:t>
      </w:r>
    </w:p>
    <w:p w14:paraId="1D2FB17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EB8ABC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B7086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5F2AC5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9E5D62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ED7BE0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EFD7D8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4104E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733D68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3DB2D7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D0D7D1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F25EA3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668FE7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F4810E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eastAsia="仿宋_GB2312"/>
          <w:bCs/>
          <w:sz w:val="32"/>
          <w:szCs w:val="32"/>
        </w:rPr>
      </w:pPr>
    </w:p>
    <w:p w14:paraId="6881B6A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 w14:paraId="7A1BC8E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 w14:paraId="7711A63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734DC6D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7B83A00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31C9CC4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660E8D4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58D4BCE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1759C41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3554ED3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3D2AEA2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13F59C3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54F3927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1FBCDF7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4D8ED3F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650D705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56B1F6A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64C518C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759D8B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 w14:paraId="6E9394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4867CFD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4EDD5CE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6ED8447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089D64F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部门收支总体情况表</w:t>
      </w:r>
    </w:p>
    <w:p w14:paraId="5A1887E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部门收入总体情况表</w:t>
      </w:r>
    </w:p>
    <w:p w14:paraId="48F342D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</w:t>
      </w:r>
      <w:r>
        <w:rPr>
          <w:rFonts w:hint="eastAsia" w:hAnsi="仿宋_GB2312" w:eastAsia="仿宋_GB2312"/>
          <w:sz w:val="32"/>
          <w:szCs w:val="32"/>
        </w:rPr>
        <w:t>部门支出总体情况表</w:t>
      </w:r>
    </w:p>
    <w:p w14:paraId="248A7C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42D033F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22A86D3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</w:t>
      </w:r>
      <w:r>
        <w:rPr>
          <w:rFonts w:hint="eastAsia" w:hAnsi="仿宋_GB2312" w:eastAsia="仿宋_GB2312"/>
          <w:sz w:val="32"/>
          <w:szCs w:val="32"/>
        </w:rPr>
        <w:t>财政拨款收支总体情况表</w:t>
      </w:r>
    </w:p>
    <w:p w14:paraId="3F43F82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</w:t>
      </w:r>
      <w:r>
        <w:rPr>
          <w:rFonts w:hint="eastAsia" w:hAnsi="仿宋_GB2312" w:eastAsia="仿宋_GB2312"/>
          <w:sz w:val="32"/>
          <w:szCs w:val="32"/>
        </w:rPr>
        <w:t>一般公共预算支出情况表</w:t>
      </w:r>
    </w:p>
    <w:p w14:paraId="39E13FE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</w:t>
      </w:r>
      <w:r>
        <w:rPr>
          <w:rFonts w:hint="eastAsia" w:hAnsi="仿宋_GB2312" w:eastAsia="仿宋_GB2312"/>
          <w:sz w:val="32"/>
          <w:szCs w:val="32"/>
        </w:rPr>
        <w:t>一般公共预算基本支出情况表</w:t>
      </w:r>
    </w:p>
    <w:p w14:paraId="57FBE6C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  <w:lang w:eastAsia="zh-CN"/>
        </w:rPr>
        <w:t>（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工资福利（政府预算）</w:t>
      </w:r>
    </w:p>
    <w:p w14:paraId="30C09CB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（十）工资福利</w:t>
      </w:r>
    </w:p>
    <w:p w14:paraId="2C9E7EA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18218A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 w14:paraId="5C3FAFF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0704F8A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 w14:paraId="1DA1073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</w:t>
      </w:r>
      <w:r>
        <w:rPr>
          <w:rFonts w:hint="eastAsia" w:hAnsi="仿宋_GB2312" w:eastAsia="仿宋_GB2312"/>
          <w:sz w:val="32"/>
          <w:szCs w:val="32"/>
        </w:rPr>
        <w:t>一般公共预算“三公”经费支出情况表</w:t>
      </w:r>
    </w:p>
    <w:p w14:paraId="2F30C07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</w:t>
      </w:r>
      <w:r>
        <w:rPr>
          <w:rFonts w:hint="eastAsia" w:hAnsi="仿宋_GB2312" w:eastAsia="仿宋_GB2312"/>
          <w:sz w:val="32"/>
          <w:szCs w:val="32"/>
        </w:rPr>
        <w:t>政府性基金预算支出情况表</w:t>
      </w:r>
    </w:p>
    <w:p w14:paraId="01E50DC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70DC1A5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17B9F37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</w:p>
    <w:p w14:paraId="10174A0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</w:p>
    <w:p w14:paraId="46AB4FD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（二十一）专项清单</w:t>
      </w:r>
    </w:p>
    <w:p w14:paraId="153089C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 w14:paraId="2CDA974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三</w:t>
      </w:r>
      <w:r>
        <w:rPr>
          <w:rFonts w:hAnsi="仿宋_GB2312" w:eastAsia="仿宋_GB2312"/>
          <w:sz w:val="32"/>
          <w:szCs w:val="32"/>
        </w:rPr>
        <w:t>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7F77569B">
      <w:pPr>
        <w:tabs>
          <w:tab w:val="left" w:pos="7560"/>
        </w:tabs>
        <w:adjustRightInd w:val="0"/>
        <w:snapToGrid w:val="0"/>
        <w:spacing w:line="560" w:lineRule="exact"/>
        <w:rPr>
          <w:rFonts w:hint="eastAsia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（注：本套报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表金额单位转换时可能存在尾数误差）</w:t>
      </w:r>
    </w:p>
    <w:p w14:paraId="665AE540">
      <w:pPr>
        <w:tabs>
          <w:tab w:val="left" w:pos="7560"/>
        </w:tabs>
        <w:adjustRightInd w:val="0"/>
        <w:snapToGrid w:val="0"/>
        <w:spacing w:line="560" w:lineRule="exact"/>
        <w:rPr>
          <w:rFonts w:hint="eastAsia" w:hAnsi="仿宋_GB2312" w:eastAsia="仿宋_GB2312"/>
          <w:sz w:val="32"/>
          <w:szCs w:val="32"/>
          <w:lang w:val="en-US" w:eastAsia="zh-CN"/>
        </w:rPr>
      </w:pPr>
    </w:p>
    <w:p w14:paraId="04723E17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472734C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08C4F001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1FEACC9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醴陵市潘矿离退休人员服务中心</w:t>
      </w:r>
    </w:p>
    <w:p w14:paraId="4FE5D77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2023年部门预算说明</w:t>
      </w:r>
    </w:p>
    <w:p w14:paraId="54E0B9E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7B52E0C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</w:t>
      </w:r>
    </w:p>
    <w:p w14:paraId="108E070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（一）为关闭破产后的潘家冲铅锌矿的离退人员、工伤抚恤人员、老干配偶或遗孀及精简下放人员提供服务。</w:t>
      </w:r>
    </w:p>
    <w:p w14:paraId="624CE14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（二）负责潘家冲铅锌矿的离退人员、工伤抚恤人员、老干配偶或遗孀及精简下放人员的管理。及时准确地完成离退休人员、抚恤人员、老干配偶或遗孀及精简下放人员年度生存认证工作。</w:t>
      </w:r>
    </w:p>
    <w:p w14:paraId="5ACD2C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（三）负责离退休人员、工伤抚恤人员、老干配偶或遗孀及精简下放人员生活费的发放及管理，积极做好离退休人员患病、丧葬、特困等慰问工作。</w:t>
      </w:r>
    </w:p>
    <w:p w14:paraId="659DB56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（四）负责离休干部及工伤退休人员医药费报销及管理。</w:t>
      </w:r>
    </w:p>
    <w:p w14:paraId="2F28B32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（五）负责管理原潘矿代管办管理的国有资产。</w:t>
      </w:r>
    </w:p>
    <w:p w14:paraId="398CB33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（六）负责破产企业社区管理及设备设施维修维护。</w:t>
      </w:r>
    </w:p>
    <w:p w14:paraId="5FF2099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（七）完成市委、市政府交办的其他工作。</w:t>
      </w:r>
    </w:p>
    <w:p w14:paraId="3ABDA4C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5BA5474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bCs/>
          <w:color w:val="00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本单位为</w:t>
      </w:r>
      <w:r>
        <w:rPr>
          <w:rFonts w:hint="eastAsia" w:eastAsia="仿宋_GB2312"/>
          <w:sz w:val="32"/>
          <w:szCs w:val="32"/>
          <w:lang w:val="en-US" w:eastAsia="zh-CN"/>
        </w:rPr>
        <w:t>醴陵市科技和工业信息化</w:t>
      </w:r>
      <w:r>
        <w:rPr>
          <w:rFonts w:eastAsia="仿宋_GB2312"/>
          <w:sz w:val="32"/>
          <w:szCs w:val="32"/>
        </w:rPr>
        <w:t>局下属二级预算单位，</w:t>
      </w:r>
      <w:r>
        <w:rPr>
          <w:rFonts w:eastAsia="仿宋_GB2312"/>
          <w:color w:val="000000"/>
          <w:sz w:val="32"/>
          <w:szCs w:val="32"/>
        </w:rPr>
        <w:t>属于公益一类事业单位性质单位共有编制人数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人，实有人数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人。内设科室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个，分别为：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综合股、离退休人员服务股。 </w:t>
      </w:r>
    </w:p>
    <w:p w14:paraId="62C1065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3D9A561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醴陵市潘矿离退休人员服务中心只有本级，没有其他预算单位，因此纳入2023年部门预算编制范围的只有醴陵市潘矿离退休人员服务中心本级</w:t>
      </w:r>
      <w:r>
        <w:rPr>
          <w:rFonts w:eastAsia="仿宋_GB2312"/>
          <w:color w:val="000000"/>
          <w:sz w:val="32"/>
          <w:szCs w:val="32"/>
        </w:rPr>
        <w:t>。</w:t>
      </w:r>
    </w:p>
    <w:p w14:paraId="158C630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四、部门收支总体情况</w:t>
      </w:r>
    </w:p>
    <w:p w14:paraId="74B87B5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2023</w:t>
      </w:r>
      <w:r>
        <w:rPr>
          <w:rFonts w:hint="eastAsia" w:eastAsia="仿宋_GB2312"/>
          <w:sz w:val="32"/>
          <w:szCs w:val="32"/>
        </w:rPr>
        <w:t>年醴陵市潘矿离退休人员服务中心公开的部门预算为单位预算。收入包括一般公共预算收入；支出既</w:t>
      </w:r>
      <w:r>
        <w:rPr>
          <w:rFonts w:hint="eastAsia" w:eastAsia="仿宋_GB2312"/>
          <w:sz w:val="32"/>
          <w:szCs w:val="32"/>
          <w:lang w:val="en-US" w:eastAsia="zh-CN"/>
        </w:rPr>
        <w:t>包括</w:t>
      </w:r>
      <w:r>
        <w:rPr>
          <w:rFonts w:hint="eastAsia" w:eastAsia="仿宋_GB2312"/>
          <w:sz w:val="32"/>
          <w:szCs w:val="32"/>
        </w:rPr>
        <w:t>单位基本运行的经费，也包括归口管理、面向全市分配的专项经费。</w:t>
      </w:r>
      <w:r>
        <w:rPr>
          <w:rFonts w:eastAsia="仿宋_GB2312"/>
          <w:sz w:val="32"/>
          <w:szCs w:val="32"/>
        </w:rPr>
        <w:t>（详见附表）</w:t>
      </w:r>
    </w:p>
    <w:p w14:paraId="54D51AA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</w:rPr>
        <w:t>187.57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</w:rPr>
        <w:t>187.57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 w14:paraId="0FF879FA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</w:rPr>
        <w:t>187.57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其中，社会保障和就业支出181.93万元，卫生健康支出1.43万元，住房保障支出4.21万元，公共安全0万元，教育0万元，科学技术0万元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共安全支出0万元，国防支出0万元，教育支出0万元，科学技术支出0万元，文化旅游体育与传媒支出0万元，社会保险基金支出0万元，节能环保支出0万元，城乡社区支出0万元，农林水支出0万元，交通运输支出0万元，资源勘探信息等支出0万元，商业服务业等支出0万元，金融支出0万元，援助其他地区支出0万元，自然资源海洋气象等支出0万元，粮油物资储备支出0万元，国有资本经营预算支出0万元，灾害防治及应急管理支出0万元，预备费0万元，其他支出0万元，转移性支出0万元，债务还本支出0万元，债务付息支出0万元，债务发行费用支出0万元，抗疫特别国债安排的支出0万元。</w:t>
      </w:r>
    </w:p>
    <w:p w14:paraId="4FDFF83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2023年年初预算数为</w:t>
      </w:r>
      <w:r>
        <w:rPr>
          <w:rFonts w:hint="eastAsia" w:eastAsia="仿宋_GB2312"/>
          <w:color w:val="000000"/>
          <w:sz w:val="32"/>
          <w:szCs w:val="32"/>
        </w:rPr>
        <w:t>55.57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</w:rPr>
        <w:t>14.70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8.78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</w:rPr>
        <w:t>7.50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机关事业单位基本养老保险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15.99万元、职工基本医疗医疗保险1.43万元、住房公积金4.21万元、</w:t>
      </w:r>
      <w:r>
        <w:rPr>
          <w:rFonts w:eastAsia="仿宋_GB2312"/>
          <w:color w:val="000000"/>
          <w:sz w:val="32"/>
          <w:szCs w:val="32"/>
        </w:rPr>
        <w:t>其他工资福利支出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对个人和家庭的补助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0万元、</w:t>
      </w:r>
      <w:r>
        <w:rPr>
          <w:rFonts w:eastAsia="仿宋_GB2312"/>
          <w:color w:val="000000"/>
          <w:sz w:val="32"/>
          <w:szCs w:val="32"/>
        </w:rPr>
        <w:t>公用经费</w:t>
      </w:r>
      <w:r>
        <w:rPr>
          <w:rFonts w:hint="eastAsia" w:eastAsia="仿宋_GB2312"/>
          <w:color w:val="000000"/>
          <w:sz w:val="32"/>
          <w:szCs w:val="32"/>
        </w:rPr>
        <w:t>2.96</w:t>
      </w:r>
      <w:r>
        <w:rPr>
          <w:rFonts w:eastAsia="仿宋_GB2312"/>
          <w:color w:val="000000"/>
          <w:sz w:val="32"/>
          <w:szCs w:val="32"/>
        </w:rPr>
        <w:t>万元。</w:t>
      </w:r>
    </w:p>
    <w:p w14:paraId="02EB411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2023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132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其他运转类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支出8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eastAsia="仿宋_GB2312"/>
          <w:sz w:val="32"/>
          <w:szCs w:val="32"/>
        </w:rPr>
        <w:t>特定目标类支出</w:t>
      </w:r>
      <w:r>
        <w:rPr>
          <w:rFonts w:hint="eastAsia" w:eastAsia="仿宋_GB2312"/>
          <w:sz w:val="32"/>
          <w:szCs w:val="32"/>
          <w:lang w:val="en-US" w:eastAsia="zh-CN"/>
        </w:rPr>
        <w:t>124万元。</w:t>
      </w:r>
    </w:p>
    <w:p w14:paraId="2D4D845D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</w:rPr>
        <w:t>187.57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hint="eastAsia" w:eastAsia="仿宋_GB2312"/>
          <w:sz w:val="32"/>
          <w:szCs w:val="32"/>
          <w:lang w:val="en-US" w:eastAsia="zh-CN"/>
        </w:rPr>
        <w:t>5.58</w:t>
      </w:r>
      <w:r>
        <w:rPr>
          <w:rFonts w:eastAsia="仿宋_GB2312"/>
          <w:sz w:val="32"/>
          <w:szCs w:val="32"/>
        </w:rPr>
        <w:t>万元，主要原因是</w:t>
      </w: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人员增加，造成人员经费和运转经费上涨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18C623E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0716838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</w:rPr>
        <w:t>187.57</w:t>
      </w:r>
      <w:r>
        <w:rPr>
          <w:rFonts w:eastAsia="仿宋_GB2312"/>
          <w:sz w:val="32"/>
          <w:szCs w:val="32"/>
        </w:rPr>
        <w:t>万元，具体安排如下：</w:t>
      </w:r>
    </w:p>
    <w:p w14:paraId="5809F368">
      <w:pPr>
        <w:pStyle w:val="11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社会保障和就业支出（类）行政事业单位养老支出（款）机关事业单位基本养老保险缴费支出（项）</w:t>
      </w:r>
    </w:p>
    <w:p w14:paraId="1077A55D">
      <w:pPr>
        <w:pStyle w:val="11"/>
        <w:numPr>
          <w:ilvl w:val="0"/>
          <w:numId w:val="0"/>
        </w:numPr>
        <w:ind w:left="-10" w:leftChars="0" w:firstLine="640" w:firstLineChars="0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2023年预算支出15.99万元。</w:t>
      </w:r>
    </w:p>
    <w:p w14:paraId="59387E2D">
      <w:pPr>
        <w:pStyle w:val="11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社会保障和就业支出（类）行政事业单位养老支出（款） 离退休人员管理机构（项）</w:t>
      </w:r>
    </w:p>
    <w:p w14:paraId="13BD59C4">
      <w:pPr>
        <w:pStyle w:val="11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2023年预算支出165.94万元。</w:t>
      </w:r>
    </w:p>
    <w:p w14:paraId="18105A98">
      <w:pPr>
        <w:pStyle w:val="11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3、卫生健康支出（类）行政事业单位医疗（款）事业单位医疗（项）</w:t>
      </w:r>
    </w:p>
    <w:p w14:paraId="6C858343">
      <w:pPr>
        <w:pStyle w:val="11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2023年预算支出1.43万元。</w:t>
      </w:r>
    </w:p>
    <w:p w14:paraId="716BF7E8">
      <w:pPr>
        <w:pStyle w:val="11"/>
        <w:numPr>
          <w:ilvl w:val="0"/>
          <w:numId w:val="0"/>
        </w:numPr>
        <w:ind w:left="638" w:leftChars="304" w:firstLine="0" w:firstLineChars="0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4、住房保障支出（类）住房改革支出（款）住房公积金（项）2023年预算支出4.21万元。</w:t>
      </w:r>
    </w:p>
    <w:p w14:paraId="22BD96F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5ACAD98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7C158A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  <w:lang w:val="en-US" w:eastAsia="zh-CN"/>
        </w:rPr>
        <w:t>61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</w:rPr>
        <w:t>14.70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</w:rPr>
        <w:t>8.78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</w:rPr>
        <w:t>7.50</w:t>
      </w:r>
      <w:r>
        <w:rPr>
          <w:rFonts w:eastAsia="仿宋_GB2312"/>
          <w:sz w:val="32"/>
          <w:szCs w:val="32"/>
        </w:rPr>
        <w:t>万元、</w:t>
      </w:r>
      <w:r>
        <w:rPr>
          <w:rFonts w:hint="eastAsia" w:eastAsia="仿宋_GB2312"/>
          <w:sz w:val="32"/>
          <w:szCs w:val="32"/>
          <w:lang w:val="en-US" w:eastAsia="zh-CN"/>
        </w:rPr>
        <w:t>社会保障缴费17.42万元、住房公积金4.21万元、</w:t>
      </w:r>
      <w:r>
        <w:rPr>
          <w:rFonts w:eastAsia="仿宋_GB2312"/>
          <w:sz w:val="32"/>
          <w:szCs w:val="32"/>
        </w:rPr>
        <w:t>其他工资福利支出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14:paraId="2419BC3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2、公用类支出。2023年年初预算数为2.9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万元。其中：办公费用1.20万元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工会经费0.70万元、福利费1.05万元。</w:t>
      </w:r>
    </w:p>
    <w:p w14:paraId="71EB083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08065BD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1、其他运转类支出。2023年年初预算数为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万元。其中：</w:t>
      </w:r>
      <w:r>
        <w:rPr>
          <w:rFonts w:hint="eastAsia" w:eastAsia="仿宋_GB2312"/>
          <w:sz w:val="32"/>
          <w:szCs w:val="32"/>
          <w:lang w:val="en-US" w:eastAsia="zh-CN"/>
        </w:rPr>
        <w:t>伙食补助费0.9万元、其他交通费0.5万元、劳务费1万元、</w:t>
      </w:r>
      <w:r>
        <w:rPr>
          <w:rFonts w:hint="eastAsia" w:eastAsia="仿宋_GB2312"/>
          <w:sz w:val="32"/>
          <w:szCs w:val="32"/>
        </w:rPr>
        <w:t>水电费</w:t>
      </w:r>
      <w:r>
        <w:rPr>
          <w:rFonts w:hint="eastAsia" w:eastAsia="仿宋_GB2312"/>
          <w:sz w:val="32"/>
          <w:szCs w:val="32"/>
          <w:lang w:val="en-US" w:eastAsia="zh-CN"/>
        </w:rPr>
        <w:t>1.5</w:t>
      </w:r>
      <w:r>
        <w:rPr>
          <w:rFonts w:hint="eastAsia" w:eastAsia="仿宋_GB2312"/>
          <w:sz w:val="32"/>
          <w:szCs w:val="32"/>
        </w:rPr>
        <w:t>万元、邮电费</w:t>
      </w:r>
      <w:r>
        <w:rPr>
          <w:rFonts w:hint="eastAsia" w:eastAsia="仿宋_GB2312"/>
          <w:sz w:val="32"/>
          <w:szCs w:val="32"/>
          <w:lang w:val="en-US" w:eastAsia="zh-CN"/>
        </w:rPr>
        <w:t>0.3</w:t>
      </w:r>
      <w:r>
        <w:rPr>
          <w:rFonts w:hint="eastAsia" w:eastAsia="仿宋_GB2312"/>
          <w:sz w:val="32"/>
          <w:szCs w:val="32"/>
        </w:rPr>
        <w:t>万元，差旅费</w:t>
      </w:r>
      <w:r>
        <w:rPr>
          <w:rFonts w:hint="eastAsia" w:eastAsia="仿宋_GB2312"/>
          <w:sz w:val="32"/>
          <w:szCs w:val="32"/>
          <w:lang w:val="en-US" w:eastAsia="zh-CN"/>
        </w:rPr>
        <w:t>0.3</w:t>
      </w:r>
      <w:r>
        <w:rPr>
          <w:rFonts w:hint="eastAsia" w:eastAsia="仿宋_GB2312"/>
          <w:sz w:val="32"/>
          <w:szCs w:val="32"/>
        </w:rPr>
        <w:t>万元、公务接待费0.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其他工资福利支出1万元</w:t>
      </w:r>
      <w:r>
        <w:rPr>
          <w:rFonts w:hint="eastAsia" w:eastAsia="仿宋_GB2312"/>
          <w:sz w:val="32"/>
          <w:szCs w:val="32"/>
        </w:rPr>
        <w:t>和其他商品和服务支出</w:t>
      </w:r>
      <w:r>
        <w:rPr>
          <w:rFonts w:hint="eastAsia" w:eastAsia="仿宋_GB2312"/>
          <w:sz w:val="32"/>
          <w:szCs w:val="32"/>
          <w:lang w:val="en-US" w:eastAsia="zh-CN"/>
        </w:rPr>
        <w:t>2.35</w:t>
      </w:r>
      <w:r>
        <w:rPr>
          <w:rFonts w:hint="eastAsia" w:eastAsia="仿宋_GB2312"/>
          <w:sz w:val="32"/>
          <w:szCs w:val="32"/>
        </w:rPr>
        <w:t>万元。</w:t>
      </w:r>
    </w:p>
    <w:p w14:paraId="35A1D66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2、特定目标类支出</w:t>
      </w:r>
    </w:p>
    <w:p w14:paraId="58C9211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（1）抚恤对象经费专项1</w:t>
      </w:r>
      <w:r>
        <w:rPr>
          <w:rFonts w:hint="eastAsia" w:eastAsia="仿宋_GB2312"/>
          <w:sz w:val="32"/>
          <w:szCs w:val="32"/>
          <w:lang w:val="en-US" w:eastAsia="zh-CN"/>
        </w:rPr>
        <w:t>00</w:t>
      </w:r>
      <w:r>
        <w:rPr>
          <w:rFonts w:hint="eastAsia" w:eastAsia="仿宋_GB2312"/>
          <w:sz w:val="32"/>
          <w:szCs w:val="32"/>
        </w:rPr>
        <w:t>万元。主要用于按月及时准确发放抚恤金、工伤残费用及下放人员生活费。</w:t>
      </w:r>
    </w:p>
    <w:p w14:paraId="67F822C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（2）社区维护费专项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eastAsia="仿宋_GB2312"/>
          <w:sz w:val="32"/>
          <w:szCs w:val="32"/>
        </w:rPr>
        <w:t>万元。主要用于及时做好破产企业社区保安保洁、垃圾清运、水电及园林维护。</w:t>
      </w:r>
    </w:p>
    <w:p w14:paraId="44CB4AA8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1460B08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2023</w:t>
      </w:r>
      <w:r>
        <w:rPr>
          <w:rFonts w:hint="eastAsia" w:eastAsia="仿宋_GB2312"/>
          <w:sz w:val="32"/>
          <w:szCs w:val="32"/>
        </w:rPr>
        <w:t>年度本部门无政府性基金预算安排的支出</w:t>
      </w:r>
    </w:p>
    <w:p w14:paraId="6B516F3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624A7C5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年年初预算机关运行经费共安排</w:t>
      </w:r>
      <w:r>
        <w:rPr>
          <w:rFonts w:hint="eastAsia" w:eastAsia="仿宋_GB2312"/>
          <w:sz w:val="32"/>
          <w:szCs w:val="32"/>
          <w:lang w:val="en-US" w:eastAsia="zh-CN"/>
        </w:rPr>
        <w:t>10.95</w:t>
      </w:r>
      <w:r>
        <w:rPr>
          <w:rFonts w:eastAsia="仿宋_GB2312"/>
          <w:sz w:val="32"/>
          <w:szCs w:val="32"/>
        </w:rPr>
        <w:t>万元，比上年度预算减少</w:t>
      </w:r>
      <w:r>
        <w:rPr>
          <w:rFonts w:hint="eastAsia" w:eastAsia="仿宋_GB2312"/>
          <w:sz w:val="32"/>
          <w:szCs w:val="32"/>
          <w:lang w:val="en-US" w:eastAsia="zh-CN"/>
        </w:rPr>
        <w:t>1.49</w:t>
      </w:r>
      <w:r>
        <w:rPr>
          <w:rFonts w:eastAsia="仿宋_GB2312"/>
          <w:sz w:val="32"/>
          <w:szCs w:val="32"/>
        </w:rPr>
        <w:t>万元，减少的主要原因是：</w:t>
      </w:r>
      <w:r>
        <w:rPr>
          <w:rFonts w:hint="eastAsia" w:eastAsia="仿宋_GB2312"/>
          <w:sz w:val="32"/>
          <w:szCs w:val="32"/>
          <w:lang w:val="en-US" w:eastAsia="zh-CN"/>
        </w:rPr>
        <w:t>单位提倡勤俭节约，规范费用报销等制度</w:t>
      </w:r>
      <w:r>
        <w:rPr>
          <w:rFonts w:hint="eastAsia" w:eastAsia="仿宋_GB2312"/>
          <w:sz w:val="32"/>
          <w:szCs w:val="32"/>
        </w:rPr>
        <w:t>。</w:t>
      </w:r>
    </w:p>
    <w:p w14:paraId="7C96E4D7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本部门2023年</w:t>
      </w:r>
      <w:r>
        <w:rPr>
          <w:rFonts w:hint="eastAsia" w:eastAsia="仿宋_GB2312"/>
          <w:sz w:val="32"/>
          <w:szCs w:val="32"/>
        </w:rPr>
        <w:t>年初预算数为26.3万元。包含：</w:t>
      </w:r>
      <w:r>
        <w:rPr>
          <w:rFonts w:hint="eastAsia" w:eastAsia="仿宋_GB2312"/>
          <w:sz w:val="32"/>
          <w:szCs w:val="32"/>
          <w:lang w:val="en-US" w:eastAsia="zh-CN"/>
        </w:rPr>
        <w:t>政府采购货</w:t>
      </w:r>
      <w:r>
        <w:rPr>
          <w:rFonts w:hint="eastAsia" w:eastAsia="仿宋_GB2312"/>
          <w:sz w:val="32"/>
          <w:szCs w:val="32"/>
        </w:rPr>
        <w:t>物类3.8万元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工程类4万元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服务类18.5万元</w:t>
      </w:r>
      <w:r>
        <w:rPr>
          <w:rFonts w:eastAsia="仿宋_GB2312"/>
          <w:sz w:val="32"/>
          <w:szCs w:val="32"/>
        </w:rPr>
        <w:t>。</w:t>
      </w:r>
    </w:p>
    <w:p w14:paraId="70BC5A4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</w:t>
      </w:r>
      <w:r>
        <w:rPr>
          <w:rFonts w:hint="eastAsia" w:eastAsia="仿宋_GB2312"/>
          <w:sz w:val="32"/>
          <w:szCs w:val="32"/>
        </w:rPr>
        <w:t>国有资产占有情况：截止202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年12月31日，本部门共有办公及业务用房967平方米；车辆0辆，其中一般公务用车0辆、一般执法执勤用车0辆、货币化用车0辆；单位价值200万以上大型设备0套。</w:t>
      </w:r>
      <w:r>
        <w:rPr>
          <w:rFonts w:hint="eastAsia" w:eastAsia="仿宋_GB2312"/>
          <w:sz w:val="32"/>
          <w:szCs w:val="32"/>
          <w:lang w:eastAsia="zh-CN"/>
        </w:rPr>
        <w:t>2023</w:t>
      </w:r>
      <w:r>
        <w:rPr>
          <w:rFonts w:hint="eastAsia" w:eastAsia="仿宋_GB2312"/>
          <w:sz w:val="32"/>
          <w:szCs w:val="32"/>
        </w:rPr>
        <w:t>年部门预算安排购置车辆0辆，预算安排购置价值200万以上大型设备0套</w:t>
      </w:r>
      <w:r>
        <w:rPr>
          <w:rFonts w:eastAsia="仿宋_GB2312"/>
          <w:sz w:val="32"/>
          <w:szCs w:val="32"/>
        </w:rPr>
        <w:t>。</w:t>
      </w:r>
    </w:p>
    <w:p w14:paraId="674C947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 xml:space="preserve">年部门整体支出绩效目标的金额为 </w:t>
      </w:r>
      <w:r>
        <w:rPr>
          <w:rFonts w:hint="eastAsia" w:eastAsia="仿宋_GB2312"/>
          <w:sz w:val="32"/>
          <w:szCs w:val="32"/>
          <w:lang w:val="en-US" w:eastAsia="zh-CN"/>
        </w:rPr>
        <w:t>187.57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55.57</w:t>
      </w:r>
      <w:r>
        <w:rPr>
          <w:rFonts w:eastAsia="仿宋_GB2312"/>
          <w:sz w:val="32"/>
          <w:szCs w:val="32"/>
        </w:rPr>
        <w:t xml:space="preserve"> 万元，项目支出</w:t>
      </w:r>
      <w:r>
        <w:rPr>
          <w:rFonts w:hint="eastAsia" w:eastAsia="仿宋_GB2312"/>
          <w:sz w:val="32"/>
          <w:szCs w:val="32"/>
          <w:lang w:val="en-US" w:eastAsia="zh-CN"/>
        </w:rPr>
        <w:t>132</w:t>
      </w:r>
      <w:r>
        <w:rPr>
          <w:rFonts w:eastAsia="仿宋_GB2312"/>
          <w:sz w:val="32"/>
          <w:szCs w:val="32"/>
        </w:rPr>
        <w:t>万元（详见附表）。 </w:t>
      </w:r>
    </w:p>
    <w:p w14:paraId="4DFCE7C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hint="eastAsia" w:eastAsia="仿宋_GB2312"/>
          <w:sz w:val="32"/>
          <w:szCs w:val="32"/>
        </w:rPr>
        <w:t>2023年“三公”经费预算数0</w:t>
      </w:r>
      <w:r>
        <w:rPr>
          <w:rFonts w:hint="eastAsia" w:eastAsia="仿宋_GB2312"/>
          <w:sz w:val="32"/>
          <w:szCs w:val="32"/>
          <w:lang w:val="en-US" w:eastAsia="zh-CN"/>
        </w:rPr>
        <w:t>.15</w:t>
      </w:r>
      <w:r>
        <w:rPr>
          <w:rFonts w:hint="eastAsia" w:eastAsia="仿宋_GB2312"/>
          <w:sz w:val="32"/>
          <w:szCs w:val="32"/>
        </w:rPr>
        <w:t>万元，其中：“因公出国（境）费”0万元、“公务用车购置及运行费”0万元（公务用车购置费0万元、公务用车运行费0万元）、“公务接待费”0</w:t>
      </w:r>
      <w:r>
        <w:rPr>
          <w:rFonts w:hint="eastAsia" w:eastAsia="仿宋_GB2312"/>
          <w:sz w:val="32"/>
          <w:szCs w:val="32"/>
          <w:lang w:val="en-US" w:eastAsia="zh-CN"/>
        </w:rPr>
        <w:t>.15</w:t>
      </w:r>
      <w:r>
        <w:rPr>
          <w:rFonts w:hint="eastAsia" w:eastAsia="仿宋_GB2312"/>
          <w:sz w:val="32"/>
          <w:szCs w:val="32"/>
        </w:rPr>
        <w:t>万元。</w:t>
      </w:r>
    </w:p>
    <w:p w14:paraId="712C286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年“三公”经费预算数比2022年减少</w:t>
      </w:r>
      <w:r>
        <w:rPr>
          <w:rFonts w:hint="eastAsia" w:eastAsia="仿宋_GB2312"/>
          <w:sz w:val="32"/>
          <w:szCs w:val="32"/>
          <w:lang w:val="en-US" w:eastAsia="zh-CN"/>
        </w:rPr>
        <w:t>0.37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主要是因为规范业务接待，减少接待批次和陪同人数，降低接待标准</w:t>
      </w:r>
      <w:r>
        <w:rPr>
          <w:rFonts w:eastAsia="仿宋_GB2312"/>
          <w:sz w:val="32"/>
          <w:szCs w:val="32"/>
        </w:rPr>
        <w:t>。</w:t>
      </w:r>
    </w:p>
    <w:p w14:paraId="3464B3D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4FA32CE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2023</w:t>
      </w:r>
      <w:r>
        <w:rPr>
          <w:rFonts w:hint="eastAsia" w:eastAsia="仿宋_GB2312"/>
          <w:sz w:val="32"/>
          <w:szCs w:val="32"/>
        </w:rPr>
        <w:t>年预算安排会议费0万元。</w:t>
      </w:r>
    </w:p>
    <w:p w14:paraId="4476164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2023</w:t>
      </w:r>
      <w:r>
        <w:rPr>
          <w:rFonts w:hint="eastAsia" w:eastAsia="仿宋_GB2312"/>
          <w:sz w:val="32"/>
          <w:szCs w:val="32"/>
        </w:rPr>
        <w:t>年预算安排培训费0万元。</w:t>
      </w:r>
    </w:p>
    <w:p w14:paraId="16F2003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未计划举办节庆、晚会、论坛、赛事活动。</w:t>
      </w:r>
    </w:p>
    <w:p w14:paraId="374031E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665F63C5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其他事项。</w:t>
      </w:r>
    </w:p>
    <w:p w14:paraId="2E32DD5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本单位</w:t>
      </w:r>
      <w:r>
        <w:rPr>
          <w:rFonts w:hint="eastAsia" w:eastAsia="仿宋_GB2312"/>
          <w:sz w:val="32"/>
          <w:szCs w:val="32"/>
          <w:lang w:eastAsia="zh-CN"/>
        </w:rPr>
        <w:t>2023</w:t>
      </w:r>
      <w:r>
        <w:rPr>
          <w:rFonts w:hint="eastAsia" w:eastAsia="仿宋_GB2312"/>
          <w:sz w:val="32"/>
          <w:szCs w:val="32"/>
        </w:rPr>
        <w:t>年预算未安排对个人和家庭补助、政府性基金预算以及纳入专户管理的非税收入预算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68DA75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color w:val="000000"/>
          <w:kern w:val="0"/>
          <w:sz w:val="32"/>
          <w:szCs w:val="32"/>
        </w:rPr>
        <w:t>本单位无门户网站</w:t>
      </w:r>
      <w:r>
        <w:rPr>
          <w:rFonts w:hint="eastAsia" w:eastAsia="仿宋_GB2312"/>
          <w:color w:val="000000"/>
          <w:kern w:val="0"/>
          <w:sz w:val="32"/>
          <w:szCs w:val="32"/>
        </w:rPr>
        <w:t>，在政府门户网站上统一公开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。</w:t>
      </w:r>
    </w:p>
    <w:p w14:paraId="34A57A5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08856F6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5D078F3B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6CD0ED02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3736B92A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5A217CA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78848471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53F20FB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4527A">
    <w:pPr>
      <w:pStyle w:val="14"/>
      <w:framePr w:wrap="around" w:vAnchor="text" w:hAnchor="margin" w:xAlign="outside" w:y="1"/>
      <w:rPr>
        <w:rStyle w:val="18"/>
        <w:rFonts w:hint="eastAsia" w:ascii="宋体"/>
        <w:sz w:val="28"/>
        <w:szCs w:val="28"/>
      </w:rPr>
    </w:pPr>
    <w:r>
      <w:rPr>
        <w:rStyle w:val="18"/>
        <w:rFonts w:hint="eastAsia" w:ascii="宋体"/>
        <w:color w:val="FFFFFF"/>
        <w:sz w:val="28"/>
        <w:szCs w:val="28"/>
      </w:rPr>
      <w:t>—</w:t>
    </w:r>
    <w:r>
      <w:rPr>
        <w:rStyle w:val="18"/>
        <w:rFonts w:hint="eastAsia" w:ascii="宋体"/>
        <w:sz w:val="28"/>
        <w:szCs w:val="28"/>
      </w:rPr>
      <w:t xml:space="preserve">— </w:t>
    </w:r>
    <w:r>
      <w:rPr>
        <w:rStyle w:val="18"/>
        <w:rFonts w:hint="eastAsia" w:ascii="宋体"/>
        <w:sz w:val="28"/>
        <w:szCs w:val="28"/>
      </w:rPr>
      <w:fldChar w:fldCharType="begin"/>
    </w:r>
    <w:r>
      <w:rPr>
        <w:rStyle w:val="18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8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8"/>
        <w:rFonts w:hint="eastAsia" w:ascii="宋体"/>
        <w:sz w:val="28"/>
        <w:szCs w:val="28"/>
      </w:rPr>
      <w:t xml:space="preserve"> —</w:t>
    </w:r>
    <w:r>
      <w:rPr>
        <w:rStyle w:val="18"/>
        <w:rFonts w:hint="eastAsia" w:ascii="宋体"/>
        <w:color w:val="FFFFFF"/>
        <w:sz w:val="28"/>
        <w:szCs w:val="28"/>
      </w:rPr>
      <w:t>—</w:t>
    </w:r>
  </w:p>
  <w:p w14:paraId="26B7B034">
    <w:pPr>
      <w:pStyle w:val="1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FF9B5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EA856"/>
    <w:multiLevelType w:val="singleLevel"/>
    <w:tmpl w:val="98FEA856"/>
    <w:lvl w:ilvl="0" w:tentative="0">
      <w:start w:val="3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E2138ACD"/>
    <w:multiLevelType w:val="singleLevel"/>
    <w:tmpl w:val="E2138ACD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mZmNGE0MGZmMzMzY2Q4ZTRjOTk1OGJmNDY3Y2M2OTIifQ=="/>
  </w:docVars>
  <w:rsids>
    <w:rsidRoot w:val="00000000"/>
    <w:rsid w:val="127433A1"/>
    <w:rsid w:val="1A236A40"/>
    <w:rsid w:val="1D36262F"/>
    <w:rsid w:val="33C72773"/>
    <w:rsid w:val="39E47899"/>
    <w:rsid w:val="7C6D1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/>
    </w:pPr>
    <w:rPr>
      <w:rFonts w:ascii="Calibri" w:hAnsi="Calibri"/>
      <w:szCs w:val="20"/>
    </w:rPr>
  </w:style>
  <w:style w:type="paragraph" w:styleId="6">
    <w:name w:val="Body Text"/>
    <w:basedOn w:val="1"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7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Date"/>
    <w:basedOn w:val="1"/>
    <w:next w:val="1"/>
    <w:qFormat/>
    <w:uiPriority w:val="0"/>
    <w:pPr>
      <w:ind w:left="2500" w:leftChars="2500"/>
    </w:pPr>
  </w:style>
  <w:style w:type="paragraph" w:styleId="10">
    <w:name w:val="Body Text Indent 2"/>
    <w:basedOn w:val="1"/>
    <w:next w:val="11"/>
    <w:qFormat/>
    <w:uiPriority w:val="0"/>
    <w:pPr>
      <w:adjustRightInd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30"/>
      <w:szCs w:val="30"/>
    </w:rPr>
  </w:style>
  <w:style w:type="paragraph" w:customStyle="1" w:styleId="11">
    <w:name w:val="p0"/>
    <w:next w:val="12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alloon Text"/>
    <w:basedOn w:val="1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8">
    <w:name w:val="page number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</Company>
  <Pages>11</Pages>
  <Words>3773</Words>
  <Characters>4046</Characters>
  <Lines>0</Lines>
  <Paragraphs>124</Paragraphs>
  <TotalTime>0</TotalTime>
  <ScaleCrop>false</ScaleCrop>
  <LinksUpToDate>false</LinksUpToDate>
  <CharactersWithSpaces>4063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Administrator</cp:lastModifiedBy>
  <cp:lastPrinted>2023-02-06T09:18:00Z</cp:lastPrinted>
  <dcterms:modified xsi:type="dcterms:W3CDTF">2024-11-21T03:45:43Z</dcterms:modified>
  <dc:title>此件拟比照国务院办公厅发文由省政府办公厅转发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675E7CDF520042AE90AAC01517750B0A</vt:lpwstr>
  </property>
</Properties>
</file>