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F3F64">
      <w:pPr>
        <w:tabs>
          <w:tab w:val="left" w:pos="7560"/>
        </w:tabs>
        <w:adjustRightInd w:val="0"/>
        <w:snapToGrid w:val="0"/>
        <w:spacing w:line="560" w:lineRule="exact"/>
        <w:jc w:val="center"/>
        <w:rPr>
          <w:rFonts w:eastAsia="方正小标宋简体"/>
          <w:bCs/>
          <w:sz w:val="44"/>
          <w:szCs w:val="44"/>
        </w:rPr>
      </w:pPr>
    </w:p>
    <w:p w14:paraId="709C3E36">
      <w:pPr>
        <w:tabs>
          <w:tab w:val="left" w:pos="7560"/>
        </w:tabs>
        <w:adjustRightInd w:val="0"/>
        <w:snapToGrid w:val="0"/>
        <w:spacing w:line="560" w:lineRule="exact"/>
        <w:jc w:val="center"/>
        <w:rPr>
          <w:rFonts w:eastAsia="方正小标宋简体"/>
          <w:bCs/>
          <w:sz w:val="44"/>
          <w:szCs w:val="44"/>
        </w:rPr>
      </w:pPr>
    </w:p>
    <w:p w14:paraId="10D32A87">
      <w:pPr>
        <w:tabs>
          <w:tab w:val="left" w:pos="7560"/>
        </w:tabs>
        <w:adjustRightInd w:val="0"/>
        <w:snapToGrid w:val="0"/>
        <w:spacing w:line="560" w:lineRule="exact"/>
        <w:jc w:val="center"/>
        <w:rPr>
          <w:rFonts w:eastAsia="方正小标宋简体"/>
          <w:bCs/>
          <w:sz w:val="44"/>
          <w:szCs w:val="44"/>
        </w:rPr>
      </w:pPr>
    </w:p>
    <w:p w14:paraId="2E5A1E3F">
      <w:pPr>
        <w:tabs>
          <w:tab w:val="left" w:pos="7560"/>
        </w:tabs>
        <w:adjustRightInd w:val="0"/>
        <w:snapToGrid w:val="0"/>
        <w:spacing w:line="560" w:lineRule="exact"/>
        <w:jc w:val="center"/>
        <w:rPr>
          <w:rFonts w:eastAsia="方正小标宋简体"/>
          <w:bCs/>
          <w:sz w:val="44"/>
          <w:szCs w:val="44"/>
        </w:rPr>
      </w:pPr>
    </w:p>
    <w:p w14:paraId="1B638336">
      <w:pPr>
        <w:tabs>
          <w:tab w:val="left" w:pos="7560"/>
        </w:tabs>
        <w:adjustRightInd w:val="0"/>
        <w:snapToGrid w:val="0"/>
        <w:jc w:val="center"/>
        <w:rPr>
          <w:rFonts w:hint="eastAsia" w:eastAsia="方正小标宋简体"/>
          <w:bCs/>
          <w:sz w:val="84"/>
          <w:szCs w:val="84"/>
        </w:rPr>
      </w:pPr>
      <w:r>
        <w:rPr>
          <w:rFonts w:eastAsia="方正小标宋简体"/>
          <w:bCs/>
          <w:sz w:val="84"/>
          <w:szCs w:val="84"/>
        </w:rPr>
        <w:t>中国国民党革命委员会醴陵市委员会</w:t>
      </w:r>
    </w:p>
    <w:p w14:paraId="1DED40D2">
      <w:pPr>
        <w:tabs>
          <w:tab w:val="left" w:pos="7560"/>
        </w:tabs>
        <w:adjustRightInd w:val="0"/>
        <w:snapToGrid w:val="0"/>
        <w:jc w:val="center"/>
        <w:rPr>
          <w:rFonts w:eastAsia="方正小标宋简体"/>
          <w:bCs/>
          <w:sz w:val="84"/>
          <w:szCs w:val="84"/>
        </w:rPr>
      </w:pPr>
      <w:r>
        <w:rPr>
          <w:rFonts w:eastAsia="方正小标宋简体"/>
          <w:bCs/>
          <w:sz w:val="84"/>
          <w:szCs w:val="84"/>
        </w:rPr>
        <w:t>2023年部门预算</w:t>
      </w:r>
    </w:p>
    <w:p w14:paraId="55A6B2E5">
      <w:pPr>
        <w:tabs>
          <w:tab w:val="left" w:pos="7560"/>
        </w:tabs>
        <w:adjustRightInd w:val="0"/>
        <w:snapToGrid w:val="0"/>
        <w:spacing w:line="560" w:lineRule="exact"/>
        <w:jc w:val="left"/>
        <w:rPr>
          <w:rFonts w:hint="eastAsia" w:eastAsia="方正小标宋简体"/>
          <w:bCs/>
          <w:sz w:val="44"/>
          <w:szCs w:val="44"/>
        </w:rPr>
      </w:pPr>
    </w:p>
    <w:p w14:paraId="23FFBDDA">
      <w:pPr>
        <w:tabs>
          <w:tab w:val="left" w:pos="7560"/>
        </w:tabs>
        <w:adjustRightInd w:val="0"/>
        <w:snapToGrid w:val="0"/>
        <w:spacing w:line="560" w:lineRule="exact"/>
        <w:jc w:val="left"/>
        <w:rPr>
          <w:rFonts w:hint="eastAsia" w:eastAsia="方正小标宋简体"/>
          <w:bCs/>
          <w:sz w:val="44"/>
          <w:szCs w:val="44"/>
        </w:rPr>
      </w:pPr>
    </w:p>
    <w:p w14:paraId="115AF513">
      <w:pPr>
        <w:tabs>
          <w:tab w:val="left" w:pos="7560"/>
        </w:tabs>
        <w:adjustRightInd w:val="0"/>
        <w:snapToGrid w:val="0"/>
        <w:spacing w:line="560" w:lineRule="exact"/>
        <w:jc w:val="left"/>
        <w:rPr>
          <w:rFonts w:hint="eastAsia" w:eastAsia="方正小标宋简体"/>
          <w:bCs/>
          <w:sz w:val="44"/>
          <w:szCs w:val="44"/>
        </w:rPr>
      </w:pPr>
    </w:p>
    <w:p w14:paraId="4F3A68D6">
      <w:pPr>
        <w:tabs>
          <w:tab w:val="left" w:pos="7560"/>
        </w:tabs>
        <w:adjustRightInd w:val="0"/>
        <w:snapToGrid w:val="0"/>
        <w:spacing w:line="560" w:lineRule="exact"/>
        <w:jc w:val="left"/>
        <w:rPr>
          <w:rFonts w:hint="eastAsia" w:eastAsia="方正小标宋简体"/>
          <w:bCs/>
          <w:sz w:val="44"/>
          <w:szCs w:val="44"/>
        </w:rPr>
      </w:pPr>
    </w:p>
    <w:p w14:paraId="312F8394">
      <w:pPr>
        <w:tabs>
          <w:tab w:val="left" w:pos="7560"/>
        </w:tabs>
        <w:adjustRightInd w:val="0"/>
        <w:snapToGrid w:val="0"/>
        <w:spacing w:line="560" w:lineRule="exact"/>
        <w:jc w:val="left"/>
        <w:rPr>
          <w:rFonts w:hint="eastAsia" w:eastAsia="方正小标宋简体"/>
          <w:bCs/>
          <w:sz w:val="44"/>
          <w:szCs w:val="44"/>
        </w:rPr>
      </w:pPr>
    </w:p>
    <w:p w14:paraId="43FFDD62">
      <w:pPr>
        <w:tabs>
          <w:tab w:val="left" w:pos="7560"/>
        </w:tabs>
        <w:adjustRightInd w:val="0"/>
        <w:snapToGrid w:val="0"/>
        <w:spacing w:line="560" w:lineRule="exact"/>
        <w:jc w:val="left"/>
        <w:rPr>
          <w:rFonts w:eastAsia="仿宋_GB2312"/>
          <w:bCs/>
          <w:sz w:val="32"/>
          <w:szCs w:val="32"/>
        </w:rPr>
      </w:pPr>
    </w:p>
    <w:p w14:paraId="6886C9AF">
      <w:pPr>
        <w:tabs>
          <w:tab w:val="left" w:pos="7560"/>
        </w:tabs>
        <w:adjustRightInd w:val="0"/>
        <w:snapToGrid w:val="0"/>
        <w:spacing w:line="560" w:lineRule="exact"/>
        <w:jc w:val="left"/>
        <w:rPr>
          <w:rFonts w:eastAsia="仿宋_GB2312"/>
          <w:bCs/>
          <w:sz w:val="32"/>
          <w:szCs w:val="32"/>
        </w:rPr>
      </w:pPr>
    </w:p>
    <w:p w14:paraId="47B37FA8">
      <w:pPr>
        <w:tabs>
          <w:tab w:val="left" w:pos="7560"/>
        </w:tabs>
        <w:adjustRightInd w:val="0"/>
        <w:snapToGrid w:val="0"/>
        <w:spacing w:line="560" w:lineRule="exact"/>
        <w:jc w:val="left"/>
        <w:rPr>
          <w:rFonts w:eastAsia="仿宋_GB2312"/>
          <w:bCs/>
          <w:sz w:val="32"/>
          <w:szCs w:val="32"/>
        </w:rPr>
      </w:pPr>
    </w:p>
    <w:p w14:paraId="49D61518">
      <w:pPr>
        <w:tabs>
          <w:tab w:val="left" w:pos="7560"/>
        </w:tabs>
        <w:adjustRightInd w:val="0"/>
        <w:snapToGrid w:val="0"/>
        <w:spacing w:line="560" w:lineRule="exact"/>
        <w:jc w:val="left"/>
        <w:rPr>
          <w:rFonts w:hint="eastAsia" w:eastAsia="仿宋_GB2312"/>
          <w:bCs/>
          <w:sz w:val="32"/>
          <w:szCs w:val="32"/>
        </w:rPr>
      </w:pPr>
    </w:p>
    <w:p w14:paraId="211D362B">
      <w:pPr>
        <w:tabs>
          <w:tab w:val="left" w:pos="7560"/>
        </w:tabs>
        <w:adjustRightInd w:val="0"/>
        <w:snapToGrid w:val="0"/>
        <w:spacing w:line="560" w:lineRule="exact"/>
        <w:jc w:val="left"/>
        <w:rPr>
          <w:rFonts w:eastAsia="仿宋_GB2312"/>
          <w:bCs/>
          <w:sz w:val="32"/>
          <w:szCs w:val="32"/>
        </w:rPr>
      </w:pPr>
    </w:p>
    <w:p w14:paraId="48C21C12">
      <w:pPr>
        <w:tabs>
          <w:tab w:val="left" w:pos="7560"/>
        </w:tabs>
        <w:adjustRightInd w:val="0"/>
        <w:snapToGrid w:val="0"/>
        <w:spacing w:line="560" w:lineRule="exact"/>
        <w:jc w:val="left"/>
        <w:rPr>
          <w:rFonts w:eastAsia="仿宋_GB2312"/>
          <w:bCs/>
          <w:sz w:val="32"/>
          <w:szCs w:val="32"/>
        </w:rPr>
      </w:pPr>
    </w:p>
    <w:p w14:paraId="49B3853D">
      <w:pPr>
        <w:tabs>
          <w:tab w:val="left" w:pos="7560"/>
        </w:tabs>
        <w:adjustRightInd w:val="0"/>
        <w:snapToGrid w:val="0"/>
        <w:spacing w:line="560" w:lineRule="exact"/>
        <w:jc w:val="left"/>
        <w:rPr>
          <w:rFonts w:eastAsia="仿宋_GB2312"/>
          <w:bCs/>
          <w:sz w:val="32"/>
          <w:szCs w:val="32"/>
        </w:rPr>
      </w:pPr>
    </w:p>
    <w:p w14:paraId="7876588B">
      <w:pPr>
        <w:tabs>
          <w:tab w:val="left" w:pos="7560"/>
        </w:tabs>
        <w:adjustRightInd w:val="0"/>
        <w:snapToGrid w:val="0"/>
        <w:spacing w:line="560" w:lineRule="exact"/>
        <w:jc w:val="left"/>
        <w:rPr>
          <w:rFonts w:eastAsia="仿宋_GB2312"/>
          <w:bCs/>
          <w:sz w:val="32"/>
          <w:szCs w:val="32"/>
        </w:rPr>
      </w:pPr>
    </w:p>
    <w:p w14:paraId="2B67D7A4">
      <w:pPr>
        <w:tabs>
          <w:tab w:val="left" w:pos="7560"/>
        </w:tabs>
        <w:adjustRightInd w:val="0"/>
        <w:snapToGrid w:val="0"/>
        <w:spacing w:line="560" w:lineRule="exact"/>
        <w:jc w:val="center"/>
        <w:rPr>
          <w:rFonts w:eastAsia="黑体"/>
          <w:bCs/>
          <w:sz w:val="32"/>
          <w:szCs w:val="32"/>
        </w:rPr>
      </w:pPr>
      <w:r>
        <w:rPr>
          <w:rFonts w:eastAsia="黑体"/>
          <w:bCs/>
          <w:sz w:val="32"/>
          <w:szCs w:val="32"/>
        </w:rPr>
        <w:t>目  录</w:t>
      </w:r>
    </w:p>
    <w:p w14:paraId="1E253447">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第一部分 </w:t>
      </w:r>
      <w:r>
        <w:rPr>
          <w:rFonts w:hint="eastAsia" w:ascii="Times New Roman" w:hAnsi="Times New Roman" w:eastAsia="仿宋_GB2312" w:cs="Times New Roman"/>
          <w:sz w:val="32"/>
          <w:szCs w:val="32"/>
          <w:lang w:val="en-US" w:eastAsia="zh-CN"/>
        </w:rPr>
        <w:t>2023年</w:t>
      </w:r>
      <w:r>
        <w:rPr>
          <w:rFonts w:ascii="Times New Roman" w:hAnsi="Times New Roman" w:eastAsia="仿宋_GB2312" w:cs="Times New Roman"/>
          <w:sz w:val="32"/>
          <w:szCs w:val="32"/>
        </w:rPr>
        <w:t>部门预算说明</w:t>
      </w:r>
    </w:p>
    <w:p w14:paraId="65F8264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一、部门职能职责</w:t>
      </w:r>
    </w:p>
    <w:p w14:paraId="610727DD">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二、机构设置</w:t>
      </w:r>
    </w:p>
    <w:p w14:paraId="7596EB7E">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三、部门预算单位构成</w:t>
      </w:r>
    </w:p>
    <w:p w14:paraId="26BBCC1B">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四、部门收支总体情况</w:t>
      </w:r>
    </w:p>
    <w:p w14:paraId="41303D9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（一）收入预算</w:t>
      </w:r>
    </w:p>
    <w:p w14:paraId="0B632F93">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（二）支出预算</w:t>
      </w:r>
    </w:p>
    <w:p w14:paraId="0178D770">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（三）预算收支增减变化情况说明</w:t>
      </w:r>
    </w:p>
    <w:p w14:paraId="48FAF6B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五、一般公共预算拨款支出预算</w:t>
      </w:r>
    </w:p>
    <w:p w14:paraId="63A5C47C">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（一）基本支出</w:t>
      </w:r>
    </w:p>
    <w:p w14:paraId="1E9D95FB">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（二）项目支出</w:t>
      </w:r>
    </w:p>
    <w:p w14:paraId="0BC1B0E8">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六、政府性基金预算支出</w:t>
      </w:r>
    </w:p>
    <w:p w14:paraId="14EF7473">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七、其他重要事项情况说明</w:t>
      </w:r>
    </w:p>
    <w:p w14:paraId="1E6344E6">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（一）机关运行经费</w:t>
      </w:r>
    </w:p>
    <w:p w14:paraId="075AA96E">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（二）政府采购预算</w:t>
      </w:r>
    </w:p>
    <w:p w14:paraId="2D5A0B79">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（三）国有资产占有情况</w:t>
      </w:r>
    </w:p>
    <w:p w14:paraId="6A083731">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（四）重点项目预算的绩效目标等情况</w:t>
      </w:r>
    </w:p>
    <w:p w14:paraId="4CD757EF">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（五）一般公共预算“三公”经费预算</w:t>
      </w:r>
    </w:p>
    <w:p w14:paraId="7E2250BC">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（六）会议费、培训费</w:t>
      </w:r>
    </w:p>
    <w:p w14:paraId="48EEC3DC">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（七）其他事项</w:t>
      </w:r>
    </w:p>
    <w:p w14:paraId="15BBA895">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八、名词解释</w:t>
      </w:r>
    </w:p>
    <w:p w14:paraId="77BFFF21">
      <w:pPr>
        <w:tabs>
          <w:tab w:val="left" w:pos="7560"/>
        </w:tabs>
        <w:adjustRightInd w:val="0"/>
        <w:snapToGrid w:val="0"/>
        <w:spacing w:line="560" w:lineRule="exact"/>
        <w:ind w:firstLine="640" w:firstLineChars="200"/>
        <w:rPr>
          <w:rFonts w:eastAsia="仿宋_GB2312"/>
          <w:sz w:val="32"/>
          <w:szCs w:val="32"/>
        </w:rPr>
      </w:pPr>
    </w:p>
    <w:p w14:paraId="04B6A419">
      <w:pPr>
        <w:pStyle w:val="2"/>
      </w:pPr>
    </w:p>
    <w:p w14:paraId="6B2CB20E">
      <w:pPr>
        <w:tabs>
          <w:tab w:val="left" w:pos="7560"/>
        </w:tabs>
        <w:adjustRightInd w:val="0"/>
        <w:snapToGrid w:val="0"/>
        <w:spacing w:line="560" w:lineRule="exact"/>
        <w:ind w:firstLine="640" w:firstLineChars="200"/>
        <w:jc w:val="left"/>
        <w:rPr>
          <w:rFonts w:ascii="Times New Roman" w:hAnsi="仿宋_GB2312" w:eastAsia="仿宋_GB2312" w:cs="Times New Roman"/>
          <w:sz w:val="32"/>
          <w:szCs w:val="32"/>
        </w:rPr>
      </w:pPr>
      <w:r>
        <w:rPr>
          <w:rFonts w:ascii="Times New Roman" w:hAnsi="仿宋_GB2312" w:eastAsia="仿宋_GB2312" w:cs="Times New Roman"/>
          <w:sz w:val="32"/>
          <w:szCs w:val="32"/>
        </w:rPr>
        <w:t>第二部分 部门预算公开表格</w:t>
      </w:r>
    </w:p>
    <w:p w14:paraId="478A616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w:t>
      </w:r>
      <w:r>
        <w:rPr>
          <w:rFonts w:hint="eastAsia" w:hAnsi="仿宋_GB2312" w:eastAsia="仿宋_GB2312"/>
          <w:sz w:val="32"/>
          <w:szCs w:val="32"/>
        </w:rPr>
        <w:t>部门收支总体情况表</w:t>
      </w:r>
    </w:p>
    <w:p w14:paraId="4859247C">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w:t>
      </w:r>
      <w:r>
        <w:rPr>
          <w:rFonts w:hint="eastAsia" w:hAnsi="仿宋_GB2312" w:eastAsia="仿宋_GB2312"/>
          <w:sz w:val="32"/>
          <w:szCs w:val="32"/>
        </w:rPr>
        <w:t>部门收入总体情况表</w:t>
      </w:r>
    </w:p>
    <w:p w14:paraId="64E33B26">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w:t>
      </w:r>
      <w:r>
        <w:rPr>
          <w:rFonts w:hint="eastAsia" w:hAnsi="仿宋_GB2312" w:eastAsia="仿宋_GB2312"/>
          <w:sz w:val="32"/>
          <w:szCs w:val="32"/>
        </w:rPr>
        <w:t>部门支出总体情况表</w:t>
      </w:r>
    </w:p>
    <w:p w14:paraId="4E9A5C29">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528631BB">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（五）支出分类</w:t>
      </w:r>
      <w:r>
        <w:rPr>
          <w:rFonts w:eastAsia="仿宋_GB2312"/>
          <w:sz w:val="32"/>
          <w:szCs w:val="32"/>
        </w:rPr>
        <w:t>(</w:t>
      </w:r>
      <w:r>
        <w:rPr>
          <w:rFonts w:hAnsi="仿宋_GB2312" w:eastAsia="仿宋_GB2312"/>
          <w:sz w:val="32"/>
          <w:szCs w:val="32"/>
        </w:rPr>
        <w:t>部门预算</w:t>
      </w:r>
      <w:r>
        <w:rPr>
          <w:rFonts w:eastAsia="仿宋_GB2312"/>
          <w:sz w:val="32"/>
          <w:szCs w:val="32"/>
        </w:rPr>
        <w:t>)</w:t>
      </w:r>
    </w:p>
    <w:p w14:paraId="0A37534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w:t>
      </w:r>
      <w:r>
        <w:rPr>
          <w:rFonts w:hint="eastAsia" w:hAnsi="仿宋_GB2312" w:eastAsia="仿宋_GB2312"/>
          <w:sz w:val="32"/>
          <w:szCs w:val="32"/>
        </w:rPr>
        <w:t>财政拨款收支总体情况表</w:t>
      </w:r>
    </w:p>
    <w:p w14:paraId="592BC3C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w:t>
      </w:r>
      <w:r>
        <w:rPr>
          <w:rFonts w:hint="eastAsia" w:hAnsi="仿宋_GB2312" w:eastAsia="仿宋_GB2312"/>
          <w:sz w:val="32"/>
          <w:szCs w:val="32"/>
        </w:rPr>
        <w:t>一般公共预算支出情况表</w:t>
      </w:r>
    </w:p>
    <w:p w14:paraId="4533BB13">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（八）</w:t>
      </w:r>
      <w:r>
        <w:rPr>
          <w:rFonts w:hint="eastAsia" w:hAnsi="仿宋_GB2312" w:eastAsia="仿宋_GB2312"/>
          <w:sz w:val="32"/>
          <w:szCs w:val="32"/>
        </w:rPr>
        <w:t>一般公共预算基本支出情况表</w:t>
      </w:r>
    </w:p>
    <w:p w14:paraId="2352E3DA">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lang w:eastAsia="zh-CN"/>
        </w:rPr>
        <w:t>（</w:t>
      </w:r>
      <w:r>
        <w:rPr>
          <w:rFonts w:hint="eastAsia" w:hAnsi="仿宋_GB2312" w:eastAsia="仿宋_GB2312"/>
          <w:sz w:val="32"/>
          <w:szCs w:val="32"/>
          <w:lang w:val="en-US" w:eastAsia="zh-CN"/>
        </w:rPr>
        <w:t>九</w:t>
      </w:r>
      <w:r>
        <w:rPr>
          <w:rFonts w:hint="eastAsia" w:hAnsi="仿宋_GB2312" w:eastAsia="仿宋_GB2312"/>
          <w:sz w:val="32"/>
          <w:szCs w:val="32"/>
          <w:lang w:eastAsia="zh-CN"/>
        </w:rPr>
        <w:t>）</w:t>
      </w:r>
      <w:r>
        <w:rPr>
          <w:rFonts w:hAnsi="仿宋_GB2312" w:eastAsia="仿宋_GB2312"/>
          <w:sz w:val="32"/>
          <w:szCs w:val="32"/>
        </w:rPr>
        <w:t>工资福利（政府预算）</w:t>
      </w:r>
    </w:p>
    <w:p w14:paraId="5F0D30F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（十）工资福利</w:t>
      </w:r>
    </w:p>
    <w:p w14:paraId="51FDC59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22C0B0F9">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（十二）个人家庭</w:t>
      </w:r>
    </w:p>
    <w:p w14:paraId="0524EBC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0B980B5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（十四）商品服务</w:t>
      </w:r>
    </w:p>
    <w:p w14:paraId="598EBA0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w:t>
      </w:r>
      <w:r>
        <w:rPr>
          <w:rFonts w:hint="eastAsia" w:hAnsi="仿宋_GB2312" w:eastAsia="仿宋_GB2312"/>
          <w:sz w:val="32"/>
          <w:szCs w:val="32"/>
        </w:rPr>
        <w:t>一般公共预算“三公”经费支出情况表</w:t>
      </w:r>
    </w:p>
    <w:p w14:paraId="0E1C4ED9">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w:t>
      </w:r>
      <w:r>
        <w:rPr>
          <w:rFonts w:hint="eastAsia" w:hAnsi="仿宋_GB2312" w:eastAsia="仿宋_GB2312"/>
          <w:sz w:val="32"/>
          <w:szCs w:val="32"/>
        </w:rPr>
        <w:t>政府性基金预算支出情况表</w:t>
      </w:r>
    </w:p>
    <w:p w14:paraId="51E8073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（十七）政府性基金</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0B63F66B">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（十八）政府性基金</w:t>
      </w:r>
      <w:r>
        <w:rPr>
          <w:rFonts w:eastAsia="仿宋_GB2312"/>
          <w:sz w:val="32"/>
          <w:szCs w:val="32"/>
        </w:rPr>
        <w:t>(</w:t>
      </w:r>
      <w:r>
        <w:rPr>
          <w:rFonts w:hAnsi="仿宋_GB2312" w:eastAsia="仿宋_GB2312"/>
          <w:sz w:val="32"/>
          <w:szCs w:val="32"/>
        </w:rPr>
        <w:t>部门预算</w:t>
      </w:r>
      <w:r>
        <w:rPr>
          <w:rFonts w:eastAsia="仿宋_GB2312"/>
          <w:sz w:val="32"/>
          <w:szCs w:val="32"/>
        </w:rPr>
        <w:t>)</w:t>
      </w:r>
    </w:p>
    <w:p w14:paraId="7A2F62A0">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（十九）国有资本经营预算</w:t>
      </w:r>
    </w:p>
    <w:p w14:paraId="794FAA6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（二十）财政专户管理资金</w:t>
      </w:r>
    </w:p>
    <w:p w14:paraId="4AAD4E2F">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（二十一）专项清单</w:t>
      </w:r>
    </w:p>
    <w:p w14:paraId="76B29A5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（二十二）项目支出绩效目标表</w:t>
      </w:r>
    </w:p>
    <w:p w14:paraId="48AD9E20">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w:t>
      </w:r>
      <w:r>
        <w:rPr>
          <w:rFonts w:hint="eastAsia" w:hAnsi="仿宋_GB2312" w:eastAsia="仿宋_GB2312"/>
          <w:sz w:val="32"/>
          <w:szCs w:val="32"/>
          <w:lang w:val="en-US" w:eastAsia="zh-CN"/>
        </w:rPr>
        <w:t>三</w:t>
      </w:r>
      <w:r>
        <w:rPr>
          <w:rFonts w:hAnsi="仿宋_GB2312" w:eastAsia="仿宋_GB2312"/>
          <w:sz w:val="32"/>
          <w:szCs w:val="32"/>
        </w:rPr>
        <w:t>）整体支出绩效目标表</w:t>
      </w:r>
      <w:r>
        <w:rPr>
          <w:rFonts w:eastAsia="仿宋_GB2312"/>
          <w:sz w:val="32"/>
          <w:szCs w:val="32"/>
        </w:rPr>
        <w:t xml:space="preserve"> </w:t>
      </w:r>
    </w:p>
    <w:p w14:paraId="494028E1">
      <w:pPr>
        <w:tabs>
          <w:tab w:val="left" w:pos="7560"/>
        </w:tabs>
        <w:adjustRightInd w:val="0"/>
        <w:snapToGrid w:val="0"/>
        <w:spacing w:line="560" w:lineRule="exact"/>
        <w:rPr>
          <w:rFonts w:hint="eastAsia" w:hAnsi="仿宋_GB2312" w:eastAsia="仿宋_GB2312"/>
          <w:sz w:val="32"/>
          <w:szCs w:val="32"/>
          <w:lang w:val="en-US" w:eastAsia="zh-CN"/>
        </w:rPr>
      </w:pPr>
      <w:r>
        <w:rPr>
          <w:rFonts w:hint="eastAsia" w:ascii="仿宋_GB2312" w:hAnsi="Calibri" w:eastAsia="仿宋_GB2312" w:cs="Times New Roman"/>
          <w:kern w:val="2"/>
          <w:sz w:val="32"/>
          <w:szCs w:val="32"/>
          <w:lang w:val="en-US" w:eastAsia="zh-CN" w:bidi="ar-SA"/>
        </w:rPr>
        <w:t>（注：本套报</w:t>
      </w:r>
      <w:r>
        <w:rPr>
          <w:rFonts w:hint="eastAsia" w:hAnsi="仿宋_GB2312" w:eastAsia="仿宋_GB2312"/>
          <w:sz w:val="32"/>
          <w:szCs w:val="32"/>
          <w:lang w:val="en-US" w:eastAsia="zh-CN"/>
        </w:rPr>
        <w:t>表金额单位转换时可能存在尾数误差）</w:t>
      </w:r>
    </w:p>
    <w:p w14:paraId="70D5AD25">
      <w:pPr>
        <w:tabs>
          <w:tab w:val="left" w:pos="7560"/>
        </w:tabs>
        <w:adjustRightInd w:val="0"/>
        <w:snapToGrid w:val="0"/>
        <w:spacing w:line="560" w:lineRule="exact"/>
        <w:ind w:firstLine="640" w:firstLineChars="200"/>
        <w:rPr>
          <w:rFonts w:eastAsia="黑体"/>
          <w:sz w:val="32"/>
          <w:szCs w:val="32"/>
        </w:rPr>
      </w:pPr>
    </w:p>
    <w:p w14:paraId="0B4B79FF">
      <w:pPr>
        <w:tabs>
          <w:tab w:val="left" w:pos="7560"/>
        </w:tabs>
        <w:adjustRightInd w:val="0"/>
        <w:snapToGrid w:val="0"/>
        <w:spacing w:line="560" w:lineRule="exact"/>
        <w:ind w:firstLine="640" w:firstLineChars="200"/>
        <w:rPr>
          <w:rFonts w:eastAsia="黑体"/>
          <w:sz w:val="32"/>
          <w:szCs w:val="32"/>
        </w:rPr>
      </w:pPr>
    </w:p>
    <w:p w14:paraId="3E48E2C8">
      <w:pPr>
        <w:tabs>
          <w:tab w:val="left" w:pos="7560"/>
        </w:tabs>
        <w:adjustRightInd w:val="0"/>
        <w:snapToGrid w:val="0"/>
        <w:spacing w:line="560" w:lineRule="exact"/>
        <w:ind w:firstLine="640" w:firstLineChars="200"/>
        <w:rPr>
          <w:rFonts w:eastAsia="黑体"/>
          <w:sz w:val="32"/>
          <w:szCs w:val="32"/>
        </w:rPr>
      </w:pPr>
    </w:p>
    <w:p w14:paraId="68385E46">
      <w:pPr>
        <w:tabs>
          <w:tab w:val="left" w:pos="7560"/>
        </w:tabs>
        <w:adjustRightInd w:val="0"/>
        <w:snapToGrid w:val="0"/>
        <w:spacing w:line="560" w:lineRule="exact"/>
        <w:ind w:firstLine="640" w:firstLineChars="200"/>
        <w:rPr>
          <w:rFonts w:eastAsia="黑体"/>
          <w:sz w:val="32"/>
          <w:szCs w:val="32"/>
        </w:rPr>
      </w:pPr>
    </w:p>
    <w:p w14:paraId="11F689D7">
      <w:pPr>
        <w:tabs>
          <w:tab w:val="left" w:pos="7560"/>
        </w:tabs>
        <w:adjustRightInd w:val="0"/>
        <w:snapToGrid w:val="0"/>
        <w:spacing w:line="560" w:lineRule="exact"/>
        <w:ind w:firstLine="640" w:firstLineChars="200"/>
        <w:rPr>
          <w:rFonts w:eastAsia="黑体"/>
          <w:sz w:val="32"/>
          <w:szCs w:val="32"/>
        </w:rPr>
      </w:pPr>
    </w:p>
    <w:p w14:paraId="3BD2C734">
      <w:pPr>
        <w:tabs>
          <w:tab w:val="left" w:pos="7560"/>
        </w:tabs>
        <w:adjustRightInd w:val="0"/>
        <w:snapToGrid w:val="0"/>
        <w:spacing w:line="560" w:lineRule="exact"/>
        <w:ind w:firstLine="640" w:firstLineChars="200"/>
        <w:rPr>
          <w:rFonts w:eastAsia="黑体"/>
          <w:sz w:val="32"/>
          <w:szCs w:val="32"/>
        </w:rPr>
      </w:pPr>
    </w:p>
    <w:p w14:paraId="38A93B18">
      <w:pPr>
        <w:tabs>
          <w:tab w:val="left" w:pos="7560"/>
        </w:tabs>
        <w:adjustRightInd w:val="0"/>
        <w:snapToGrid w:val="0"/>
        <w:spacing w:line="560" w:lineRule="exact"/>
        <w:ind w:firstLine="640" w:firstLineChars="200"/>
        <w:rPr>
          <w:rFonts w:eastAsia="黑体"/>
          <w:sz w:val="32"/>
          <w:szCs w:val="32"/>
        </w:rPr>
      </w:pPr>
    </w:p>
    <w:p w14:paraId="38D8D2B3">
      <w:pPr>
        <w:tabs>
          <w:tab w:val="left" w:pos="7560"/>
        </w:tabs>
        <w:adjustRightInd w:val="0"/>
        <w:snapToGrid w:val="0"/>
        <w:spacing w:line="560" w:lineRule="exact"/>
        <w:ind w:firstLine="640" w:firstLineChars="200"/>
        <w:rPr>
          <w:rFonts w:eastAsia="黑体"/>
          <w:sz w:val="32"/>
          <w:szCs w:val="32"/>
        </w:rPr>
      </w:pPr>
    </w:p>
    <w:p w14:paraId="5B98FA74">
      <w:pPr>
        <w:tabs>
          <w:tab w:val="left" w:pos="7560"/>
        </w:tabs>
        <w:adjustRightInd w:val="0"/>
        <w:snapToGrid w:val="0"/>
        <w:spacing w:line="560" w:lineRule="exact"/>
        <w:ind w:firstLine="640" w:firstLineChars="200"/>
        <w:rPr>
          <w:rFonts w:eastAsia="黑体"/>
          <w:sz w:val="32"/>
          <w:szCs w:val="32"/>
        </w:rPr>
      </w:pPr>
    </w:p>
    <w:p w14:paraId="4E1EBD3C">
      <w:pPr>
        <w:tabs>
          <w:tab w:val="left" w:pos="7560"/>
        </w:tabs>
        <w:adjustRightInd w:val="0"/>
        <w:snapToGrid w:val="0"/>
        <w:spacing w:line="560" w:lineRule="exact"/>
        <w:ind w:firstLine="640" w:firstLineChars="200"/>
        <w:rPr>
          <w:rFonts w:eastAsia="黑体"/>
          <w:sz w:val="32"/>
          <w:szCs w:val="32"/>
        </w:rPr>
      </w:pPr>
    </w:p>
    <w:p w14:paraId="7A992DC8">
      <w:pPr>
        <w:tabs>
          <w:tab w:val="left" w:pos="7560"/>
        </w:tabs>
        <w:adjustRightInd w:val="0"/>
        <w:snapToGrid w:val="0"/>
        <w:spacing w:line="560" w:lineRule="exact"/>
        <w:ind w:firstLine="640" w:firstLineChars="200"/>
        <w:rPr>
          <w:rFonts w:eastAsia="黑体"/>
          <w:sz w:val="32"/>
          <w:szCs w:val="32"/>
        </w:rPr>
      </w:pPr>
    </w:p>
    <w:p w14:paraId="4954F8D4">
      <w:pPr>
        <w:tabs>
          <w:tab w:val="left" w:pos="7560"/>
        </w:tabs>
        <w:adjustRightInd w:val="0"/>
        <w:snapToGrid w:val="0"/>
        <w:spacing w:line="560" w:lineRule="exact"/>
        <w:ind w:firstLine="640" w:firstLineChars="200"/>
        <w:rPr>
          <w:rFonts w:eastAsia="黑体"/>
          <w:sz w:val="32"/>
          <w:szCs w:val="32"/>
        </w:rPr>
      </w:pPr>
    </w:p>
    <w:p w14:paraId="1186DB09">
      <w:pPr>
        <w:tabs>
          <w:tab w:val="left" w:pos="7560"/>
        </w:tabs>
        <w:adjustRightInd w:val="0"/>
        <w:snapToGrid w:val="0"/>
        <w:spacing w:line="560" w:lineRule="exact"/>
        <w:ind w:firstLine="640" w:firstLineChars="200"/>
        <w:rPr>
          <w:rFonts w:eastAsia="黑体"/>
          <w:sz w:val="32"/>
          <w:szCs w:val="32"/>
        </w:rPr>
      </w:pPr>
    </w:p>
    <w:p w14:paraId="3AC702DB">
      <w:pPr>
        <w:tabs>
          <w:tab w:val="left" w:pos="7560"/>
        </w:tabs>
        <w:adjustRightInd w:val="0"/>
        <w:snapToGrid w:val="0"/>
        <w:spacing w:line="560" w:lineRule="exact"/>
        <w:ind w:firstLine="640" w:firstLineChars="200"/>
        <w:rPr>
          <w:rFonts w:eastAsia="黑体"/>
          <w:sz w:val="32"/>
          <w:szCs w:val="32"/>
        </w:rPr>
      </w:pPr>
    </w:p>
    <w:p w14:paraId="2403B653">
      <w:pPr>
        <w:tabs>
          <w:tab w:val="left" w:pos="7560"/>
        </w:tabs>
        <w:adjustRightInd w:val="0"/>
        <w:snapToGrid w:val="0"/>
        <w:spacing w:line="560" w:lineRule="exact"/>
        <w:ind w:firstLine="640" w:firstLineChars="200"/>
        <w:rPr>
          <w:rFonts w:eastAsia="黑体"/>
          <w:sz w:val="32"/>
          <w:szCs w:val="32"/>
        </w:rPr>
      </w:pPr>
    </w:p>
    <w:p w14:paraId="5C3A5207">
      <w:pPr>
        <w:tabs>
          <w:tab w:val="left" w:pos="7560"/>
        </w:tabs>
        <w:adjustRightInd w:val="0"/>
        <w:snapToGrid w:val="0"/>
        <w:spacing w:line="560" w:lineRule="exact"/>
        <w:ind w:firstLine="640" w:firstLineChars="200"/>
        <w:rPr>
          <w:rFonts w:eastAsia="黑体"/>
          <w:sz w:val="32"/>
          <w:szCs w:val="32"/>
        </w:rPr>
      </w:pPr>
    </w:p>
    <w:p w14:paraId="28D47F25">
      <w:pPr>
        <w:tabs>
          <w:tab w:val="left" w:pos="7560"/>
        </w:tabs>
        <w:adjustRightInd w:val="0"/>
        <w:snapToGrid w:val="0"/>
        <w:spacing w:line="560" w:lineRule="exact"/>
        <w:ind w:firstLine="640" w:firstLineChars="200"/>
        <w:rPr>
          <w:rFonts w:eastAsia="黑体"/>
          <w:sz w:val="32"/>
          <w:szCs w:val="32"/>
        </w:rPr>
      </w:pPr>
    </w:p>
    <w:p w14:paraId="7F8B2ADB">
      <w:pPr>
        <w:tabs>
          <w:tab w:val="left" w:pos="7560"/>
        </w:tabs>
        <w:adjustRightInd w:val="0"/>
        <w:snapToGrid w:val="0"/>
        <w:spacing w:line="560" w:lineRule="exact"/>
        <w:ind w:firstLine="640" w:firstLineChars="200"/>
        <w:rPr>
          <w:rFonts w:eastAsia="黑体"/>
          <w:sz w:val="32"/>
          <w:szCs w:val="32"/>
        </w:rPr>
      </w:pPr>
    </w:p>
    <w:p w14:paraId="53778A95">
      <w:pPr>
        <w:tabs>
          <w:tab w:val="left" w:pos="7560"/>
        </w:tabs>
        <w:adjustRightInd w:val="0"/>
        <w:snapToGrid w:val="0"/>
        <w:spacing w:line="560" w:lineRule="exact"/>
        <w:ind w:firstLine="640" w:firstLineChars="200"/>
        <w:rPr>
          <w:rFonts w:eastAsia="黑体"/>
          <w:sz w:val="32"/>
          <w:szCs w:val="32"/>
        </w:rPr>
      </w:pPr>
    </w:p>
    <w:p w14:paraId="1220AE0D">
      <w:pPr>
        <w:tabs>
          <w:tab w:val="left" w:pos="7560"/>
        </w:tabs>
        <w:adjustRightInd w:val="0"/>
        <w:snapToGrid w:val="0"/>
        <w:spacing w:line="560" w:lineRule="exact"/>
        <w:ind w:firstLine="640" w:firstLineChars="200"/>
        <w:rPr>
          <w:rFonts w:eastAsia="黑体"/>
          <w:sz w:val="32"/>
          <w:szCs w:val="32"/>
        </w:rPr>
      </w:pPr>
    </w:p>
    <w:p w14:paraId="4A864983">
      <w:pPr>
        <w:tabs>
          <w:tab w:val="left" w:pos="7560"/>
        </w:tabs>
        <w:adjustRightInd w:val="0"/>
        <w:snapToGrid w:val="0"/>
        <w:spacing w:line="560" w:lineRule="exact"/>
        <w:rPr>
          <w:rFonts w:eastAsia="黑体"/>
          <w:sz w:val="32"/>
          <w:szCs w:val="32"/>
        </w:rPr>
      </w:pPr>
    </w:p>
    <w:p w14:paraId="680F8BDE">
      <w:pPr>
        <w:tabs>
          <w:tab w:val="left" w:pos="7560"/>
        </w:tabs>
        <w:adjustRightInd w:val="0"/>
        <w:snapToGrid w:val="0"/>
        <w:spacing w:line="560" w:lineRule="exact"/>
        <w:jc w:val="center"/>
        <w:rPr>
          <w:rFonts w:ascii="Times New Roman" w:hAnsi="Times New Roman" w:eastAsia="经典黑体简" w:cs="Times New Roman"/>
          <w:bCs/>
          <w:color w:val="000000"/>
          <w:kern w:val="0"/>
          <w:sz w:val="44"/>
          <w:szCs w:val="44"/>
        </w:rPr>
      </w:pPr>
      <w:r>
        <w:rPr>
          <w:rFonts w:ascii="Times New Roman" w:hAnsi="Times New Roman" w:eastAsia="经典黑体简" w:cs="Times New Roman"/>
          <w:bCs/>
          <w:color w:val="000000"/>
          <w:kern w:val="0"/>
          <w:sz w:val="44"/>
          <w:szCs w:val="44"/>
        </w:rPr>
        <w:t>第一部分</w:t>
      </w:r>
      <w:r>
        <w:rPr>
          <w:rFonts w:hint="eastAsia" w:ascii="Times New Roman" w:hAnsi="Times New Roman" w:eastAsia="经典黑体简" w:cs="Times New Roman"/>
          <w:bCs/>
          <w:color w:val="000000"/>
          <w:kern w:val="0"/>
          <w:sz w:val="44"/>
          <w:szCs w:val="44"/>
          <w:lang w:val="en-US" w:eastAsia="zh-CN"/>
        </w:rPr>
        <w:t xml:space="preserve"> </w:t>
      </w:r>
      <w:r>
        <w:rPr>
          <w:rFonts w:ascii="Times New Roman" w:hAnsi="Times New Roman" w:eastAsia="经典黑体简" w:cs="Times New Roman"/>
          <w:bCs/>
          <w:color w:val="000000"/>
          <w:kern w:val="0"/>
          <w:sz w:val="44"/>
          <w:szCs w:val="44"/>
        </w:rPr>
        <w:t>2023年部门预算说明</w:t>
      </w:r>
    </w:p>
    <w:p w14:paraId="41D882B3">
      <w:pPr>
        <w:tabs>
          <w:tab w:val="left" w:pos="7560"/>
        </w:tabs>
        <w:adjustRightInd w:val="0"/>
        <w:snapToGrid w:val="0"/>
        <w:spacing w:line="560" w:lineRule="exact"/>
        <w:ind w:firstLine="640" w:firstLineChars="200"/>
        <w:rPr>
          <w:rFonts w:eastAsia="黑体"/>
          <w:sz w:val="32"/>
          <w:szCs w:val="32"/>
        </w:rPr>
      </w:pPr>
    </w:p>
    <w:p w14:paraId="03F76E9F">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一、 部门职能职责</w:t>
      </w:r>
    </w:p>
    <w:p w14:paraId="3E48939A">
      <w:pPr>
        <w:widowControl/>
        <w:shd w:val="clear" w:color="auto" w:fill="FFFFFF"/>
        <w:spacing w:line="560" w:lineRule="exact"/>
        <w:ind w:firstLine="606"/>
        <w:rPr>
          <w:rFonts w:eastAsia="仿宋"/>
          <w:color w:val="000000"/>
          <w:kern w:val="0"/>
          <w:sz w:val="32"/>
          <w:szCs w:val="32"/>
        </w:rPr>
      </w:pPr>
      <w:r>
        <w:rPr>
          <w:rFonts w:hAnsi="仿宋" w:eastAsia="仿宋"/>
          <w:color w:val="000000"/>
          <w:kern w:val="0"/>
          <w:sz w:val="32"/>
          <w:szCs w:val="32"/>
        </w:rPr>
        <w:t>中国国民党革命委员会醴陵市委员会是醴陵市</w:t>
      </w:r>
      <w:r>
        <w:rPr>
          <w:rFonts w:eastAsia="仿宋"/>
          <w:color w:val="000000"/>
          <w:kern w:val="0"/>
          <w:sz w:val="32"/>
          <w:szCs w:val="32"/>
        </w:rPr>
        <w:t>5</w:t>
      </w:r>
      <w:r>
        <w:rPr>
          <w:rFonts w:hAnsi="仿宋" w:eastAsia="仿宋"/>
          <w:color w:val="000000"/>
          <w:kern w:val="0"/>
          <w:sz w:val="32"/>
          <w:szCs w:val="32"/>
        </w:rPr>
        <w:t>个民主党派之一，主要职能是参政议政、民主监督等。</w:t>
      </w:r>
    </w:p>
    <w:p w14:paraId="4E720CD5">
      <w:pPr>
        <w:tabs>
          <w:tab w:val="left" w:pos="7560"/>
        </w:tabs>
        <w:adjustRightInd w:val="0"/>
        <w:snapToGrid w:val="0"/>
        <w:spacing w:line="560" w:lineRule="exact"/>
        <w:ind w:firstLine="640" w:firstLineChars="200"/>
        <w:rPr>
          <w:rFonts w:eastAsia="黑体"/>
          <w:sz w:val="32"/>
          <w:szCs w:val="32"/>
        </w:rPr>
      </w:pPr>
      <w:r>
        <w:rPr>
          <w:rFonts w:eastAsia="黑体"/>
          <w:sz w:val="32"/>
          <w:szCs w:val="32"/>
        </w:rPr>
        <w:t>二、机构设置</w:t>
      </w:r>
    </w:p>
    <w:p w14:paraId="44A07F1E">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内设机构包括：中国国民党革命委员会醴陵市委员会办公室，共有编制3人，实有人数1人</w:t>
      </w:r>
      <w:r>
        <w:rPr>
          <w:rFonts w:eastAsia="仿宋_GB2312"/>
          <w:sz w:val="32"/>
          <w:szCs w:val="32"/>
          <w:highlight w:val="none"/>
        </w:rPr>
        <w:t>。</w:t>
      </w:r>
    </w:p>
    <w:p w14:paraId="3FBC2BFE">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三、部门预算单位构成</w:t>
      </w:r>
    </w:p>
    <w:p w14:paraId="31256476">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中国国民党革命委员会醴陵市委员会只有本级，没有其他预算单位，因此纳入2023年部门预算编制范围的只有中国国民党革命委员会醴陵市委员会本级</w:t>
      </w:r>
      <w:r>
        <w:rPr>
          <w:rFonts w:eastAsia="仿宋_GB2312"/>
          <w:sz w:val="32"/>
          <w:szCs w:val="32"/>
        </w:rPr>
        <w:t>。</w:t>
      </w:r>
    </w:p>
    <w:p w14:paraId="584F46E2">
      <w:pPr>
        <w:tabs>
          <w:tab w:val="left" w:pos="7560"/>
        </w:tabs>
        <w:adjustRightInd w:val="0"/>
        <w:snapToGrid w:val="0"/>
        <w:spacing w:line="560" w:lineRule="exact"/>
        <w:ind w:firstLine="640" w:firstLineChars="200"/>
        <w:rPr>
          <w:rFonts w:eastAsia="黑体"/>
          <w:sz w:val="32"/>
          <w:szCs w:val="32"/>
        </w:rPr>
      </w:pPr>
      <w:r>
        <w:rPr>
          <w:rFonts w:eastAsia="黑体"/>
          <w:sz w:val="32"/>
          <w:szCs w:val="32"/>
        </w:rPr>
        <w:t>四、 部门收支总体情况</w:t>
      </w:r>
    </w:p>
    <w:p w14:paraId="3AB6D396">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2023年</w:t>
      </w:r>
      <w:r>
        <w:rPr>
          <w:rFonts w:hint="eastAsia" w:eastAsia="仿宋_GB2312"/>
          <w:sz w:val="32"/>
          <w:szCs w:val="32"/>
        </w:rPr>
        <w:t>中国</w:t>
      </w:r>
      <w:r>
        <w:rPr>
          <w:rFonts w:eastAsia="仿宋_GB2312"/>
          <w:sz w:val="32"/>
          <w:szCs w:val="32"/>
        </w:rPr>
        <w:t>国民党革命委员会醴陵市委员会公开的部门预算为机关汇总预算。收入包括一般公共预算收入；支出包括保障机关基本运行的经费。</w:t>
      </w:r>
    </w:p>
    <w:p w14:paraId="4DF8740D">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sz w:val="32"/>
          <w:szCs w:val="32"/>
        </w:rPr>
        <w:t>2023年年初预算数</w:t>
      </w:r>
      <w:r>
        <w:rPr>
          <w:rFonts w:hint="eastAsia" w:eastAsia="仿宋_GB2312"/>
          <w:sz w:val="32"/>
          <w:szCs w:val="32"/>
        </w:rPr>
        <w:t>19.26</w:t>
      </w:r>
      <w:r>
        <w:rPr>
          <w:rFonts w:eastAsia="仿宋_GB2312"/>
          <w:sz w:val="32"/>
          <w:szCs w:val="32"/>
        </w:rPr>
        <w:t>万元，其中，一般公共预算拨款</w:t>
      </w:r>
      <w:r>
        <w:rPr>
          <w:rFonts w:hint="eastAsia" w:eastAsia="仿宋_GB2312"/>
          <w:sz w:val="32"/>
          <w:szCs w:val="32"/>
        </w:rPr>
        <w:t>19.26</w:t>
      </w:r>
      <w:r>
        <w:rPr>
          <w:rFonts w:eastAsia="仿宋_GB2312"/>
          <w:sz w:val="32"/>
          <w:szCs w:val="32"/>
        </w:rPr>
        <w:t>万元；政府性基金拨款</w:t>
      </w:r>
      <w:r>
        <w:rPr>
          <w:rFonts w:hint="eastAsia" w:eastAsia="仿宋_GB2312"/>
          <w:sz w:val="32"/>
          <w:szCs w:val="32"/>
        </w:rPr>
        <w:t>0</w:t>
      </w:r>
      <w:r>
        <w:rPr>
          <w:rFonts w:eastAsia="仿宋_GB2312"/>
          <w:sz w:val="32"/>
          <w:szCs w:val="32"/>
        </w:rPr>
        <w:t>万元；财政专户管理的非税收入拨款</w:t>
      </w:r>
      <w:r>
        <w:rPr>
          <w:rFonts w:hint="eastAsia" w:eastAsia="仿宋_GB2312"/>
          <w:sz w:val="32"/>
          <w:szCs w:val="32"/>
        </w:rPr>
        <w:t>0</w:t>
      </w:r>
      <w:r>
        <w:rPr>
          <w:rFonts w:eastAsia="仿宋_GB2312"/>
          <w:sz w:val="32"/>
          <w:szCs w:val="32"/>
        </w:rPr>
        <w:t>万元；上级财政补助收入</w:t>
      </w:r>
      <w:r>
        <w:rPr>
          <w:rFonts w:hint="eastAsia" w:eastAsia="仿宋_GB2312"/>
          <w:sz w:val="32"/>
          <w:szCs w:val="32"/>
        </w:rPr>
        <w:t>0</w:t>
      </w:r>
      <w:r>
        <w:rPr>
          <w:rFonts w:eastAsia="仿宋_GB2312"/>
          <w:sz w:val="32"/>
          <w:szCs w:val="32"/>
        </w:rPr>
        <w:t>万元。因上年结转数暂未最终确定，本年度收支预算中均不含上年结转数字。</w:t>
      </w:r>
    </w:p>
    <w:p w14:paraId="5CDF8AAE">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（二）支出预算：</w:t>
      </w:r>
      <w:r>
        <w:rPr>
          <w:rFonts w:eastAsia="仿宋_GB2312"/>
          <w:sz w:val="32"/>
          <w:szCs w:val="32"/>
        </w:rPr>
        <w:t>2023年年初预算数</w:t>
      </w:r>
      <w:r>
        <w:rPr>
          <w:rFonts w:hint="eastAsia" w:eastAsia="仿宋_GB2312"/>
          <w:sz w:val="32"/>
          <w:szCs w:val="32"/>
        </w:rPr>
        <w:t>19.26</w:t>
      </w:r>
      <w:r>
        <w:rPr>
          <w:rFonts w:eastAsia="仿宋_GB2312"/>
          <w:sz w:val="32"/>
          <w:szCs w:val="32"/>
        </w:rPr>
        <w:t>万元，其中，</w:t>
      </w:r>
      <w:r>
        <w:rPr>
          <w:rFonts w:hint="eastAsia" w:ascii="Times New Roman" w:hAnsi="Times New Roman" w:eastAsia="仿宋_GB2312" w:cs="Times New Roman"/>
          <w:sz w:val="32"/>
          <w:szCs w:val="32"/>
          <w:lang w:val="en-US" w:eastAsia="zh-CN"/>
        </w:rPr>
        <w:t>一般公共服务支出</w:t>
      </w:r>
      <w:r>
        <w:rPr>
          <w:rFonts w:hint="eastAsia" w:eastAsia="仿宋_GB2312" w:cs="Times New Roman"/>
          <w:sz w:val="32"/>
          <w:szCs w:val="32"/>
          <w:lang w:val="en-US" w:eastAsia="zh-CN"/>
        </w:rPr>
        <w:t>16.59</w:t>
      </w:r>
      <w:r>
        <w:rPr>
          <w:rFonts w:hint="eastAsia" w:ascii="Times New Roman" w:hAnsi="Times New Roman" w:eastAsia="仿宋_GB2312" w:cs="Times New Roman"/>
          <w:sz w:val="32"/>
          <w:szCs w:val="32"/>
          <w:lang w:val="en-US" w:eastAsia="zh-CN"/>
        </w:rPr>
        <w:t>万元，公共安全支出0万元，国防支出0万元，公共安全支出</w:t>
      </w:r>
      <w:r>
        <w:rPr>
          <w:rFonts w:hint="eastAsia"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万元，教育支出0万元，科学技术支出0万元，文化旅游体育与传媒支出0万元，社会保障和就业支出</w:t>
      </w:r>
      <w:r>
        <w:rPr>
          <w:rFonts w:hint="eastAsia" w:eastAsia="仿宋_GB2312" w:cs="Times New Roman"/>
          <w:sz w:val="32"/>
          <w:szCs w:val="32"/>
          <w:lang w:val="en-US" w:eastAsia="zh-CN"/>
        </w:rPr>
        <w:t>1.26</w:t>
      </w:r>
      <w:r>
        <w:rPr>
          <w:rFonts w:hint="eastAsia" w:ascii="Times New Roman" w:hAnsi="Times New Roman" w:eastAsia="仿宋_GB2312" w:cs="Times New Roman"/>
          <w:sz w:val="32"/>
          <w:szCs w:val="32"/>
          <w:lang w:val="en-US" w:eastAsia="zh-CN"/>
        </w:rPr>
        <w:t>万元，社会保险基金支出0万元，卫生健康支出</w:t>
      </w:r>
      <w:r>
        <w:rPr>
          <w:rFonts w:hint="eastAsia" w:eastAsia="仿宋_GB2312" w:cs="Times New Roman"/>
          <w:sz w:val="32"/>
          <w:szCs w:val="32"/>
          <w:lang w:val="en-US" w:eastAsia="zh-CN"/>
        </w:rPr>
        <w:t>0.36</w:t>
      </w:r>
      <w:r>
        <w:rPr>
          <w:rFonts w:hint="eastAsia" w:ascii="Times New Roman" w:hAnsi="Times New Roman" w:eastAsia="仿宋_GB2312" w:cs="Times New Roman"/>
          <w:sz w:val="32"/>
          <w:szCs w:val="32"/>
          <w:lang w:val="en-US" w:eastAsia="zh-CN"/>
        </w:rPr>
        <w:t>万元，节能环保支出0万元，城乡社区支出0万元，农林水支出0万元，交通运输支出0万元，资源勘探信息等支出0万元，商业服务业等支出0万元，金融支出0万元，援助其他地区支出0万元，自然资源海洋气象等支出0万元，住房保障支出</w:t>
      </w:r>
      <w:r>
        <w:rPr>
          <w:rFonts w:hint="eastAsia" w:eastAsia="仿宋_GB2312" w:cs="Times New Roman"/>
          <w:sz w:val="32"/>
          <w:szCs w:val="32"/>
          <w:lang w:val="en-US" w:eastAsia="zh-CN"/>
        </w:rPr>
        <w:t>1.05</w:t>
      </w:r>
      <w:r>
        <w:rPr>
          <w:rFonts w:hint="eastAsia" w:ascii="Times New Roman" w:hAnsi="Times New Roman" w:eastAsia="仿宋_GB2312" w:cs="Times New Roman"/>
          <w:sz w:val="32"/>
          <w:szCs w:val="32"/>
          <w:lang w:val="en-US" w:eastAsia="zh-CN"/>
        </w:rPr>
        <w:t>万元，粮油物资储备支出0万元，国有资本经营预算支出0万元，灾害防治及应急管理支出0万元，预备费0万元，其他支出0万元，转移性支出0万元，债务还本支出0万元，债务付息支出0万元，债务发行费用支出0万元，抗疫特别国债安排的支出0万元。</w:t>
      </w:r>
    </w:p>
    <w:p w14:paraId="0C99E40D">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eastAsia="仿宋_GB2312"/>
          <w:color w:val="000000"/>
          <w:sz w:val="32"/>
          <w:szCs w:val="32"/>
        </w:rPr>
        <w:t>2023年年初预算数为</w:t>
      </w:r>
      <w:r>
        <w:rPr>
          <w:rFonts w:hint="eastAsia" w:eastAsia="仿宋_GB2312"/>
          <w:color w:val="000000"/>
          <w:sz w:val="32"/>
          <w:szCs w:val="32"/>
        </w:rPr>
        <w:t>1</w:t>
      </w:r>
      <w:r>
        <w:rPr>
          <w:rFonts w:hint="eastAsia" w:eastAsia="仿宋_GB2312"/>
          <w:color w:val="000000"/>
          <w:sz w:val="32"/>
          <w:szCs w:val="32"/>
          <w:lang w:val="en-US" w:eastAsia="zh-CN"/>
        </w:rPr>
        <w:t>1</w:t>
      </w:r>
      <w:r>
        <w:rPr>
          <w:rFonts w:hint="eastAsia" w:eastAsia="仿宋_GB2312"/>
          <w:color w:val="000000"/>
          <w:sz w:val="32"/>
          <w:szCs w:val="32"/>
        </w:rPr>
        <w:t>.26</w:t>
      </w:r>
      <w:r>
        <w:rPr>
          <w:rFonts w:eastAsia="仿宋_GB2312"/>
          <w:color w:val="000000"/>
          <w:sz w:val="32"/>
          <w:szCs w:val="32"/>
        </w:rPr>
        <w:t>万元，是指为保障单位机构正常运转、完成日常工作任务而发生的各项支出，包括用于基本工资、津贴补贴等人员经费以及日常公用经费、业务性商品和服务支出。其中包括基本工资</w:t>
      </w:r>
      <w:r>
        <w:rPr>
          <w:rFonts w:hint="eastAsia" w:eastAsia="仿宋_GB2312"/>
          <w:color w:val="000000"/>
          <w:sz w:val="32"/>
          <w:szCs w:val="32"/>
        </w:rPr>
        <w:t>3.65</w:t>
      </w:r>
      <w:r>
        <w:rPr>
          <w:rFonts w:eastAsia="仿宋_GB2312"/>
          <w:color w:val="000000"/>
          <w:sz w:val="32"/>
          <w:szCs w:val="32"/>
        </w:rPr>
        <w:t>万元、津贴补贴</w:t>
      </w:r>
      <w:r>
        <w:rPr>
          <w:rFonts w:hint="eastAsia" w:eastAsia="仿宋_GB2312"/>
          <w:color w:val="000000"/>
          <w:sz w:val="32"/>
          <w:szCs w:val="32"/>
        </w:rPr>
        <w:t>2.2</w:t>
      </w:r>
      <w:r>
        <w:rPr>
          <w:rFonts w:eastAsia="仿宋_GB2312"/>
          <w:color w:val="000000"/>
          <w:sz w:val="32"/>
          <w:szCs w:val="32"/>
        </w:rPr>
        <w:t>万元</w:t>
      </w:r>
      <w:r>
        <w:rPr>
          <w:rFonts w:eastAsia="仿宋_GB2312"/>
          <w:color w:val="000000"/>
          <w:sz w:val="32"/>
          <w:szCs w:val="32"/>
          <w:highlight w:val="none"/>
        </w:rPr>
        <w:t>、</w:t>
      </w:r>
      <w:r>
        <w:rPr>
          <w:rFonts w:eastAsia="仿宋_GB2312"/>
          <w:sz w:val="32"/>
          <w:szCs w:val="32"/>
          <w:highlight w:val="none"/>
        </w:rPr>
        <w:t>奖金</w:t>
      </w:r>
      <w:r>
        <w:rPr>
          <w:rFonts w:hint="eastAsia" w:eastAsia="仿宋_GB2312"/>
          <w:sz w:val="32"/>
          <w:szCs w:val="32"/>
          <w:highlight w:val="none"/>
        </w:rPr>
        <w:t>2</w:t>
      </w:r>
      <w:r>
        <w:rPr>
          <w:rFonts w:hint="eastAsia" w:eastAsia="仿宋_GB2312"/>
          <w:sz w:val="32"/>
          <w:szCs w:val="32"/>
          <w:highlight w:val="none"/>
          <w:lang w:val="en-US" w:eastAsia="zh-CN"/>
        </w:rPr>
        <w:t>.02</w:t>
      </w:r>
      <w:r>
        <w:rPr>
          <w:rFonts w:eastAsia="仿宋_GB2312"/>
          <w:sz w:val="32"/>
          <w:szCs w:val="32"/>
          <w:highlight w:val="none"/>
        </w:rPr>
        <w:t>万元</w:t>
      </w:r>
      <w:r>
        <w:rPr>
          <w:rFonts w:eastAsia="仿宋_GB2312"/>
          <w:sz w:val="32"/>
          <w:szCs w:val="32"/>
        </w:rPr>
        <w:t>、</w:t>
      </w:r>
      <w:r>
        <w:rPr>
          <w:rFonts w:hint="eastAsia" w:eastAsia="仿宋_GB2312"/>
          <w:sz w:val="32"/>
          <w:szCs w:val="32"/>
        </w:rPr>
        <w:t>机关事业单位基本养老保险缴费1.26万元、职工基本医疗保险缴费0.36万元、住房公积金1.05</w:t>
      </w:r>
      <w:r>
        <w:rPr>
          <w:rFonts w:eastAsia="仿宋_GB2312"/>
          <w:sz w:val="32"/>
          <w:szCs w:val="32"/>
        </w:rPr>
        <w:t>万元、一般商品服务支出</w:t>
      </w:r>
      <w:r>
        <w:rPr>
          <w:rFonts w:hint="eastAsia" w:eastAsia="仿宋_GB2312"/>
          <w:sz w:val="32"/>
          <w:szCs w:val="32"/>
        </w:rPr>
        <w:t>0.74等</w:t>
      </w:r>
      <w:r>
        <w:rPr>
          <w:rFonts w:eastAsia="仿宋_GB2312"/>
          <w:color w:val="000000"/>
          <w:sz w:val="32"/>
          <w:szCs w:val="32"/>
        </w:rPr>
        <w:t>。</w:t>
      </w:r>
    </w:p>
    <w:p w14:paraId="1FAF24C6">
      <w:pPr>
        <w:tabs>
          <w:tab w:val="left" w:pos="7560"/>
        </w:tabs>
        <w:adjustRightInd w:val="0"/>
        <w:snapToGrid w:val="0"/>
        <w:spacing w:line="560" w:lineRule="exact"/>
        <w:ind w:firstLine="643" w:firstLineChars="200"/>
        <w:jc w:val="left"/>
        <w:rPr>
          <w:rFonts w:eastAsia="仿宋_GB2312"/>
          <w:sz w:val="32"/>
          <w:szCs w:val="32"/>
        </w:rPr>
      </w:pPr>
      <w:r>
        <w:rPr>
          <w:rFonts w:eastAsia="仿宋_GB2312"/>
          <w:b/>
          <w:color w:val="000000"/>
          <w:sz w:val="32"/>
          <w:szCs w:val="32"/>
        </w:rPr>
        <w:t>2.项目支出：</w:t>
      </w:r>
      <w:r>
        <w:rPr>
          <w:rFonts w:hint="eastAsia" w:eastAsia="仿宋_GB2312"/>
          <w:color w:val="000000"/>
          <w:sz w:val="32"/>
          <w:szCs w:val="32"/>
        </w:rPr>
        <w:t>2023</w:t>
      </w:r>
      <w:r>
        <w:rPr>
          <w:rFonts w:eastAsia="仿宋_GB2312"/>
          <w:color w:val="000000"/>
          <w:sz w:val="32"/>
          <w:szCs w:val="32"/>
        </w:rPr>
        <w:t>年年初预算数为</w:t>
      </w:r>
      <w:r>
        <w:rPr>
          <w:rFonts w:hint="eastAsia" w:eastAsia="仿宋_GB2312"/>
          <w:color w:val="000000"/>
          <w:sz w:val="32"/>
          <w:szCs w:val="32"/>
          <w:lang w:val="en-US" w:eastAsia="zh-CN"/>
        </w:rPr>
        <w:t>8</w:t>
      </w:r>
      <w:r>
        <w:rPr>
          <w:rFonts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rPr>
        <w:t>2023</w:t>
      </w:r>
      <w:r>
        <w:rPr>
          <w:rFonts w:eastAsia="仿宋_GB2312"/>
          <w:color w:val="000000"/>
          <w:sz w:val="32"/>
          <w:szCs w:val="32"/>
        </w:rPr>
        <w:t>年年初预算数为</w:t>
      </w:r>
      <w:r>
        <w:rPr>
          <w:rFonts w:hint="eastAsia" w:eastAsia="仿宋_GB2312"/>
          <w:color w:val="000000"/>
          <w:sz w:val="32"/>
          <w:szCs w:val="32"/>
          <w:lang w:val="en-US" w:eastAsia="zh-CN"/>
        </w:rPr>
        <w:t>8</w:t>
      </w:r>
      <w:r>
        <w:rPr>
          <w:rFonts w:eastAsia="仿宋_GB2312"/>
          <w:color w:val="000000"/>
          <w:sz w:val="32"/>
          <w:szCs w:val="32"/>
        </w:rPr>
        <w:t>万元，是指单位为完成特定行政工作任务而发生的支出，</w:t>
      </w:r>
      <w:r>
        <w:rPr>
          <w:rFonts w:hint="eastAsia" w:eastAsia="仿宋_GB2312"/>
          <w:color w:val="000000"/>
          <w:sz w:val="32"/>
          <w:szCs w:val="32"/>
          <w:lang w:val="en-US" w:eastAsia="zh-CN"/>
        </w:rPr>
        <w:t>其中运转支出8万元</w:t>
      </w:r>
      <w:r>
        <w:rPr>
          <w:rFonts w:eastAsia="仿宋_GB2312"/>
          <w:color w:val="000000"/>
          <w:sz w:val="32"/>
          <w:szCs w:val="32"/>
        </w:rPr>
        <w:t>。</w:t>
      </w:r>
    </w:p>
    <w:p w14:paraId="7A6F89A1">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（三）预算收支增减变化情况说明：</w:t>
      </w:r>
      <w:r>
        <w:rPr>
          <w:rFonts w:eastAsia="仿宋_GB2312"/>
          <w:sz w:val="32"/>
          <w:szCs w:val="32"/>
        </w:rPr>
        <w:t>20</w:t>
      </w:r>
      <w:r>
        <w:rPr>
          <w:rFonts w:hint="eastAsia" w:eastAsia="仿宋_GB2312"/>
          <w:sz w:val="32"/>
          <w:szCs w:val="32"/>
        </w:rPr>
        <w:t>23</w:t>
      </w:r>
      <w:r>
        <w:rPr>
          <w:rFonts w:eastAsia="仿宋_GB2312"/>
          <w:sz w:val="32"/>
          <w:szCs w:val="32"/>
        </w:rPr>
        <w:t>年度本部门年初预算数为</w:t>
      </w:r>
      <w:r>
        <w:rPr>
          <w:rFonts w:hint="eastAsia" w:eastAsia="仿宋_GB2312"/>
          <w:sz w:val="32"/>
          <w:szCs w:val="32"/>
        </w:rPr>
        <w:t>19.26</w:t>
      </w:r>
      <w:r>
        <w:rPr>
          <w:rFonts w:eastAsia="仿宋_GB2312"/>
          <w:sz w:val="32"/>
          <w:szCs w:val="32"/>
        </w:rPr>
        <w:t>万元，比上年</w:t>
      </w:r>
      <w:r>
        <w:rPr>
          <w:rFonts w:hint="eastAsia" w:eastAsia="仿宋_GB2312"/>
          <w:sz w:val="32"/>
          <w:szCs w:val="32"/>
        </w:rPr>
        <w:t>减少5.49</w:t>
      </w:r>
      <w:r>
        <w:rPr>
          <w:rFonts w:eastAsia="仿宋_GB2312"/>
          <w:sz w:val="32"/>
          <w:szCs w:val="32"/>
        </w:rPr>
        <w:t>万元，主要原因是</w:t>
      </w:r>
      <w:r>
        <w:rPr>
          <w:rFonts w:hint="eastAsia" w:eastAsia="仿宋_GB2312"/>
          <w:sz w:val="32"/>
          <w:szCs w:val="32"/>
        </w:rPr>
        <w:t>机关</w:t>
      </w:r>
      <w:r>
        <w:rPr>
          <w:rFonts w:eastAsia="仿宋_GB2312"/>
          <w:sz w:val="32"/>
          <w:szCs w:val="32"/>
        </w:rPr>
        <w:t>工作人员减少一人，人员经费预算随之减少。</w:t>
      </w:r>
    </w:p>
    <w:p w14:paraId="3916D0F2">
      <w:pPr>
        <w:tabs>
          <w:tab w:val="left" w:pos="7560"/>
        </w:tabs>
        <w:adjustRightInd w:val="0"/>
        <w:snapToGrid w:val="0"/>
        <w:spacing w:line="560" w:lineRule="exact"/>
        <w:ind w:firstLine="640" w:firstLineChars="200"/>
        <w:rPr>
          <w:rFonts w:eastAsia="黑体"/>
          <w:sz w:val="32"/>
          <w:szCs w:val="32"/>
        </w:rPr>
      </w:pPr>
      <w:r>
        <w:rPr>
          <w:rFonts w:eastAsia="黑体"/>
          <w:sz w:val="32"/>
          <w:szCs w:val="32"/>
        </w:rPr>
        <w:t>五、一般公共预算拨款支出预算</w:t>
      </w:r>
    </w:p>
    <w:p w14:paraId="2D67544E">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年本部门一般公共预算拨款支出</w:t>
      </w:r>
      <w:r>
        <w:rPr>
          <w:rFonts w:hint="eastAsia" w:eastAsia="仿宋_GB2312"/>
          <w:sz w:val="32"/>
          <w:szCs w:val="32"/>
        </w:rPr>
        <w:t>19.26</w:t>
      </w:r>
      <w:r>
        <w:rPr>
          <w:rFonts w:eastAsia="仿宋_GB2312"/>
          <w:sz w:val="32"/>
          <w:szCs w:val="32"/>
        </w:rPr>
        <w:t>万元，具体安排如下：</w:t>
      </w:r>
    </w:p>
    <w:p w14:paraId="415E1F1C">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一般公共服务支出（类）民主党派及工商联事务（款）行政运行（项）</w:t>
      </w:r>
    </w:p>
    <w:p w14:paraId="31238FD3">
      <w:pPr>
        <w:pStyle w:val="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2023年预算支出16.59万元。</w:t>
      </w:r>
    </w:p>
    <w:p w14:paraId="27825C44">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社会保障和就业支出（类）行政事业单位养老支出（款）机关事业单位基本养老保险缴费支出（项）</w:t>
      </w:r>
    </w:p>
    <w:p w14:paraId="5374C937">
      <w:pPr>
        <w:pStyle w:val="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2023年预算支出1.26万元。</w:t>
      </w:r>
    </w:p>
    <w:p w14:paraId="77C94228">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卫生健康支出（类）行政事业单位医疗（款）行政单位医疗（项）</w:t>
      </w:r>
    </w:p>
    <w:p w14:paraId="5C6FAED8">
      <w:pPr>
        <w:pStyle w:val="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2023年预算支出0.36万元。</w:t>
      </w:r>
    </w:p>
    <w:p w14:paraId="4DC90E85">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住房保障支出（类）住房改革支出（款）住房公积金（项）</w:t>
      </w:r>
    </w:p>
    <w:p w14:paraId="31A87BAC">
      <w:pPr>
        <w:pStyle w:val="2"/>
        <w:numPr>
          <w:ilvl w:val="0"/>
          <w:numId w:val="0"/>
        </w:numPr>
        <w:ind w:firstLine="640" w:firstLineChars="200"/>
      </w:pPr>
      <w:r>
        <w:rPr>
          <w:rFonts w:hint="eastAsia" w:eastAsia="仿宋_GB2312" w:cs="Times New Roman"/>
          <w:sz w:val="32"/>
          <w:szCs w:val="32"/>
          <w:lang w:val="en-US" w:eastAsia="zh-CN"/>
        </w:rPr>
        <w:t>2023年预算支出1.05万元。</w:t>
      </w:r>
    </w:p>
    <w:p w14:paraId="4C0735C2">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（一）基本支出</w:t>
      </w:r>
    </w:p>
    <w:p w14:paraId="1751F29E">
      <w:pPr>
        <w:tabs>
          <w:tab w:val="left" w:pos="7560"/>
        </w:tabs>
        <w:adjustRightInd w:val="0"/>
        <w:snapToGrid w:val="0"/>
        <w:spacing w:line="560" w:lineRule="exact"/>
        <w:ind w:firstLine="640" w:firstLineChars="200"/>
        <w:rPr>
          <w:rFonts w:hint="eastAsia" w:eastAsia="仿宋_GB2312"/>
          <w:sz w:val="32"/>
          <w:szCs w:val="32"/>
          <w:highlight w:val="none"/>
        </w:rPr>
      </w:pPr>
      <w:r>
        <w:rPr>
          <w:rFonts w:hint="eastAsia" w:eastAsia="仿宋_GB2312"/>
          <w:sz w:val="32"/>
          <w:szCs w:val="32"/>
        </w:rPr>
        <w:t>1、人员类支出。2023</w:t>
      </w:r>
      <w:r>
        <w:rPr>
          <w:rFonts w:eastAsia="仿宋_GB2312"/>
          <w:sz w:val="32"/>
          <w:szCs w:val="32"/>
        </w:rPr>
        <w:t>年年初预算数为</w:t>
      </w:r>
      <w:r>
        <w:rPr>
          <w:rFonts w:hint="eastAsia" w:eastAsia="仿宋_GB2312"/>
          <w:sz w:val="32"/>
          <w:szCs w:val="32"/>
        </w:rPr>
        <w:t>10.52</w:t>
      </w:r>
      <w:r>
        <w:rPr>
          <w:rFonts w:eastAsia="仿宋_GB2312"/>
          <w:sz w:val="32"/>
          <w:szCs w:val="32"/>
        </w:rPr>
        <w:t>万元。其中包括</w:t>
      </w:r>
      <w:r>
        <w:rPr>
          <w:rFonts w:eastAsia="仿宋_GB2312"/>
          <w:color w:val="000000"/>
          <w:sz w:val="32"/>
          <w:szCs w:val="32"/>
        </w:rPr>
        <w:t>基本工资</w:t>
      </w:r>
      <w:r>
        <w:rPr>
          <w:rFonts w:hint="eastAsia" w:eastAsia="仿宋_GB2312"/>
          <w:color w:val="000000"/>
          <w:sz w:val="32"/>
          <w:szCs w:val="32"/>
        </w:rPr>
        <w:t>3.65</w:t>
      </w:r>
      <w:r>
        <w:rPr>
          <w:rFonts w:eastAsia="仿宋_GB2312"/>
          <w:color w:val="000000"/>
          <w:sz w:val="32"/>
          <w:szCs w:val="32"/>
        </w:rPr>
        <w:t>万元、津贴补贴</w:t>
      </w:r>
      <w:r>
        <w:rPr>
          <w:rFonts w:hint="eastAsia" w:eastAsia="仿宋_GB2312"/>
          <w:color w:val="000000"/>
          <w:sz w:val="32"/>
          <w:szCs w:val="32"/>
        </w:rPr>
        <w:t>2.2</w:t>
      </w:r>
      <w:r>
        <w:rPr>
          <w:rFonts w:eastAsia="仿宋_GB2312"/>
          <w:color w:val="000000"/>
          <w:sz w:val="32"/>
          <w:szCs w:val="32"/>
        </w:rPr>
        <w:t>万元、</w:t>
      </w:r>
      <w:r>
        <w:rPr>
          <w:rFonts w:eastAsia="仿宋_GB2312"/>
          <w:sz w:val="32"/>
          <w:szCs w:val="32"/>
          <w:highlight w:val="none"/>
        </w:rPr>
        <w:t>奖金</w:t>
      </w:r>
      <w:r>
        <w:rPr>
          <w:rFonts w:hint="eastAsia" w:eastAsia="仿宋_GB2312"/>
          <w:sz w:val="32"/>
          <w:szCs w:val="32"/>
          <w:highlight w:val="none"/>
        </w:rPr>
        <w:t>2</w:t>
      </w:r>
      <w:r>
        <w:rPr>
          <w:rFonts w:hint="eastAsia" w:eastAsia="仿宋_GB2312"/>
          <w:sz w:val="32"/>
          <w:szCs w:val="32"/>
          <w:highlight w:val="none"/>
          <w:lang w:val="en-US" w:eastAsia="zh-CN"/>
        </w:rPr>
        <w:t>.02</w:t>
      </w:r>
      <w:r>
        <w:rPr>
          <w:rFonts w:eastAsia="仿宋_GB2312"/>
          <w:sz w:val="32"/>
          <w:szCs w:val="32"/>
          <w:highlight w:val="none"/>
        </w:rPr>
        <w:t>万元、</w:t>
      </w:r>
      <w:r>
        <w:rPr>
          <w:rFonts w:hint="eastAsia" w:eastAsia="仿宋_GB2312"/>
          <w:sz w:val="32"/>
          <w:szCs w:val="32"/>
          <w:highlight w:val="none"/>
        </w:rPr>
        <w:t>机关事业单位基本养老保险缴费1.26万元、职工基本医疗保险缴费0.36万元、住房公积金1.05</w:t>
      </w:r>
      <w:r>
        <w:rPr>
          <w:rFonts w:eastAsia="仿宋_GB2312"/>
          <w:sz w:val="32"/>
          <w:szCs w:val="32"/>
          <w:highlight w:val="none"/>
        </w:rPr>
        <w:t>万元</w:t>
      </w:r>
      <w:r>
        <w:rPr>
          <w:rFonts w:hint="eastAsia" w:eastAsia="仿宋_GB2312"/>
          <w:sz w:val="32"/>
          <w:szCs w:val="32"/>
          <w:highlight w:val="none"/>
        </w:rPr>
        <w:t>等</w:t>
      </w:r>
      <w:r>
        <w:rPr>
          <w:rFonts w:eastAsia="仿宋_GB2312"/>
          <w:sz w:val="32"/>
          <w:szCs w:val="32"/>
          <w:highlight w:val="none"/>
        </w:rPr>
        <w:t>。</w:t>
      </w:r>
    </w:p>
    <w:p w14:paraId="48059F6F">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highlight w:val="none"/>
        </w:rPr>
        <w:t>2、公用类支出。2023年年初预算数为</w:t>
      </w:r>
      <w:r>
        <w:rPr>
          <w:rFonts w:hint="eastAsia" w:eastAsia="仿宋_GB2312"/>
          <w:sz w:val="32"/>
          <w:szCs w:val="32"/>
          <w:highlight w:val="none"/>
          <w:lang w:val="en-US" w:eastAsia="zh-CN"/>
        </w:rPr>
        <w:t>0</w:t>
      </w:r>
      <w:r>
        <w:rPr>
          <w:rFonts w:hint="eastAsia" w:eastAsia="仿宋_GB2312"/>
          <w:sz w:val="32"/>
          <w:szCs w:val="32"/>
          <w:highlight w:val="none"/>
        </w:rPr>
        <w:t>.74万元。其中：办公费0.3万元、福利费0.26万元、工会经费</w:t>
      </w:r>
      <w:r>
        <w:rPr>
          <w:rFonts w:hint="eastAsia" w:eastAsia="仿宋_GB2312"/>
          <w:sz w:val="32"/>
          <w:szCs w:val="32"/>
          <w:highlight w:val="none"/>
          <w:lang w:val="en-US" w:eastAsia="zh-CN"/>
        </w:rPr>
        <w:t>0.18</w:t>
      </w:r>
      <w:r>
        <w:rPr>
          <w:rFonts w:hint="eastAsia" w:eastAsia="仿宋_GB2312"/>
          <w:sz w:val="32"/>
          <w:szCs w:val="32"/>
          <w:highlight w:val="none"/>
        </w:rPr>
        <w:t>万元</w:t>
      </w:r>
      <w:r>
        <w:rPr>
          <w:rFonts w:hint="eastAsia" w:eastAsia="仿宋_GB2312"/>
          <w:sz w:val="32"/>
          <w:szCs w:val="32"/>
        </w:rPr>
        <w:t>。</w:t>
      </w:r>
    </w:p>
    <w:p w14:paraId="0E35A90A">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（二）项目支出</w:t>
      </w:r>
    </w:p>
    <w:p w14:paraId="301A5B6F">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1、其他运转类支出。2023年年初预算数为</w:t>
      </w:r>
      <w:r>
        <w:rPr>
          <w:rFonts w:hint="eastAsia" w:eastAsia="仿宋_GB2312"/>
          <w:sz w:val="32"/>
          <w:szCs w:val="32"/>
          <w:lang w:val="en-US" w:eastAsia="zh-CN"/>
        </w:rPr>
        <w:t>8</w:t>
      </w:r>
      <w:r>
        <w:rPr>
          <w:rFonts w:hint="eastAsia" w:eastAsia="仿宋_GB2312"/>
          <w:sz w:val="32"/>
          <w:szCs w:val="32"/>
        </w:rPr>
        <w:t>万元。</w:t>
      </w:r>
    </w:p>
    <w:p w14:paraId="3A012CC1">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2、特定目标类支出0万元。</w:t>
      </w:r>
    </w:p>
    <w:p w14:paraId="2F2497B6">
      <w:pPr>
        <w:numPr>
          <w:ilvl w:val="0"/>
          <w:numId w:val="2"/>
        </w:numPr>
        <w:tabs>
          <w:tab w:val="left" w:pos="7560"/>
        </w:tabs>
        <w:adjustRightInd w:val="0"/>
        <w:snapToGrid w:val="0"/>
        <w:spacing w:line="560" w:lineRule="exact"/>
        <w:ind w:firstLine="640" w:firstLineChars="200"/>
        <w:rPr>
          <w:rFonts w:eastAsia="黑体"/>
          <w:sz w:val="32"/>
          <w:szCs w:val="32"/>
        </w:rPr>
      </w:pPr>
      <w:r>
        <w:rPr>
          <w:rFonts w:eastAsia="黑体"/>
          <w:sz w:val="32"/>
          <w:szCs w:val="32"/>
        </w:rPr>
        <w:t>政府性基金预算支出</w:t>
      </w:r>
    </w:p>
    <w:p w14:paraId="2DF50654">
      <w:pPr>
        <w:tabs>
          <w:tab w:val="left" w:pos="7560"/>
        </w:tabs>
        <w:adjustRightInd w:val="0"/>
        <w:snapToGrid w:val="0"/>
        <w:spacing w:line="560" w:lineRule="exact"/>
        <w:ind w:firstLine="640" w:firstLineChars="200"/>
        <w:rPr>
          <w:rFonts w:eastAsia="仿宋_GB2312"/>
          <w:bCs/>
          <w:sz w:val="32"/>
          <w:szCs w:val="32"/>
        </w:rPr>
      </w:pPr>
      <w:r>
        <w:rPr>
          <w:rFonts w:eastAsia="仿宋_GB2312"/>
          <w:bCs/>
          <w:sz w:val="32"/>
          <w:szCs w:val="32"/>
        </w:rPr>
        <w:t>20</w:t>
      </w:r>
      <w:r>
        <w:rPr>
          <w:rFonts w:hint="eastAsia" w:eastAsia="仿宋_GB2312"/>
          <w:bCs/>
          <w:sz w:val="32"/>
          <w:szCs w:val="32"/>
        </w:rPr>
        <w:t>23</w:t>
      </w:r>
      <w:r>
        <w:rPr>
          <w:rFonts w:eastAsia="仿宋_GB2312"/>
          <w:bCs/>
          <w:sz w:val="32"/>
          <w:szCs w:val="32"/>
        </w:rPr>
        <w:t>年度本部门无政府性基金预算安排的支出。</w:t>
      </w:r>
    </w:p>
    <w:p w14:paraId="1F7C874E">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七、其他重要事项情况说明</w:t>
      </w:r>
    </w:p>
    <w:p w14:paraId="08709AC6">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（一）机关运行经费：</w:t>
      </w:r>
      <w:r>
        <w:rPr>
          <w:rFonts w:eastAsia="仿宋_GB2312"/>
          <w:sz w:val="32"/>
          <w:szCs w:val="32"/>
        </w:rPr>
        <w:t>本部门</w:t>
      </w:r>
      <w:r>
        <w:rPr>
          <w:rFonts w:hint="eastAsia" w:eastAsia="仿宋_GB2312"/>
          <w:sz w:val="32"/>
          <w:szCs w:val="32"/>
        </w:rPr>
        <w:t>2023</w:t>
      </w:r>
      <w:r>
        <w:rPr>
          <w:rFonts w:eastAsia="仿宋_GB2312"/>
          <w:sz w:val="32"/>
          <w:szCs w:val="32"/>
        </w:rPr>
        <w:t>年年初预算机关运行经费(</w:t>
      </w:r>
      <w:r>
        <w:rPr>
          <w:rFonts w:hint="eastAsia" w:eastAsia="仿宋_GB2312"/>
          <w:sz w:val="32"/>
          <w:szCs w:val="32"/>
          <w:highlight w:val="none"/>
        </w:rPr>
        <w:t>公用类</w:t>
      </w:r>
      <w:r>
        <w:rPr>
          <w:rFonts w:eastAsia="仿宋_GB2312"/>
          <w:sz w:val="32"/>
          <w:szCs w:val="32"/>
          <w:highlight w:val="none"/>
        </w:rPr>
        <w:t>+</w:t>
      </w:r>
      <w:r>
        <w:rPr>
          <w:rFonts w:hint="eastAsia" w:eastAsia="仿宋_GB2312"/>
          <w:sz w:val="32"/>
          <w:szCs w:val="32"/>
          <w:highlight w:val="none"/>
        </w:rPr>
        <w:t>其他运转类</w:t>
      </w:r>
      <w:r>
        <w:rPr>
          <w:rFonts w:eastAsia="仿宋_GB2312"/>
          <w:sz w:val="32"/>
          <w:szCs w:val="32"/>
          <w:highlight w:val="none"/>
        </w:rPr>
        <w:t>)共安排</w:t>
      </w:r>
      <w:r>
        <w:rPr>
          <w:rFonts w:hint="eastAsia" w:eastAsia="仿宋_GB2312"/>
          <w:sz w:val="32"/>
          <w:szCs w:val="32"/>
          <w:highlight w:val="none"/>
        </w:rPr>
        <w:t>8.74</w:t>
      </w:r>
      <w:r>
        <w:rPr>
          <w:rFonts w:eastAsia="仿宋_GB2312"/>
          <w:sz w:val="32"/>
          <w:szCs w:val="32"/>
          <w:highlight w:val="none"/>
        </w:rPr>
        <w:t>万元</w:t>
      </w:r>
      <w:r>
        <w:rPr>
          <w:rFonts w:eastAsia="仿宋_GB2312"/>
          <w:sz w:val="32"/>
          <w:szCs w:val="32"/>
        </w:rPr>
        <w:t>，比上年度预算减少</w:t>
      </w:r>
      <w:r>
        <w:rPr>
          <w:rFonts w:hint="eastAsia" w:eastAsia="仿宋_GB2312"/>
          <w:sz w:val="32"/>
          <w:szCs w:val="32"/>
        </w:rPr>
        <w:t>0.69</w:t>
      </w:r>
      <w:r>
        <w:rPr>
          <w:rFonts w:eastAsia="仿宋_GB2312"/>
          <w:sz w:val="32"/>
          <w:szCs w:val="32"/>
        </w:rPr>
        <w:t>万元，减少的主要原因是：</w:t>
      </w:r>
      <w:r>
        <w:rPr>
          <w:rFonts w:hint="eastAsia" w:eastAsia="仿宋_GB2312"/>
          <w:sz w:val="32"/>
          <w:szCs w:val="32"/>
        </w:rPr>
        <w:t>人员</w:t>
      </w:r>
      <w:r>
        <w:rPr>
          <w:rFonts w:eastAsia="仿宋_GB2312"/>
          <w:sz w:val="32"/>
          <w:szCs w:val="32"/>
        </w:rPr>
        <w:t>减少。</w:t>
      </w:r>
    </w:p>
    <w:p w14:paraId="7CFE7557">
      <w:pPr>
        <w:keepNext w:val="0"/>
        <w:keepLines w:val="0"/>
        <w:pageBreakBefore w:val="0"/>
        <w:tabs>
          <w:tab w:val="left" w:pos="7560"/>
        </w:tabs>
        <w:kinsoku/>
        <w:wordWrap/>
        <w:overflowPunct/>
        <w:topLinePunct w:val="0"/>
        <w:autoSpaceDE/>
        <w:autoSpaceDN/>
        <w:bidi w:val="0"/>
        <w:adjustRightInd w:val="0"/>
        <w:snapToGrid w:val="0"/>
        <w:spacing w:line="560" w:lineRule="atLeast"/>
        <w:ind w:firstLine="640" w:firstLineChars="200"/>
        <w:jc w:val="left"/>
        <w:textAlignment w:val="auto"/>
        <w:rPr>
          <w:rFonts w:eastAsia="仿宋_GB2312"/>
          <w:sz w:val="32"/>
          <w:szCs w:val="32"/>
          <w:highlight w:val="yellow"/>
        </w:rPr>
      </w:pPr>
      <w:r>
        <w:rPr>
          <w:rFonts w:eastAsia="楷体_GB2312"/>
          <w:bCs/>
          <w:sz w:val="32"/>
          <w:szCs w:val="32"/>
        </w:rPr>
        <w:t>（二) 政府采购预算</w:t>
      </w:r>
      <w:r>
        <w:rPr>
          <w:rFonts w:hAnsi="华文楷体" w:eastAsia="华文楷体"/>
          <w:sz w:val="32"/>
          <w:szCs w:val="32"/>
        </w:rPr>
        <w:t>：</w:t>
      </w:r>
      <w:r>
        <w:rPr>
          <w:rFonts w:eastAsia="仿宋_GB2312"/>
          <w:sz w:val="32"/>
          <w:szCs w:val="32"/>
        </w:rPr>
        <w:t>本部门2023年年初预算数为</w:t>
      </w:r>
      <w:r>
        <w:rPr>
          <w:rFonts w:hint="eastAsia" w:eastAsia="仿宋_GB2312"/>
          <w:sz w:val="32"/>
          <w:szCs w:val="32"/>
          <w:highlight w:val="none"/>
        </w:rPr>
        <w:t>0.2</w:t>
      </w:r>
      <w:r>
        <w:rPr>
          <w:rFonts w:eastAsia="仿宋_GB2312"/>
          <w:sz w:val="32"/>
          <w:szCs w:val="32"/>
          <w:highlight w:val="none"/>
        </w:rPr>
        <w:t>万元。</w:t>
      </w:r>
      <w:r>
        <w:rPr>
          <w:rFonts w:hint="eastAsia" w:eastAsia="仿宋_GB2312"/>
          <w:color w:val="000000"/>
          <w:sz w:val="32"/>
          <w:szCs w:val="32"/>
          <w:highlight w:val="none"/>
        </w:rPr>
        <w:t>其中：政府采购货物支出</w:t>
      </w:r>
      <w:r>
        <w:rPr>
          <w:rFonts w:hint="eastAsia" w:eastAsia="仿宋_GB2312"/>
          <w:color w:val="000000"/>
          <w:sz w:val="32"/>
          <w:szCs w:val="32"/>
          <w:highlight w:val="none"/>
          <w:lang w:val="en-US" w:eastAsia="zh-CN"/>
        </w:rPr>
        <w:t>0.2</w:t>
      </w:r>
      <w:r>
        <w:rPr>
          <w:rFonts w:hint="eastAsia" w:eastAsia="仿宋_GB2312"/>
          <w:color w:val="000000"/>
          <w:sz w:val="32"/>
          <w:szCs w:val="32"/>
          <w:highlight w:val="none"/>
        </w:rPr>
        <w:t>万元</w:t>
      </w:r>
      <w:r>
        <w:rPr>
          <w:rFonts w:hint="eastAsia" w:eastAsia="仿宋_GB2312"/>
          <w:color w:val="000000"/>
          <w:sz w:val="32"/>
          <w:szCs w:val="32"/>
          <w:highlight w:val="none"/>
          <w:lang w:eastAsia="zh-CN"/>
        </w:rPr>
        <w:t>，</w:t>
      </w:r>
      <w:r>
        <w:rPr>
          <w:rFonts w:hint="eastAsia" w:eastAsia="仿宋_GB2312"/>
          <w:color w:val="000000"/>
          <w:sz w:val="32"/>
          <w:szCs w:val="32"/>
          <w:highlight w:val="none"/>
        </w:rPr>
        <w:t>政府采购工程支出</w:t>
      </w:r>
      <w:r>
        <w:rPr>
          <w:rFonts w:hint="eastAsia" w:eastAsia="仿宋_GB2312"/>
          <w:color w:val="000000"/>
          <w:sz w:val="32"/>
          <w:szCs w:val="32"/>
          <w:highlight w:val="none"/>
          <w:lang w:val="en-US" w:eastAsia="zh-CN"/>
        </w:rPr>
        <w:t>0</w:t>
      </w:r>
      <w:r>
        <w:rPr>
          <w:rFonts w:hint="eastAsia" w:eastAsia="仿宋_GB2312"/>
          <w:color w:val="000000"/>
          <w:sz w:val="32"/>
          <w:szCs w:val="32"/>
          <w:highlight w:val="none"/>
        </w:rPr>
        <w:t>万元</w:t>
      </w:r>
      <w:r>
        <w:rPr>
          <w:rFonts w:hint="eastAsia" w:eastAsia="仿宋_GB2312"/>
          <w:color w:val="000000"/>
          <w:sz w:val="32"/>
          <w:szCs w:val="32"/>
          <w:highlight w:val="none"/>
          <w:lang w:eastAsia="zh-CN"/>
        </w:rPr>
        <w:t>，</w:t>
      </w:r>
      <w:r>
        <w:rPr>
          <w:rFonts w:hint="eastAsia" w:eastAsia="仿宋_GB2312"/>
          <w:color w:val="000000"/>
          <w:sz w:val="32"/>
          <w:szCs w:val="32"/>
          <w:highlight w:val="none"/>
        </w:rPr>
        <w:t>政府采购服务支出</w:t>
      </w:r>
      <w:r>
        <w:rPr>
          <w:rFonts w:hint="eastAsia" w:eastAsia="仿宋_GB2312"/>
          <w:color w:val="000000"/>
          <w:sz w:val="32"/>
          <w:szCs w:val="32"/>
          <w:highlight w:val="none"/>
          <w:lang w:val="en-US" w:eastAsia="zh-CN"/>
        </w:rPr>
        <w:t>0</w:t>
      </w:r>
      <w:r>
        <w:rPr>
          <w:rFonts w:hint="eastAsia" w:eastAsia="仿宋_GB2312"/>
          <w:color w:val="000000"/>
          <w:sz w:val="32"/>
          <w:szCs w:val="32"/>
          <w:highlight w:val="none"/>
        </w:rPr>
        <w:t>万元。</w:t>
      </w:r>
    </w:p>
    <w:p w14:paraId="651A7D23">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（三）国有资产占有情况：</w:t>
      </w:r>
      <w:r>
        <w:rPr>
          <w:rFonts w:eastAsia="仿宋_GB2312"/>
          <w:sz w:val="32"/>
          <w:szCs w:val="32"/>
        </w:rPr>
        <w:t>截止20</w:t>
      </w:r>
      <w:r>
        <w:rPr>
          <w:rFonts w:hint="eastAsia" w:eastAsia="仿宋_GB2312"/>
          <w:sz w:val="32"/>
          <w:szCs w:val="32"/>
        </w:rPr>
        <w:t>22</w:t>
      </w:r>
      <w:r>
        <w:rPr>
          <w:rFonts w:eastAsia="仿宋_GB2312"/>
          <w:sz w:val="32"/>
          <w:szCs w:val="32"/>
        </w:rPr>
        <w:t>年12月31日，本部门共有办公及业务用房</w:t>
      </w:r>
      <w:r>
        <w:rPr>
          <w:rFonts w:hint="eastAsia" w:eastAsia="仿宋_GB2312"/>
          <w:sz w:val="32"/>
          <w:szCs w:val="32"/>
        </w:rPr>
        <w:t>0</w:t>
      </w:r>
      <w:r>
        <w:rPr>
          <w:rFonts w:eastAsia="仿宋_GB2312"/>
          <w:sz w:val="32"/>
          <w:szCs w:val="32"/>
        </w:rPr>
        <w:t>平方米；车辆</w:t>
      </w:r>
      <w:r>
        <w:rPr>
          <w:rFonts w:hint="eastAsia" w:eastAsia="仿宋_GB2312"/>
          <w:sz w:val="32"/>
          <w:szCs w:val="32"/>
        </w:rPr>
        <w:t>0</w:t>
      </w:r>
      <w:r>
        <w:rPr>
          <w:rFonts w:eastAsia="仿宋_GB2312"/>
          <w:sz w:val="32"/>
          <w:szCs w:val="32"/>
        </w:rPr>
        <w:t>辆，其中一般公务用车</w:t>
      </w:r>
      <w:r>
        <w:rPr>
          <w:rFonts w:hint="eastAsia" w:eastAsia="仿宋_GB2312"/>
          <w:sz w:val="32"/>
          <w:szCs w:val="32"/>
        </w:rPr>
        <w:t>0</w:t>
      </w:r>
      <w:r>
        <w:rPr>
          <w:rFonts w:eastAsia="仿宋_GB2312"/>
          <w:sz w:val="32"/>
          <w:szCs w:val="32"/>
        </w:rPr>
        <w:t>辆、一般执法执勤用车</w:t>
      </w:r>
      <w:r>
        <w:rPr>
          <w:rFonts w:hint="eastAsia" w:eastAsia="仿宋_GB2312"/>
          <w:sz w:val="32"/>
          <w:szCs w:val="32"/>
        </w:rPr>
        <w:t>0</w:t>
      </w:r>
      <w:r>
        <w:rPr>
          <w:rFonts w:eastAsia="仿宋_GB2312"/>
          <w:sz w:val="32"/>
          <w:szCs w:val="32"/>
        </w:rPr>
        <w:t>辆、货币化用车</w:t>
      </w:r>
      <w:r>
        <w:rPr>
          <w:rFonts w:hint="eastAsia" w:eastAsia="仿宋_GB2312"/>
          <w:sz w:val="32"/>
          <w:szCs w:val="32"/>
        </w:rPr>
        <w:t>0</w:t>
      </w:r>
      <w:r>
        <w:rPr>
          <w:rFonts w:eastAsia="仿宋_GB2312"/>
          <w:sz w:val="32"/>
          <w:szCs w:val="32"/>
        </w:rPr>
        <w:t>辆；单位价值200万以上大型设备</w:t>
      </w:r>
      <w:r>
        <w:rPr>
          <w:rFonts w:hint="eastAsia" w:eastAsia="仿宋_GB2312"/>
          <w:sz w:val="32"/>
          <w:szCs w:val="32"/>
        </w:rPr>
        <w:t>0</w:t>
      </w:r>
      <w:r>
        <w:rPr>
          <w:rFonts w:eastAsia="仿宋_GB2312"/>
          <w:sz w:val="32"/>
          <w:szCs w:val="32"/>
        </w:rPr>
        <w:t>套。20</w:t>
      </w:r>
      <w:r>
        <w:rPr>
          <w:rFonts w:hint="eastAsia" w:eastAsia="仿宋_GB2312"/>
          <w:sz w:val="32"/>
          <w:szCs w:val="32"/>
        </w:rPr>
        <w:t>23</w:t>
      </w:r>
      <w:r>
        <w:rPr>
          <w:rFonts w:eastAsia="仿宋_GB2312"/>
          <w:sz w:val="32"/>
          <w:szCs w:val="32"/>
        </w:rPr>
        <w:t>年部门预算安排购置车辆</w:t>
      </w:r>
      <w:r>
        <w:rPr>
          <w:rFonts w:hint="eastAsia" w:eastAsia="仿宋_GB2312"/>
          <w:sz w:val="32"/>
          <w:szCs w:val="32"/>
        </w:rPr>
        <w:t>0</w:t>
      </w:r>
      <w:r>
        <w:rPr>
          <w:rFonts w:eastAsia="仿宋_GB2312"/>
          <w:sz w:val="32"/>
          <w:szCs w:val="32"/>
        </w:rPr>
        <w:t>辆，预算安排购置价值200万以上大型设备</w:t>
      </w:r>
      <w:r>
        <w:rPr>
          <w:rFonts w:hint="eastAsia" w:eastAsia="仿宋_GB2312"/>
          <w:sz w:val="32"/>
          <w:szCs w:val="32"/>
        </w:rPr>
        <w:t>0</w:t>
      </w:r>
      <w:r>
        <w:rPr>
          <w:rFonts w:eastAsia="仿宋_GB2312"/>
          <w:sz w:val="32"/>
          <w:szCs w:val="32"/>
        </w:rPr>
        <w:t>套。</w:t>
      </w:r>
    </w:p>
    <w:p w14:paraId="407CDACF">
      <w:pPr>
        <w:tabs>
          <w:tab w:val="left" w:pos="7560"/>
        </w:tabs>
        <w:adjustRightInd w:val="0"/>
        <w:snapToGrid w:val="0"/>
        <w:spacing w:line="560" w:lineRule="exact"/>
        <w:ind w:firstLine="640" w:firstLineChars="200"/>
        <w:rPr>
          <w:rFonts w:eastAsia="仿宋_GB2312"/>
          <w:b/>
          <w:bCs/>
          <w:sz w:val="32"/>
          <w:szCs w:val="32"/>
        </w:rPr>
      </w:pPr>
      <w:r>
        <w:rPr>
          <w:rFonts w:eastAsia="楷体_GB2312"/>
          <w:bCs/>
          <w:sz w:val="32"/>
          <w:szCs w:val="32"/>
        </w:rPr>
        <w:t>（四）重点项目预算的绩效目标等情况：</w:t>
      </w:r>
      <w:r>
        <w:rPr>
          <w:rFonts w:eastAsia="仿宋_GB2312"/>
          <w:sz w:val="32"/>
          <w:szCs w:val="32"/>
        </w:rPr>
        <w:t>本部门整体支出和项目支出实行绩效目标管理，纳入20</w:t>
      </w:r>
      <w:r>
        <w:rPr>
          <w:rFonts w:hint="eastAsia" w:eastAsia="仿宋_GB2312"/>
          <w:sz w:val="32"/>
          <w:szCs w:val="32"/>
        </w:rPr>
        <w:t>23</w:t>
      </w:r>
      <w:r>
        <w:rPr>
          <w:rFonts w:eastAsia="仿宋_GB2312"/>
          <w:sz w:val="32"/>
          <w:szCs w:val="32"/>
        </w:rPr>
        <w:t>年部门整体支出绩效目标的金额为</w:t>
      </w:r>
      <w:r>
        <w:rPr>
          <w:rFonts w:hint="eastAsia" w:eastAsia="仿宋_GB2312"/>
          <w:sz w:val="32"/>
          <w:szCs w:val="32"/>
        </w:rPr>
        <w:t>19.26</w:t>
      </w:r>
      <w:r>
        <w:rPr>
          <w:rFonts w:eastAsia="仿宋_GB2312"/>
          <w:sz w:val="32"/>
          <w:szCs w:val="32"/>
        </w:rPr>
        <w:t>万元，其中，基本支出</w:t>
      </w:r>
      <w:r>
        <w:rPr>
          <w:rFonts w:hint="eastAsia" w:eastAsia="仿宋_GB2312"/>
          <w:sz w:val="32"/>
          <w:szCs w:val="32"/>
          <w:lang w:val="en-US" w:eastAsia="zh-CN"/>
        </w:rPr>
        <w:t>11.26</w:t>
      </w:r>
      <w:r>
        <w:rPr>
          <w:rFonts w:eastAsia="仿宋_GB2312"/>
          <w:sz w:val="32"/>
          <w:szCs w:val="32"/>
        </w:rPr>
        <w:t xml:space="preserve"> 万元</w:t>
      </w:r>
      <w:r>
        <w:rPr>
          <w:rFonts w:hint="eastAsia" w:eastAsia="仿宋_GB2312"/>
          <w:sz w:val="32"/>
          <w:szCs w:val="32"/>
          <w:lang w:eastAsia="zh-CN"/>
        </w:rPr>
        <w:t>，</w:t>
      </w:r>
      <w:r>
        <w:rPr>
          <w:rFonts w:eastAsia="仿宋_GB2312"/>
          <w:sz w:val="32"/>
          <w:szCs w:val="32"/>
        </w:rPr>
        <w:t>项目支出</w:t>
      </w:r>
      <w:r>
        <w:rPr>
          <w:rFonts w:hint="eastAsia" w:eastAsia="仿宋_GB2312"/>
          <w:sz w:val="32"/>
          <w:szCs w:val="32"/>
          <w:lang w:val="en-US" w:eastAsia="zh-CN"/>
        </w:rPr>
        <w:t>8</w:t>
      </w:r>
      <w:r>
        <w:rPr>
          <w:rFonts w:eastAsia="仿宋_GB2312"/>
          <w:sz w:val="32"/>
          <w:szCs w:val="32"/>
        </w:rPr>
        <w:t>万元。 </w:t>
      </w:r>
    </w:p>
    <w:p w14:paraId="7140E72E">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（五）一般公共预算“三公”经费情况：</w:t>
      </w:r>
      <w:r>
        <w:rPr>
          <w:rFonts w:eastAsia="仿宋_GB2312"/>
          <w:sz w:val="32"/>
          <w:szCs w:val="32"/>
        </w:rPr>
        <w:t xml:space="preserve"> 2023年“三公”经费预算数</w:t>
      </w:r>
      <w:r>
        <w:rPr>
          <w:rFonts w:hint="eastAsia" w:eastAsia="仿宋_GB2312"/>
          <w:sz w:val="32"/>
          <w:szCs w:val="32"/>
          <w:lang w:val="en-US" w:eastAsia="zh-CN"/>
        </w:rPr>
        <w:t>0</w:t>
      </w:r>
      <w:r>
        <w:rPr>
          <w:rFonts w:eastAsia="仿宋_GB2312"/>
          <w:sz w:val="32"/>
          <w:szCs w:val="32"/>
        </w:rPr>
        <w:t>万元，其中：</w:t>
      </w:r>
      <w:r>
        <w:rPr>
          <w:rFonts w:hint="eastAsia" w:eastAsia="仿宋_GB2312"/>
          <w:sz w:val="32"/>
          <w:szCs w:val="32"/>
        </w:rPr>
        <w:t>“因公出国（境）费”0万元、“公务用车购置及运行费”0万元（公务用车购置费0万元、公务用车运行费0万元）、</w:t>
      </w:r>
      <w:r>
        <w:rPr>
          <w:rFonts w:eastAsia="仿宋_GB2312"/>
          <w:sz w:val="32"/>
          <w:szCs w:val="32"/>
        </w:rPr>
        <w:t>“公务接待费”</w:t>
      </w:r>
      <w:r>
        <w:rPr>
          <w:rFonts w:hint="eastAsia" w:eastAsia="仿宋_GB2312"/>
          <w:sz w:val="32"/>
          <w:szCs w:val="32"/>
          <w:lang w:val="en-US" w:eastAsia="zh-CN"/>
        </w:rPr>
        <w:t>0</w:t>
      </w:r>
      <w:r>
        <w:rPr>
          <w:rFonts w:eastAsia="仿宋_GB2312"/>
          <w:sz w:val="32"/>
          <w:szCs w:val="32"/>
        </w:rPr>
        <w:t>万元。</w:t>
      </w:r>
    </w:p>
    <w:p w14:paraId="6A33F1FC">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年“三公”经费预算数比2022年增加减少</w:t>
      </w:r>
      <w:r>
        <w:rPr>
          <w:rFonts w:hint="eastAsia" w:eastAsia="仿宋_GB2312"/>
          <w:sz w:val="32"/>
          <w:szCs w:val="32"/>
          <w:highlight w:val="none"/>
        </w:rPr>
        <w:t>0.01</w:t>
      </w:r>
      <w:r>
        <w:rPr>
          <w:rFonts w:eastAsia="仿宋_GB2312"/>
          <w:sz w:val="32"/>
          <w:szCs w:val="32"/>
          <w:highlight w:val="none"/>
        </w:rPr>
        <w:t>万元，主要是因为</w:t>
      </w:r>
      <w:r>
        <w:rPr>
          <w:rFonts w:hint="eastAsia" w:eastAsia="仿宋_GB2312"/>
          <w:sz w:val="32"/>
          <w:szCs w:val="32"/>
          <w:highlight w:val="none"/>
        </w:rPr>
        <w:t>压缩</w:t>
      </w:r>
      <w:r>
        <w:rPr>
          <w:rFonts w:eastAsia="仿宋_GB2312"/>
          <w:sz w:val="32"/>
          <w:szCs w:val="32"/>
          <w:highlight w:val="none"/>
        </w:rPr>
        <w:t>三公经费开支。</w:t>
      </w:r>
    </w:p>
    <w:p w14:paraId="5869B3B1">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（六）会议费、培训费预算：</w:t>
      </w:r>
    </w:p>
    <w:p w14:paraId="524573CD">
      <w:pPr>
        <w:tabs>
          <w:tab w:val="left" w:pos="7560"/>
        </w:tabs>
        <w:adjustRightInd w:val="0"/>
        <w:snapToGrid w:val="0"/>
        <w:spacing w:line="560" w:lineRule="exact"/>
        <w:ind w:firstLine="640" w:firstLineChars="200"/>
        <w:rPr>
          <w:rFonts w:eastAsia="仿宋_GB2312"/>
          <w:color w:val="FF0000"/>
          <w:sz w:val="32"/>
          <w:szCs w:val="32"/>
          <w:highlight w:val="none"/>
        </w:rPr>
      </w:pP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年预算安排会议费</w:t>
      </w:r>
      <w:r>
        <w:rPr>
          <w:rFonts w:hint="eastAsia" w:eastAsia="仿宋_GB2312"/>
          <w:sz w:val="32"/>
          <w:szCs w:val="32"/>
          <w:highlight w:val="none"/>
        </w:rPr>
        <w:t>0</w:t>
      </w:r>
      <w:r>
        <w:rPr>
          <w:rFonts w:eastAsia="仿宋_GB2312"/>
          <w:sz w:val="32"/>
          <w:szCs w:val="32"/>
          <w:highlight w:val="none"/>
        </w:rPr>
        <w:t>万元。</w:t>
      </w:r>
      <w:bookmarkStart w:id="0" w:name="_GoBack"/>
      <w:bookmarkEnd w:id="0"/>
    </w:p>
    <w:p w14:paraId="5CD6E4B3">
      <w:pPr>
        <w:tabs>
          <w:tab w:val="left" w:pos="7560"/>
        </w:tabs>
        <w:adjustRightInd w:val="0"/>
        <w:snapToGrid w:val="0"/>
        <w:spacing w:line="560" w:lineRule="exact"/>
        <w:ind w:firstLine="640" w:firstLineChars="200"/>
        <w:rPr>
          <w:rFonts w:hint="eastAsia"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年预算安排培训费</w:t>
      </w:r>
      <w:r>
        <w:rPr>
          <w:rFonts w:hint="eastAsia" w:eastAsia="仿宋_GB2312"/>
          <w:sz w:val="32"/>
          <w:szCs w:val="32"/>
          <w:highlight w:val="none"/>
        </w:rPr>
        <w:t>0</w:t>
      </w:r>
      <w:r>
        <w:rPr>
          <w:rFonts w:eastAsia="仿宋_GB2312"/>
          <w:sz w:val="32"/>
          <w:szCs w:val="32"/>
          <w:highlight w:val="none"/>
        </w:rPr>
        <w:t>万元</w:t>
      </w:r>
      <w:r>
        <w:rPr>
          <w:rFonts w:hint="eastAsia" w:eastAsia="仿宋_GB2312"/>
          <w:sz w:val="32"/>
          <w:szCs w:val="32"/>
          <w:highlight w:val="none"/>
        </w:rPr>
        <w:t>。</w:t>
      </w:r>
    </w:p>
    <w:p w14:paraId="7995A5B0">
      <w:pPr>
        <w:ind w:firstLine="640" w:firstLineChars="200"/>
      </w:pPr>
      <w:r>
        <w:rPr>
          <w:rFonts w:hint="eastAsia" w:ascii="Times New Roman" w:hAnsi="Times New Roman" w:eastAsia="仿宋_GB2312" w:cs="Times New Roman"/>
          <w:sz w:val="32"/>
          <w:szCs w:val="32"/>
          <w:lang w:val="en-US" w:eastAsia="zh-CN"/>
        </w:rPr>
        <w:t>未计划举办节庆、晚会、论坛、赛事活动。</w:t>
      </w:r>
    </w:p>
    <w:p w14:paraId="4DB5B349">
      <w:pPr>
        <w:tabs>
          <w:tab w:val="left" w:pos="7560"/>
        </w:tabs>
        <w:adjustRightInd w:val="0"/>
        <w:snapToGrid w:val="0"/>
        <w:spacing w:line="560" w:lineRule="exact"/>
        <w:ind w:firstLine="640" w:firstLineChars="200"/>
        <w:rPr>
          <w:rFonts w:hint="eastAsia" w:eastAsia="楷体_GB2312"/>
          <w:bCs/>
          <w:sz w:val="32"/>
          <w:szCs w:val="32"/>
        </w:rPr>
      </w:pPr>
      <w:r>
        <w:rPr>
          <w:rFonts w:eastAsia="楷体_GB2312"/>
          <w:bCs/>
          <w:sz w:val="32"/>
          <w:szCs w:val="32"/>
        </w:rPr>
        <w:t>（七）其他事项。</w:t>
      </w:r>
    </w:p>
    <w:p w14:paraId="16AA6C11">
      <w:pPr>
        <w:widowControl/>
        <w:shd w:val="clear" w:color="auto" w:fill="FFFFFF"/>
        <w:spacing w:line="560" w:lineRule="exact"/>
        <w:ind w:firstLine="627"/>
        <w:rPr>
          <w:rFonts w:eastAsia="仿宋_GB2312"/>
          <w:color w:val="000000"/>
          <w:kern w:val="0"/>
          <w:sz w:val="32"/>
          <w:szCs w:val="32"/>
        </w:rPr>
      </w:pPr>
      <w:r>
        <w:rPr>
          <w:rFonts w:eastAsia="仿宋_GB2312"/>
          <w:color w:val="000000"/>
          <w:kern w:val="0"/>
          <w:sz w:val="32"/>
          <w:szCs w:val="32"/>
        </w:rPr>
        <w:t>本单位202</w:t>
      </w:r>
      <w:r>
        <w:rPr>
          <w:rFonts w:hint="eastAsia" w:eastAsia="仿宋_GB2312"/>
          <w:color w:val="000000"/>
          <w:kern w:val="0"/>
          <w:sz w:val="32"/>
          <w:szCs w:val="32"/>
        </w:rPr>
        <w:t>3</w:t>
      </w:r>
      <w:r>
        <w:rPr>
          <w:rFonts w:eastAsia="仿宋_GB2312"/>
          <w:color w:val="000000"/>
          <w:kern w:val="0"/>
          <w:sz w:val="32"/>
          <w:szCs w:val="32"/>
        </w:rPr>
        <w:t>年预算未安排政府性基金预算、国有资本经营预算、</w:t>
      </w:r>
      <w:r>
        <w:rPr>
          <w:rFonts w:hint="eastAsia" w:eastAsia="仿宋_GB2312"/>
          <w:color w:val="000000"/>
          <w:kern w:val="0"/>
          <w:sz w:val="32"/>
          <w:szCs w:val="32"/>
        </w:rPr>
        <w:t>财政</w:t>
      </w:r>
      <w:r>
        <w:rPr>
          <w:rFonts w:eastAsia="仿宋_GB2312"/>
          <w:color w:val="000000"/>
          <w:kern w:val="0"/>
          <w:sz w:val="32"/>
          <w:szCs w:val="32"/>
        </w:rPr>
        <w:t>专户管理</w:t>
      </w:r>
      <w:r>
        <w:rPr>
          <w:rFonts w:hint="eastAsia" w:eastAsia="仿宋_GB2312"/>
          <w:color w:val="000000"/>
          <w:kern w:val="0"/>
          <w:sz w:val="32"/>
          <w:szCs w:val="32"/>
        </w:rPr>
        <w:t>资金</w:t>
      </w:r>
      <w:r>
        <w:rPr>
          <w:rFonts w:eastAsia="仿宋_GB2312"/>
          <w:color w:val="000000"/>
          <w:kern w:val="0"/>
          <w:sz w:val="32"/>
          <w:szCs w:val="32"/>
        </w:rPr>
        <w:t>、专项资金预算。</w:t>
      </w:r>
    </w:p>
    <w:p w14:paraId="4AA3FB35">
      <w:pPr>
        <w:widowControl/>
        <w:shd w:val="clear" w:color="auto" w:fill="FFFFFF"/>
        <w:spacing w:line="560" w:lineRule="exact"/>
        <w:ind w:firstLine="627"/>
        <w:rPr>
          <w:rFonts w:hint="eastAsia" w:eastAsia="仿宋_GB2312"/>
          <w:color w:val="000000"/>
          <w:kern w:val="0"/>
          <w:sz w:val="32"/>
          <w:szCs w:val="32"/>
        </w:rPr>
      </w:pPr>
      <w:r>
        <w:rPr>
          <w:rFonts w:eastAsia="仿宋_GB2312"/>
          <w:color w:val="000000"/>
          <w:kern w:val="0"/>
          <w:sz w:val="32"/>
          <w:szCs w:val="32"/>
        </w:rPr>
        <w:t>本单位无门户网站</w:t>
      </w:r>
      <w:r>
        <w:rPr>
          <w:rFonts w:hint="eastAsia" w:eastAsia="仿宋_GB2312"/>
          <w:color w:val="000000"/>
          <w:kern w:val="0"/>
          <w:sz w:val="32"/>
          <w:szCs w:val="32"/>
        </w:rPr>
        <w:t>，在政府门户网站上统一公开</w:t>
      </w:r>
      <w:r>
        <w:rPr>
          <w:rFonts w:eastAsia="仿宋_GB2312"/>
          <w:color w:val="000000"/>
          <w:kern w:val="0"/>
          <w:sz w:val="32"/>
          <w:szCs w:val="32"/>
        </w:rPr>
        <w:t>。</w:t>
      </w:r>
    </w:p>
    <w:p w14:paraId="5B53C69B">
      <w:pPr>
        <w:tabs>
          <w:tab w:val="left" w:pos="7560"/>
        </w:tabs>
        <w:adjustRightInd w:val="0"/>
        <w:snapToGrid w:val="0"/>
        <w:spacing w:line="560" w:lineRule="exact"/>
        <w:ind w:firstLine="640" w:firstLineChars="200"/>
        <w:rPr>
          <w:rFonts w:eastAsia="黑体"/>
          <w:bCs/>
          <w:sz w:val="32"/>
          <w:szCs w:val="32"/>
        </w:rPr>
      </w:pPr>
      <w:r>
        <w:rPr>
          <w:rFonts w:hAnsi="黑体" w:eastAsia="黑体"/>
          <w:bCs/>
          <w:sz w:val="32"/>
          <w:szCs w:val="32"/>
        </w:rPr>
        <w:t>八、名词解释</w:t>
      </w:r>
    </w:p>
    <w:p w14:paraId="602ACC2A">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（一）一般公共预算: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3F85A24D">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（二）政府性基金预算: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317FF420">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（三）国有资本经营预算: </w:t>
      </w:r>
      <w:r>
        <w:rPr>
          <w:rFonts w:eastAsia="仿宋_GB2312"/>
          <w:sz w:val="32"/>
          <w:szCs w:val="32"/>
        </w:rPr>
        <w:t>是对国有资本收益作出支出安排的收支预算。应当按照收支平衡的原则编制，不列赤字，并安排资金调入一般公共预算。</w:t>
      </w:r>
    </w:p>
    <w:p w14:paraId="23777D44">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（四）社会保险基金预算: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14:paraId="40FF5825">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（五）“三公”经费：</w:t>
      </w:r>
      <w:r>
        <w:rPr>
          <w:rFonts w:eastAsia="仿宋_GB2312"/>
          <w:sz w:val="32"/>
          <w:szCs w:val="32"/>
        </w:rPr>
        <w:t>是指商品和服务支出中的因公出国（境）费用、公务用车购置及运行维护费和公务接待费。</w:t>
      </w:r>
    </w:p>
    <w:p w14:paraId="3DB10596">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（六）机关运行经费：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735C22B3">
      <w:pPr>
        <w:tabs>
          <w:tab w:val="left" w:pos="7560"/>
        </w:tabs>
        <w:adjustRightInd w:val="0"/>
        <w:snapToGrid w:val="0"/>
        <w:spacing w:line="560" w:lineRule="exact"/>
        <w:ind w:firstLine="640" w:firstLineChars="200"/>
        <w:rPr>
          <w:rFonts w:eastAsia="仿宋_GB2312"/>
          <w:sz w:val="32"/>
          <w:szCs w:val="32"/>
        </w:rPr>
      </w:pPr>
    </w:p>
    <w:sectPr>
      <w:headerReference r:id="rId3" w:type="default"/>
      <w:footerReference r:id="rId4" w:type="default"/>
      <w:footerReference r:id="rId5" w:type="even"/>
      <w:pgSz w:w="11906" w:h="16838"/>
      <w:pgMar w:top="1814" w:right="1531" w:bottom="1616"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经典黑体简">
    <w:altName w:val="黑体"/>
    <w:panose1 w:val="00000000000000000000"/>
    <w:charset w:val="86"/>
    <w:family w:val="auto"/>
    <w:pitch w:val="default"/>
    <w:sig w:usb0="00000000" w:usb1="00000000" w:usb2="0000001E" w:usb3="00000000" w:csb0="2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050FB">
    <w:pPr>
      <w:pStyle w:val="11"/>
      <w:framePr w:wrap="around" w:vAnchor="text" w:hAnchor="margin" w:xAlign="outside" w:y="1"/>
      <w:rPr>
        <w:rStyle w:val="15"/>
        <w:rFonts w:hint="eastAsia" w:ascii="宋体"/>
        <w:sz w:val="28"/>
        <w:szCs w:val="28"/>
      </w:rPr>
    </w:pPr>
    <w:r>
      <w:rPr>
        <w:rStyle w:val="15"/>
        <w:rFonts w:hint="eastAsia" w:ascii="宋体"/>
        <w:color w:val="FFFFFF"/>
        <w:sz w:val="28"/>
        <w:szCs w:val="28"/>
      </w:rPr>
      <w:t>—</w:t>
    </w:r>
    <w:r>
      <w:rPr>
        <w:rStyle w:val="15"/>
        <w:rFonts w:hint="eastAsia" w:ascii="宋体"/>
        <w:sz w:val="28"/>
        <w:szCs w:val="28"/>
      </w:rPr>
      <w:t xml:space="preserve">— </w:t>
    </w:r>
    <w:r>
      <w:rPr>
        <w:rFonts w:hint="eastAsia" w:ascii="宋体"/>
        <w:sz w:val="28"/>
        <w:szCs w:val="28"/>
      </w:rPr>
      <w:fldChar w:fldCharType="begin"/>
    </w:r>
    <w:r>
      <w:rPr>
        <w:rStyle w:val="15"/>
        <w:rFonts w:hint="eastAsia" w:ascii="宋体"/>
        <w:sz w:val="28"/>
        <w:szCs w:val="28"/>
      </w:rPr>
      <w:instrText xml:space="preserve">PAGE  </w:instrText>
    </w:r>
    <w:r>
      <w:rPr>
        <w:rFonts w:hint="eastAsia" w:ascii="宋体"/>
        <w:sz w:val="28"/>
        <w:szCs w:val="28"/>
      </w:rPr>
      <w:fldChar w:fldCharType="separate"/>
    </w:r>
    <w:r>
      <w:rPr>
        <w:rStyle w:val="15"/>
        <w:rFonts w:ascii="宋体"/>
        <w:sz w:val="28"/>
        <w:szCs w:val="28"/>
      </w:rPr>
      <w:t>8</w:t>
    </w:r>
    <w:r>
      <w:rPr>
        <w:rFonts w:hint="eastAsia" w:ascii="宋体"/>
        <w:sz w:val="28"/>
        <w:szCs w:val="28"/>
      </w:rPr>
      <w:fldChar w:fldCharType="end"/>
    </w:r>
    <w:r>
      <w:rPr>
        <w:rStyle w:val="15"/>
        <w:rFonts w:hint="eastAsia" w:ascii="宋体"/>
        <w:sz w:val="28"/>
        <w:szCs w:val="28"/>
      </w:rPr>
      <w:t xml:space="preserve"> —</w:t>
    </w:r>
    <w:r>
      <w:rPr>
        <w:rStyle w:val="15"/>
        <w:rFonts w:hint="eastAsia" w:ascii="宋体"/>
        <w:color w:val="FFFFFF"/>
        <w:sz w:val="28"/>
        <w:szCs w:val="28"/>
      </w:rPr>
      <w:t>—</w:t>
    </w:r>
  </w:p>
  <w:p w14:paraId="66B78886">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05D3">
    <w:pPr>
      <w:pStyle w:val="11"/>
      <w:framePr w:wrap="around" w:vAnchor="text" w:hAnchor="margin" w:xAlign="outside" w:y="1"/>
      <w:rPr>
        <w:rStyle w:val="15"/>
      </w:rPr>
    </w:pPr>
    <w:r>
      <w:fldChar w:fldCharType="begin"/>
    </w:r>
    <w:r>
      <w:rPr>
        <w:rStyle w:val="15"/>
      </w:rPr>
      <w:instrText xml:space="preserve">PAGE  </w:instrText>
    </w:r>
    <w:r>
      <w:fldChar w:fldCharType="separate"/>
    </w:r>
    <w:r>
      <w:rPr>
        <w:rStyle w:val="15"/>
      </w:rPr>
      <w:t xml:space="preserve"> </w:t>
    </w:r>
    <w:r>
      <w:fldChar w:fldCharType="end"/>
    </w:r>
  </w:p>
  <w:p w14:paraId="1F037AD2">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776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42798"/>
    <w:multiLevelType w:val="singleLevel"/>
    <w:tmpl w:val="52742798"/>
    <w:lvl w:ilvl="0" w:tentative="0">
      <w:start w:val="1"/>
      <w:numFmt w:val="decimal"/>
      <w:suff w:val="nothing"/>
      <w:lvlText w:val="%1、"/>
      <w:lvlJc w:val="left"/>
    </w:lvl>
  </w:abstractNum>
  <w:abstractNum w:abstractNumId="1">
    <w:nsid w:val="609387F8"/>
    <w:multiLevelType w:val="singleLevel"/>
    <w:tmpl w:val="609387F8"/>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597"/>
  <w:displayHorizontalDrawingGridEvery w:val="2"/>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MDY5NTAwNGYzYTAzNTAzYjUzYmYzYjU2ZmYzNWUifQ=="/>
  </w:docVars>
  <w:rsids>
    <w:rsidRoot w:val="002E2B1B"/>
    <w:rsid w:val="0000195D"/>
    <w:rsid w:val="00010812"/>
    <w:rsid w:val="00030000"/>
    <w:rsid w:val="00031DF4"/>
    <w:rsid w:val="00037F1B"/>
    <w:rsid w:val="0004493F"/>
    <w:rsid w:val="00066A5A"/>
    <w:rsid w:val="0008151E"/>
    <w:rsid w:val="000D06F4"/>
    <w:rsid w:val="000D45A1"/>
    <w:rsid w:val="00113607"/>
    <w:rsid w:val="0013739C"/>
    <w:rsid w:val="001457D5"/>
    <w:rsid w:val="001772EC"/>
    <w:rsid w:val="001A089A"/>
    <w:rsid w:val="001D3B4D"/>
    <w:rsid w:val="001F5ACF"/>
    <w:rsid w:val="00206F1B"/>
    <w:rsid w:val="0022719A"/>
    <w:rsid w:val="00231C79"/>
    <w:rsid w:val="002370E4"/>
    <w:rsid w:val="002466AF"/>
    <w:rsid w:val="00260D91"/>
    <w:rsid w:val="00265785"/>
    <w:rsid w:val="002714D1"/>
    <w:rsid w:val="002A26A6"/>
    <w:rsid w:val="002C3689"/>
    <w:rsid w:val="002D3CE8"/>
    <w:rsid w:val="002F4A96"/>
    <w:rsid w:val="002F7AA3"/>
    <w:rsid w:val="003501B5"/>
    <w:rsid w:val="003504E8"/>
    <w:rsid w:val="00363614"/>
    <w:rsid w:val="00373BE7"/>
    <w:rsid w:val="003A1BB9"/>
    <w:rsid w:val="003C2973"/>
    <w:rsid w:val="00401FB6"/>
    <w:rsid w:val="00430A9C"/>
    <w:rsid w:val="00433ED6"/>
    <w:rsid w:val="00435B70"/>
    <w:rsid w:val="00442305"/>
    <w:rsid w:val="00445518"/>
    <w:rsid w:val="0045726B"/>
    <w:rsid w:val="004670F6"/>
    <w:rsid w:val="00474F5A"/>
    <w:rsid w:val="004A19BD"/>
    <w:rsid w:val="004D786C"/>
    <w:rsid w:val="00500044"/>
    <w:rsid w:val="005010F2"/>
    <w:rsid w:val="005039CF"/>
    <w:rsid w:val="00503F68"/>
    <w:rsid w:val="005132D3"/>
    <w:rsid w:val="00545762"/>
    <w:rsid w:val="005534D4"/>
    <w:rsid w:val="005642F6"/>
    <w:rsid w:val="00567389"/>
    <w:rsid w:val="00570537"/>
    <w:rsid w:val="005E5CA5"/>
    <w:rsid w:val="00607E1C"/>
    <w:rsid w:val="00610DF9"/>
    <w:rsid w:val="006169B1"/>
    <w:rsid w:val="006403BA"/>
    <w:rsid w:val="00644971"/>
    <w:rsid w:val="00650E5E"/>
    <w:rsid w:val="006B7038"/>
    <w:rsid w:val="006C039F"/>
    <w:rsid w:val="006E40CD"/>
    <w:rsid w:val="006E6B10"/>
    <w:rsid w:val="006F4B30"/>
    <w:rsid w:val="0070081C"/>
    <w:rsid w:val="00705275"/>
    <w:rsid w:val="00720A77"/>
    <w:rsid w:val="00724ADC"/>
    <w:rsid w:val="007257DA"/>
    <w:rsid w:val="00732E06"/>
    <w:rsid w:val="007A25E3"/>
    <w:rsid w:val="007C73B3"/>
    <w:rsid w:val="007E1371"/>
    <w:rsid w:val="007E32B0"/>
    <w:rsid w:val="007F1129"/>
    <w:rsid w:val="008B57F4"/>
    <w:rsid w:val="008C209B"/>
    <w:rsid w:val="008E5844"/>
    <w:rsid w:val="008F6F39"/>
    <w:rsid w:val="0090015B"/>
    <w:rsid w:val="00921151"/>
    <w:rsid w:val="00964BEA"/>
    <w:rsid w:val="009B79D0"/>
    <w:rsid w:val="009E3264"/>
    <w:rsid w:val="009E7A80"/>
    <w:rsid w:val="009F6947"/>
    <w:rsid w:val="00A00F31"/>
    <w:rsid w:val="00A01ED1"/>
    <w:rsid w:val="00A31AFB"/>
    <w:rsid w:val="00A60651"/>
    <w:rsid w:val="00AA17FE"/>
    <w:rsid w:val="00AE4D18"/>
    <w:rsid w:val="00AE7532"/>
    <w:rsid w:val="00AF5641"/>
    <w:rsid w:val="00B10628"/>
    <w:rsid w:val="00B23E06"/>
    <w:rsid w:val="00B52BE1"/>
    <w:rsid w:val="00B8481D"/>
    <w:rsid w:val="00BB5CCB"/>
    <w:rsid w:val="00BC1507"/>
    <w:rsid w:val="00BD6687"/>
    <w:rsid w:val="00BE3036"/>
    <w:rsid w:val="00C16E6F"/>
    <w:rsid w:val="00C351AF"/>
    <w:rsid w:val="00C759D0"/>
    <w:rsid w:val="00C810D3"/>
    <w:rsid w:val="00CA61A9"/>
    <w:rsid w:val="00CE7D68"/>
    <w:rsid w:val="00CF238D"/>
    <w:rsid w:val="00D11D99"/>
    <w:rsid w:val="00D2296D"/>
    <w:rsid w:val="00D22A06"/>
    <w:rsid w:val="00D41F38"/>
    <w:rsid w:val="00D72B4C"/>
    <w:rsid w:val="00DA3F1E"/>
    <w:rsid w:val="00DA73AF"/>
    <w:rsid w:val="00DC3353"/>
    <w:rsid w:val="00DC3EE3"/>
    <w:rsid w:val="00DE4E80"/>
    <w:rsid w:val="00E15E55"/>
    <w:rsid w:val="00E471F8"/>
    <w:rsid w:val="00E526F2"/>
    <w:rsid w:val="00E62B3D"/>
    <w:rsid w:val="00E70DF0"/>
    <w:rsid w:val="00E848C8"/>
    <w:rsid w:val="00E85D67"/>
    <w:rsid w:val="00EA4C52"/>
    <w:rsid w:val="00EC7158"/>
    <w:rsid w:val="00ED1218"/>
    <w:rsid w:val="00EF3194"/>
    <w:rsid w:val="00F9083D"/>
    <w:rsid w:val="00FA3895"/>
    <w:rsid w:val="00FB5286"/>
    <w:rsid w:val="00FB7A2D"/>
    <w:rsid w:val="01046419"/>
    <w:rsid w:val="020D6941"/>
    <w:rsid w:val="09D67B51"/>
    <w:rsid w:val="0EF83E74"/>
    <w:rsid w:val="132A6BCB"/>
    <w:rsid w:val="13947AD3"/>
    <w:rsid w:val="14A53EBC"/>
    <w:rsid w:val="158A2658"/>
    <w:rsid w:val="16B14386"/>
    <w:rsid w:val="1871248E"/>
    <w:rsid w:val="1AFD5B77"/>
    <w:rsid w:val="1C1C77F0"/>
    <w:rsid w:val="1D35335A"/>
    <w:rsid w:val="1D7F02EE"/>
    <w:rsid w:val="1D8F3C53"/>
    <w:rsid w:val="1E5932A8"/>
    <w:rsid w:val="2165505F"/>
    <w:rsid w:val="24227894"/>
    <w:rsid w:val="250767F5"/>
    <w:rsid w:val="2BA030C2"/>
    <w:rsid w:val="2BD433D6"/>
    <w:rsid w:val="326E598B"/>
    <w:rsid w:val="327D111C"/>
    <w:rsid w:val="32A9256B"/>
    <w:rsid w:val="32AE6AA0"/>
    <w:rsid w:val="3330097C"/>
    <w:rsid w:val="35103416"/>
    <w:rsid w:val="36952654"/>
    <w:rsid w:val="36BB1984"/>
    <w:rsid w:val="37DA1C37"/>
    <w:rsid w:val="39897C3B"/>
    <w:rsid w:val="39E529B5"/>
    <w:rsid w:val="3A5510BC"/>
    <w:rsid w:val="3A55415D"/>
    <w:rsid w:val="3A7A1A5F"/>
    <w:rsid w:val="3A974F92"/>
    <w:rsid w:val="3CF864FD"/>
    <w:rsid w:val="3D823F0E"/>
    <w:rsid w:val="3E1C4D32"/>
    <w:rsid w:val="40426D63"/>
    <w:rsid w:val="4060496F"/>
    <w:rsid w:val="42C4798B"/>
    <w:rsid w:val="4496707C"/>
    <w:rsid w:val="4A41671B"/>
    <w:rsid w:val="4BAD15EE"/>
    <w:rsid w:val="4C1F1C7B"/>
    <w:rsid w:val="4CF55F1E"/>
    <w:rsid w:val="4D700A9E"/>
    <w:rsid w:val="4E3F2145"/>
    <w:rsid w:val="51593E0B"/>
    <w:rsid w:val="519B63B5"/>
    <w:rsid w:val="541A704A"/>
    <w:rsid w:val="54846CD3"/>
    <w:rsid w:val="574F1720"/>
    <w:rsid w:val="58F2629D"/>
    <w:rsid w:val="5C3F77E0"/>
    <w:rsid w:val="5C4200CE"/>
    <w:rsid w:val="5C79326A"/>
    <w:rsid w:val="5DA33542"/>
    <w:rsid w:val="5DFB707D"/>
    <w:rsid w:val="612A51A9"/>
    <w:rsid w:val="61692D72"/>
    <w:rsid w:val="61717C32"/>
    <w:rsid w:val="680E1037"/>
    <w:rsid w:val="691F2659"/>
    <w:rsid w:val="6AF66E49"/>
    <w:rsid w:val="6DE273CB"/>
    <w:rsid w:val="6E944CC3"/>
    <w:rsid w:val="73366755"/>
    <w:rsid w:val="74824FCD"/>
    <w:rsid w:val="74E225E4"/>
    <w:rsid w:val="75982251"/>
    <w:rsid w:val="7627167B"/>
    <w:rsid w:val="76E316D1"/>
    <w:rsid w:val="791752BB"/>
    <w:rsid w:val="7BD80ACC"/>
    <w:rsid w:val="7C4C19A1"/>
    <w:rsid w:val="7C8847DE"/>
    <w:rsid w:val="7E69341C"/>
    <w:rsid w:val="7E9755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adjustRightInd/>
      <w:spacing w:line="360" w:lineRule="auto"/>
      <w:ind w:firstLine="200" w:firstLineChars="200"/>
      <w:jc w:val="both"/>
    </w:pPr>
    <w:rPr>
      <w:rFonts w:ascii="Times New Roman" w:hAnsi="Times New Roman" w:eastAsia="宋体" w:cs="Times New Roman"/>
      <w:color w:val="auto"/>
      <w:kern w:val="2"/>
      <w:sz w:val="30"/>
      <w:szCs w:val="30"/>
    </w:rPr>
  </w:style>
  <w:style w:type="paragraph" w:customStyle="1" w:styleId="3">
    <w:name w:val="p0"/>
    <w:next w:val="4"/>
    <w:qFormat/>
    <w:uiPriority w:val="0"/>
    <w:pPr>
      <w:spacing w:line="365" w:lineRule="atLeast"/>
      <w:ind w:left="1"/>
    </w:pPr>
    <w:rPr>
      <w:rFonts w:ascii="Times New Roman" w:hAnsi="Times New Roman" w:eastAsia="宋体" w:cs="Times New Roman"/>
      <w:sz w:val="24"/>
      <w:lang w:val="en-US" w:eastAsia="zh-CN" w:bidi="ar-SA"/>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ind w:firstLine="420"/>
    </w:pPr>
    <w:rPr>
      <w:rFonts w:ascii="Calibri" w:hAnsi="Calibri"/>
      <w:szCs w:val="20"/>
    </w:rPr>
  </w:style>
  <w:style w:type="paragraph" w:styleId="6">
    <w:name w:val="Body Text"/>
    <w:basedOn w:val="1"/>
    <w:qFormat/>
    <w:uiPriority w:val="0"/>
    <w:pPr>
      <w:spacing w:line="400" w:lineRule="atLeast"/>
    </w:pPr>
    <w:rPr>
      <w:rFonts w:ascii="楷体_GB2312" w:eastAsia="楷体_GB2312"/>
      <w:sz w:val="32"/>
    </w:rPr>
  </w:style>
  <w:style w:type="paragraph" w:styleId="7">
    <w:name w:val="Body Text Indent"/>
    <w:basedOn w:val="1"/>
    <w:uiPriority w:val="0"/>
    <w:pPr>
      <w:spacing w:line="360" w:lineRule="auto"/>
      <w:ind w:firstLine="200" w:firstLineChars="200"/>
    </w:pPr>
    <w:rPr>
      <w:rFonts w:ascii="方正仿宋_GBK" w:eastAsia="方正仿宋_GBK"/>
      <w:sz w:val="30"/>
    </w:rPr>
  </w:style>
  <w:style w:type="paragraph" w:styleId="8">
    <w:name w:val="Plain Text"/>
    <w:basedOn w:val="1"/>
    <w:uiPriority w:val="0"/>
    <w:rPr>
      <w:rFonts w:ascii="宋体" w:hAnsi="Courier New"/>
    </w:rPr>
  </w:style>
  <w:style w:type="paragraph" w:styleId="9">
    <w:name w:val="Date"/>
    <w:basedOn w:val="1"/>
    <w:next w:val="1"/>
    <w:link w:val="16"/>
    <w:qFormat/>
    <w:uiPriority w:val="0"/>
    <w:pPr>
      <w:ind w:left="100" w:leftChars="2500"/>
    </w:p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5">
    <w:name w:val="page number"/>
    <w:basedOn w:val="14"/>
    <w:qFormat/>
    <w:uiPriority w:val="0"/>
  </w:style>
  <w:style w:type="character" w:customStyle="1" w:styleId="16">
    <w:name w:val="日期 Char"/>
    <w:link w:val="9"/>
    <w:qFormat/>
    <w:uiPriority w:val="0"/>
    <w:rPr>
      <w:rFonts w:eastAsia="宋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Company>
  <Pages>10</Pages>
  <Words>3232</Words>
  <Characters>3466</Characters>
  <Lines>20</Lines>
  <Paragraphs>5</Paragraphs>
  <TotalTime>0</TotalTime>
  <ScaleCrop>false</ScaleCrop>
  <LinksUpToDate>false</LinksUpToDate>
  <CharactersWithSpaces>3482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2021-05-06T09:40:00Z</dcterms:created>
  <dc:creator>lzlyc</dc:creator>
  <cp:lastModifiedBy>松哥</cp:lastModifiedBy>
  <cp:lastPrinted>2023-02-06T09:18:00Z</cp:lastPrinted>
  <dcterms:modified xsi:type="dcterms:W3CDTF">2024-11-27T09:50:52Z</dcterms:modified>
  <dc:title>此件拟比照国务院办公厅发文由省政府办公厅转发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3FF414969C4D477EB4D38BD4BBC12ACB_13</vt:lpwstr>
  </property>
</Properties>
</file>