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99D2">
      <w:pPr>
        <w:tabs>
          <w:tab w:val="left" w:pos="7560"/>
        </w:tabs>
        <w:adjustRightInd w:val="0"/>
        <w:snapToGrid w:val="0"/>
        <w:spacing w:line="560" w:lineRule="exact"/>
        <w:jc w:val="center"/>
        <w:rPr>
          <w:rFonts w:eastAsia="方正小标宋简体"/>
          <w:bCs/>
          <w:color w:val="auto"/>
          <w:sz w:val="44"/>
          <w:szCs w:val="44"/>
        </w:rPr>
      </w:pPr>
    </w:p>
    <w:p w14:paraId="7547A7EE">
      <w:pPr>
        <w:tabs>
          <w:tab w:val="left" w:pos="7560"/>
        </w:tabs>
        <w:adjustRightInd w:val="0"/>
        <w:snapToGrid w:val="0"/>
        <w:spacing w:line="560" w:lineRule="exact"/>
        <w:jc w:val="center"/>
        <w:rPr>
          <w:rFonts w:eastAsia="方正小标宋简体"/>
          <w:bCs/>
          <w:color w:val="auto"/>
          <w:sz w:val="44"/>
          <w:szCs w:val="44"/>
        </w:rPr>
      </w:pPr>
    </w:p>
    <w:p w14:paraId="68A943F4">
      <w:pPr>
        <w:tabs>
          <w:tab w:val="left" w:pos="7560"/>
        </w:tabs>
        <w:adjustRightInd w:val="0"/>
        <w:snapToGrid w:val="0"/>
        <w:spacing w:line="560" w:lineRule="exact"/>
        <w:jc w:val="center"/>
        <w:rPr>
          <w:rFonts w:eastAsia="方正小标宋简体"/>
          <w:bCs/>
          <w:color w:val="auto"/>
          <w:sz w:val="44"/>
          <w:szCs w:val="44"/>
        </w:rPr>
      </w:pPr>
    </w:p>
    <w:p w14:paraId="31E878AD">
      <w:pPr>
        <w:tabs>
          <w:tab w:val="left" w:pos="7560"/>
        </w:tabs>
        <w:adjustRightInd w:val="0"/>
        <w:snapToGrid w:val="0"/>
        <w:spacing w:line="560" w:lineRule="exact"/>
        <w:jc w:val="center"/>
        <w:rPr>
          <w:rFonts w:eastAsia="方正小标宋简体"/>
          <w:bCs/>
          <w:color w:val="auto"/>
          <w:sz w:val="44"/>
          <w:szCs w:val="44"/>
        </w:rPr>
      </w:pPr>
    </w:p>
    <w:p w14:paraId="2A16CE5E">
      <w:pPr>
        <w:tabs>
          <w:tab w:val="left" w:pos="7560"/>
        </w:tabs>
        <w:adjustRightInd w:val="0"/>
        <w:snapToGrid w:val="0"/>
        <w:jc w:val="center"/>
        <w:rPr>
          <w:rFonts w:eastAsia="方正小标宋简体"/>
          <w:bCs/>
          <w:color w:val="auto"/>
          <w:sz w:val="84"/>
          <w:szCs w:val="84"/>
        </w:rPr>
      </w:pPr>
      <w:r>
        <w:rPr>
          <w:rFonts w:hint="eastAsia" w:eastAsia="方正小标宋简体"/>
          <w:bCs/>
          <w:color w:val="auto"/>
          <w:sz w:val="84"/>
          <w:szCs w:val="84"/>
          <w:lang w:eastAsia="zh-CN"/>
        </w:rPr>
        <w:t>醴陵市医疗保障</w:t>
      </w:r>
      <w:r>
        <w:rPr>
          <w:rFonts w:eastAsia="方正小标宋简体"/>
          <w:bCs/>
          <w:color w:val="auto"/>
          <w:sz w:val="84"/>
          <w:szCs w:val="84"/>
        </w:rPr>
        <w:t>局</w:t>
      </w:r>
    </w:p>
    <w:p w14:paraId="76A45544">
      <w:pPr>
        <w:tabs>
          <w:tab w:val="left" w:pos="7560"/>
        </w:tabs>
        <w:adjustRightInd w:val="0"/>
        <w:snapToGrid w:val="0"/>
        <w:jc w:val="center"/>
        <w:rPr>
          <w:rFonts w:eastAsia="方正小标宋简体"/>
          <w:bCs/>
          <w:color w:val="auto"/>
          <w:sz w:val="84"/>
          <w:szCs w:val="84"/>
        </w:rPr>
      </w:pPr>
      <w:r>
        <w:rPr>
          <w:rFonts w:eastAsia="方正小标宋简体"/>
          <w:bCs/>
          <w:color w:val="auto"/>
          <w:sz w:val="84"/>
          <w:szCs w:val="84"/>
        </w:rPr>
        <w:t>2023年部门预算</w:t>
      </w:r>
    </w:p>
    <w:p w14:paraId="58E36EEA">
      <w:pPr>
        <w:tabs>
          <w:tab w:val="left" w:pos="7560"/>
        </w:tabs>
        <w:adjustRightInd w:val="0"/>
        <w:snapToGrid w:val="0"/>
        <w:spacing w:line="560" w:lineRule="exact"/>
        <w:jc w:val="left"/>
        <w:rPr>
          <w:rFonts w:eastAsia="仿宋_GB2312"/>
          <w:bCs/>
          <w:color w:val="auto"/>
          <w:sz w:val="32"/>
          <w:szCs w:val="32"/>
        </w:rPr>
      </w:pPr>
    </w:p>
    <w:p w14:paraId="2F64BD04">
      <w:pPr>
        <w:tabs>
          <w:tab w:val="left" w:pos="7560"/>
        </w:tabs>
        <w:adjustRightInd w:val="0"/>
        <w:snapToGrid w:val="0"/>
        <w:spacing w:line="560" w:lineRule="exact"/>
        <w:jc w:val="left"/>
        <w:rPr>
          <w:rFonts w:eastAsia="仿宋_GB2312"/>
          <w:bCs/>
          <w:color w:val="auto"/>
          <w:sz w:val="32"/>
          <w:szCs w:val="32"/>
        </w:rPr>
      </w:pPr>
    </w:p>
    <w:p w14:paraId="76DA64E3">
      <w:pPr>
        <w:tabs>
          <w:tab w:val="left" w:pos="7560"/>
        </w:tabs>
        <w:adjustRightInd w:val="0"/>
        <w:snapToGrid w:val="0"/>
        <w:spacing w:line="560" w:lineRule="exact"/>
        <w:jc w:val="left"/>
        <w:rPr>
          <w:rFonts w:eastAsia="仿宋_GB2312"/>
          <w:bCs/>
          <w:color w:val="auto"/>
          <w:sz w:val="32"/>
          <w:szCs w:val="32"/>
        </w:rPr>
      </w:pPr>
    </w:p>
    <w:p w14:paraId="7A7C4C0D">
      <w:pPr>
        <w:tabs>
          <w:tab w:val="left" w:pos="7560"/>
        </w:tabs>
        <w:adjustRightInd w:val="0"/>
        <w:snapToGrid w:val="0"/>
        <w:spacing w:line="560" w:lineRule="exact"/>
        <w:jc w:val="left"/>
        <w:rPr>
          <w:rFonts w:eastAsia="仿宋_GB2312"/>
          <w:bCs/>
          <w:color w:val="auto"/>
          <w:sz w:val="32"/>
          <w:szCs w:val="32"/>
        </w:rPr>
      </w:pPr>
    </w:p>
    <w:p w14:paraId="15067E26">
      <w:pPr>
        <w:tabs>
          <w:tab w:val="left" w:pos="7560"/>
        </w:tabs>
        <w:adjustRightInd w:val="0"/>
        <w:snapToGrid w:val="0"/>
        <w:spacing w:line="560" w:lineRule="exact"/>
        <w:jc w:val="left"/>
        <w:rPr>
          <w:rFonts w:eastAsia="仿宋_GB2312"/>
          <w:bCs/>
          <w:color w:val="auto"/>
          <w:sz w:val="32"/>
          <w:szCs w:val="32"/>
        </w:rPr>
      </w:pPr>
    </w:p>
    <w:p w14:paraId="1594B5EB">
      <w:pPr>
        <w:tabs>
          <w:tab w:val="left" w:pos="7560"/>
        </w:tabs>
        <w:adjustRightInd w:val="0"/>
        <w:snapToGrid w:val="0"/>
        <w:spacing w:line="560" w:lineRule="exact"/>
        <w:jc w:val="left"/>
        <w:rPr>
          <w:rFonts w:eastAsia="仿宋_GB2312"/>
          <w:bCs/>
          <w:color w:val="auto"/>
          <w:sz w:val="32"/>
          <w:szCs w:val="32"/>
        </w:rPr>
      </w:pPr>
    </w:p>
    <w:p w14:paraId="3C72D403">
      <w:pPr>
        <w:tabs>
          <w:tab w:val="left" w:pos="7560"/>
        </w:tabs>
        <w:adjustRightInd w:val="0"/>
        <w:snapToGrid w:val="0"/>
        <w:spacing w:line="560" w:lineRule="exact"/>
        <w:jc w:val="left"/>
        <w:rPr>
          <w:rFonts w:eastAsia="仿宋_GB2312"/>
          <w:bCs/>
          <w:color w:val="auto"/>
          <w:sz w:val="32"/>
          <w:szCs w:val="32"/>
        </w:rPr>
      </w:pPr>
    </w:p>
    <w:p w14:paraId="3B3E6C85">
      <w:pPr>
        <w:tabs>
          <w:tab w:val="left" w:pos="7560"/>
        </w:tabs>
        <w:adjustRightInd w:val="0"/>
        <w:snapToGrid w:val="0"/>
        <w:spacing w:line="560" w:lineRule="exact"/>
        <w:jc w:val="left"/>
        <w:rPr>
          <w:rFonts w:eastAsia="仿宋_GB2312"/>
          <w:bCs/>
          <w:color w:val="auto"/>
          <w:sz w:val="32"/>
          <w:szCs w:val="32"/>
        </w:rPr>
      </w:pPr>
    </w:p>
    <w:p w14:paraId="21C8F5C3">
      <w:pPr>
        <w:tabs>
          <w:tab w:val="left" w:pos="7560"/>
        </w:tabs>
        <w:adjustRightInd w:val="0"/>
        <w:snapToGrid w:val="0"/>
        <w:spacing w:line="560" w:lineRule="exact"/>
        <w:jc w:val="left"/>
        <w:rPr>
          <w:rFonts w:eastAsia="仿宋_GB2312"/>
          <w:bCs/>
          <w:color w:val="auto"/>
          <w:sz w:val="32"/>
          <w:szCs w:val="32"/>
        </w:rPr>
      </w:pPr>
    </w:p>
    <w:p w14:paraId="30D77243">
      <w:pPr>
        <w:tabs>
          <w:tab w:val="left" w:pos="7560"/>
        </w:tabs>
        <w:adjustRightInd w:val="0"/>
        <w:snapToGrid w:val="0"/>
        <w:spacing w:line="560" w:lineRule="exact"/>
        <w:jc w:val="left"/>
        <w:rPr>
          <w:rFonts w:eastAsia="仿宋_GB2312"/>
          <w:bCs/>
          <w:color w:val="auto"/>
          <w:sz w:val="32"/>
          <w:szCs w:val="32"/>
        </w:rPr>
      </w:pPr>
    </w:p>
    <w:p w14:paraId="0A94CE2E">
      <w:pPr>
        <w:tabs>
          <w:tab w:val="left" w:pos="7560"/>
        </w:tabs>
        <w:adjustRightInd w:val="0"/>
        <w:snapToGrid w:val="0"/>
        <w:spacing w:line="560" w:lineRule="exact"/>
        <w:jc w:val="left"/>
        <w:rPr>
          <w:rFonts w:eastAsia="仿宋_GB2312"/>
          <w:bCs/>
          <w:color w:val="auto"/>
          <w:sz w:val="32"/>
          <w:szCs w:val="32"/>
        </w:rPr>
      </w:pPr>
    </w:p>
    <w:p w14:paraId="4B146E07">
      <w:pPr>
        <w:tabs>
          <w:tab w:val="left" w:pos="7560"/>
        </w:tabs>
        <w:adjustRightInd w:val="0"/>
        <w:snapToGrid w:val="0"/>
        <w:spacing w:line="560" w:lineRule="exact"/>
        <w:jc w:val="left"/>
        <w:rPr>
          <w:rFonts w:eastAsia="仿宋_GB2312"/>
          <w:bCs/>
          <w:color w:val="auto"/>
          <w:sz w:val="32"/>
          <w:szCs w:val="32"/>
        </w:rPr>
      </w:pPr>
    </w:p>
    <w:p w14:paraId="0CCEE66B">
      <w:pPr>
        <w:tabs>
          <w:tab w:val="left" w:pos="7560"/>
        </w:tabs>
        <w:adjustRightInd w:val="0"/>
        <w:snapToGrid w:val="0"/>
        <w:spacing w:line="560" w:lineRule="exact"/>
        <w:jc w:val="left"/>
        <w:rPr>
          <w:rFonts w:eastAsia="仿宋_GB2312"/>
          <w:bCs/>
          <w:color w:val="auto"/>
          <w:sz w:val="32"/>
          <w:szCs w:val="32"/>
        </w:rPr>
      </w:pPr>
    </w:p>
    <w:p w14:paraId="111B6738">
      <w:pPr>
        <w:tabs>
          <w:tab w:val="left" w:pos="7560"/>
        </w:tabs>
        <w:adjustRightInd w:val="0"/>
        <w:snapToGrid w:val="0"/>
        <w:spacing w:line="560" w:lineRule="exact"/>
        <w:jc w:val="left"/>
        <w:rPr>
          <w:rFonts w:eastAsia="仿宋_GB2312"/>
          <w:bCs/>
          <w:color w:val="auto"/>
          <w:sz w:val="32"/>
          <w:szCs w:val="32"/>
        </w:rPr>
      </w:pPr>
    </w:p>
    <w:p w14:paraId="52E07C29">
      <w:pPr>
        <w:tabs>
          <w:tab w:val="left" w:pos="7560"/>
        </w:tabs>
        <w:adjustRightInd w:val="0"/>
        <w:snapToGrid w:val="0"/>
        <w:spacing w:line="560" w:lineRule="exact"/>
        <w:jc w:val="center"/>
        <w:rPr>
          <w:rFonts w:eastAsia="黑体"/>
          <w:bCs/>
          <w:color w:val="auto"/>
          <w:sz w:val="32"/>
          <w:szCs w:val="32"/>
        </w:rPr>
      </w:pPr>
      <w:r>
        <w:rPr>
          <w:rFonts w:eastAsia="黑体"/>
          <w:bCs/>
          <w:color w:val="auto"/>
          <w:sz w:val="32"/>
          <w:szCs w:val="32"/>
        </w:rPr>
        <w:t>目  录</w:t>
      </w:r>
    </w:p>
    <w:p w14:paraId="17A9434C">
      <w:pPr>
        <w:tabs>
          <w:tab w:val="left" w:pos="7560"/>
        </w:tabs>
        <w:adjustRightInd w:val="0"/>
        <w:snapToGrid w:val="0"/>
        <w:spacing w:line="560" w:lineRule="exact"/>
        <w:ind w:firstLine="643" w:firstLineChars="200"/>
        <w:rPr>
          <w:rFonts w:eastAsia="仿宋_GB2312"/>
          <w:color w:val="auto"/>
          <w:sz w:val="32"/>
          <w:szCs w:val="32"/>
        </w:rPr>
      </w:pPr>
      <w:r>
        <w:rPr>
          <w:rFonts w:eastAsia="仿宋_GB2312"/>
          <w:b/>
          <w:bCs/>
          <w:color w:val="auto"/>
          <w:sz w:val="32"/>
          <w:szCs w:val="32"/>
        </w:rPr>
        <w:t>第一部分 部门预算公开说明</w:t>
      </w:r>
    </w:p>
    <w:p w14:paraId="11872B1D">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一、部门职能职责</w:t>
      </w:r>
    </w:p>
    <w:p w14:paraId="470616B4">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二、机构设置</w:t>
      </w:r>
    </w:p>
    <w:p w14:paraId="688E02DD">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三、部门预算单位构成</w:t>
      </w:r>
    </w:p>
    <w:p w14:paraId="4E479C95">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四、部门收支总体情况</w:t>
      </w:r>
    </w:p>
    <w:p w14:paraId="47624650">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（一）收入预算</w:t>
      </w:r>
    </w:p>
    <w:p w14:paraId="44576510">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（二）支出预算</w:t>
      </w:r>
    </w:p>
    <w:p w14:paraId="10063727">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（三）预算收支增减变化情况说明</w:t>
      </w:r>
    </w:p>
    <w:p w14:paraId="2537DA21">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五、一般公共预算拨款支出预算</w:t>
      </w:r>
    </w:p>
    <w:p w14:paraId="11C114B9">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（一）基本支出</w:t>
      </w:r>
    </w:p>
    <w:p w14:paraId="36F56ADF">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（二）项目支出</w:t>
      </w:r>
    </w:p>
    <w:p w14:paraId="3F52241F">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六、政府性基金预算支出</w:t>
      </w:r>
    </w:p>
    <w:p w14:paraId="466671D6">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七、其他重要事项情况说明</w:t>
      </w:r>
    </w:p>
    <w:p w14:paraId="5FA567DB">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（一）机关运行经费</w:t>
      </w:r>
    </w:p>
    <w:p w14:paraId="34AF77BD">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（二）政府采购预算</w:t>
      </w:r>
    </w:p>
    <w:p w14:paraId="77591D6F">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（三）国有资产占有情况</w:t>
      </w:r>
    </w:p>
    <w:p w14:paraId="7D6E4099">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（四）重点项目预算的绩效目标等情况</w:t>
      </w:r>
    </w:p>
    <w:p w14:paraId="3A9488BE">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（五）一般公共预算“三公”经费预算</w:t>
      </w:r>
    </w:p>
    <w:p w14:paraId="7C9F43AF">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（六）会议费、培训费</w:t>
      </w:r>
    </w:p>
    <w:p w14:paraId="0FD4E1D2">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（七）其他事项</w:t>
      </w:r>
    </w:p>
    <w:p w14:paraId="75B676C4">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八、名词解释</w:t>
      </w:r>
    </w:p>
    <w:p w14:paraId="74B9E696">
      <w:pPr>
        <w:tabs>
          <w:tab w:val="left" w:pos="7560"/>
        </w:tabs>
        <w:adjustRightInd w:val="0"/>
        <w:snapToGrid w:val="0"/>
        <w:spacing w:line="560" w:lineRule="exact"/>
        <w:ind w:firstLine="643" w:firstLineChars="200"/>
        <w:rPr>
          <w:rFonts w:eastAsia="仿宋_GB2312"/>
          <w:b/>
          <w:bCs/>
          <w:color w:val="auto"/>
          <w:sz w:val="32"/>
          <w:szCs w:val="32"/>
        </w:rPr>
      </w:pPr>
      <w:r>
        <w:rPr>
          <w:rFonts w:eastAsia="仿宋_GB2312"/>
          <w:b/>
          <w:bCs/>
          <w:color w:val="auto"/>
          <w:sz w:val="32"/>
          <w:szCs w:val="32"/>
        </w:rPr>
        <w:t>第二部分 部门预算公开表格</w:t>
      </w:r>
    </w:p>
    <w:p w14:paraId="710805AB">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（一）部门收支总体情况表</w:t>
      </w:r>
    </w:p>
    <w:p w14:paraId="0FAD1446">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（二）部门收入总体情况表</w:t>
      </w:r>
    </w:p>
    <w:p w14:paraId="4C8CE9AD">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（三）部门支出总体情况表</w:t>
      </w:r>
    </w:p>
    <w:p w14:paraId="0A088FFA">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（四）支出分类(政府预算)</w:t>
      </w:r>
    </w:p>
    <w:p w14:paraId="0FF940F4">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（五）支出分类(部门预算)</w:t>
      </w:r>
    </w:p>
    <w:p w14:paraId="33F46410">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（六）财政拨款收支总体情况表</w:t>
      </w:r>
    </w:p>
    <w:p w14:paraId="0E9BE37F">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（七）一般公共预算支出情况表</w:t>
      </w:r>
    </w:p>
    <w:p w14:paraId="2268AA48">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（八）一般公共预算基本支出情况表</w:t>
      </w:r>
    </w:p>
    <w:p w14:paraId="0DDF7968">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（九）工资福利（政府预算）</w:t>
      </w:r>
    </w:p>
    <w:p w14:paraId="6C73B65D">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（十）工资福利</w:t>
      </w:r>
    </w:p>
    <w:p w14:paraId="7C556E90">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（十一）个人家庭(政府预算)</w:t>
      </w:r>
    </w:p>
    <w:p w14:paraId="257DDE8E">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（十二）个人家庭</w:t>
      </w:r>
    </w:p>
    <w:p w14:paraId="1DB6884F">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（十三）商品服务(政府预算)</w:t>
      </w:r>
    </w:p>
    <w:p w14:paraId="26D9A432">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（十四）商品服务</w:t>
      </w:r>
    </w:p>
    <w:p w14:paraId="637F4E08">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（十五）一般公共预算“三公”经费支出情况表</w:t>
      </w:r>
    </w:p>
    <w:p w14:paraId="45F45150">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（十六）政府性基金预算支出情况表</w:t>
      </w:r>
    </w:p>
    <w:p w14:paraId="67913E8E">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（十七）政府性基金(政府预算)</w:t>
      </w:r>
    </w:p>
    <w:p w14:paraId="40338C30">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（十八）政府性基金(部门预算)</w:t>
      </w:r>
    </w:p>
    <w:p w14:paraId="1B916591">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（十九）国有资本经营预算</w:t>
      </w:r>
    </w:p>
    <w:p w14:paraId="163A0C97">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（二十）财政专户管理资金</w:t>
      </w:r>
    </w:p>
    <w:p w14:paraId="6AE4EB1E">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（二十一）专项清单</w:t>
      </w:r>
    </w:p>
    <w:p w14:paraId="0EBB7935">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（二十二）项目支出绩效目标表</w:t>
      </w:r>
    </w:p>
    <w:p w14:paraId="689EF710">
      <w:pPr>
        <w:tabs>
          <w:tab w:val="left" w:pos="7560"/>
        </w:tabs>
        <w:adjustRightInd w:val="0"/>
        <w:snapToGrid w:val="0"/>
        <w:spacing w:line="560" w:lineRule="exact"/>
        <w:ind w:firstLine="640" w:firstLineChars="200"/>
        <w:rPr>
          <w:rFonts w:hint="eastAsia" w:hAnsi="仿宋_GB2312" w:eastAsia="仿宋_GB2312"/>
          <w:color w:val="auto"/>
          <w:sz w:val="32"/>
          <w:szCs w:val="32"/>
        </w:rPr>
      </w:pPr>
      <w:r>
        <w:rPr>
          <w:rFonts w:hint="eastAsia" w:hAnsi="仿宋_GB2312" w:eastAsia="仿宋_GB2312"/>
          <w:color w:val="auto"/>
          <w:sz w:val="32"/>
          <w:szCs w:val="32"/>
        </w:rPr>
        <w:t xml:space="preserve">（二十三）整体支出绩效目标表 </w:t>
      </w:r>
    </w:p>
    <w:p w14:paraId="62BC6F64">
      <w:pPr>
        <w:tabs>
          <w:tab w:val="left" w:pos="7560"/>
        </w:tabs>
        <w:adjustRightInd w:val="0"/>
        <w:snapToGrid w:val="0"/>
        <w:spacing w:line="560" w:lineRule="exact"/>
        <w:ind w:firstLine="640" w:firstLineChars="200"/>
        <w:rPr>
          <w:rFonts w:eastAsia="黑体"/>
          <w:color w:val="auto"/>
          <w:sz w:val="32"/>
          <w:szCs w:val="32"/>
        </w:rPr>
        <w:sectPr>
          <w:headerReference r:id="rId3" w:type="default"/>
          <w:footerReference r:id="rId4" w:type="default"/>
          <w:footerReference r:id="rId5" w:type="even"/>
          <w:pgSz w:w="11906" w:h="16838"/>
          <w:pgMar w:top="2098" w:right="1531" w:bottom="1985" w:left="1531" w:header="851" w:footer="1588" w:gutter="0"/>
          <w:cols w:space="720" w:num="1"/>
          <w:titlePg/>
          <w:docGrid w:linePitch="312" w:charSpace="0"/>
        </w:sectPr>
      </w:pPr>
      <w:r>
        <w:rPr>
          <w:rFonts w:hint="eastAsia" w:hAnsi="仿宋_GB2312" w:eastAsia="仿宋_GB2312"/>
          <w:color w:val="auto"/>
          <w:sz w:val="32"/>
          <w:szCs w:val="32"/>
        </w:rPr>
        <w:t>（注：本套报表金额单位转换时可能存在尾数误差）</w:t>
      </w:r>
    </w:p>
    <w:p w14:paraId="1FCA3228">
      <w:p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第一部分：</w:t>
      </w:r>
    </w:p>
    <w:p w14:paraId="3ED0EF80">
      <w:pPr>
        <w:tabs>
          <w:tab w:val="left" w:pos="7560"/>
        </w:tabs>
        <w:adjustRightInd w:val="0"/>
        <w:snapToGrid w:val="0"/>
        <w:spacing w:line="560" w:lineRule="exact"/>
        <w:rPr>
          <w:rFonts w:eastAsia="方正小标宋简体"/>
          <w:bCs/>
          <w:color w:val="auto"/>
          <w:sz w:val="44"/>
          <w:szCs w:val="44"/>
        </w:rPr>
      </w:pPr>
    </w:p>
    <w:p w14:paraId="36DAC636">
      <w:pPr>
        <w:tabs>
          <w:tab w:val="left" w:pos="7560"/>
        </w:tabs>
        <w:adjustRightInd w:val="0"/>
        <w:snapToGrid w:val="0"/>
        <w:spacing w:line="560" w:lineRule="exact"/>
        <w:jc w:val="center"/>
        <w:rPr>
          <w:rFonts w:eastAsia="黑体"/>
          <w:color w:val="auto"/>
          <w:sz w:val="32"/>
          <w:szCs w:val="32"/>
        </w:rPr>
      </w:pPr>
      <w:r>
        <w:rPr>
          <w:rFonts w:hint="eastAsia" w:eastAsia="方正小标宋简体"/>
          <w:bCs/>
          <w:color w:val="auto"/>
          <w:sz w:val="44"/>
          <w:szCs w:val="44"/>
          <w:lang w:eastAsia="zh-CN"/>
        </w:rPr>
        <w:t>醴陵市医疗保障</w:t>
      </w:r>
      <w:r>
        <w:rPr>
          <w:rFonts w:eastAsia="方正小标宋简体"/>
          <w:bCs/>
          <w:color w:val="auto"/>
          <w:sz w:val="44"/>
          <w:szCs w:val="44"/>
        </w:rPr>
        <w:t>局2023年部门预算说明</w:t>
      </w:r>
    </w:p>
    <w:p w14:paraId="4CECE937">
      <w:pPr>
        <w:tabs>
          <w:tab w:val="left" w:pos="7560"/>
        </w:tabs>
        <w:adjustRightInd w:val="0"/>
        <w:snapToGrid w:val="0"/>
        <w:spacing w:line="560" w:lineRule="exact"/>
        <w:ind w:firstLine="640" w:firstLineChars="200"/>
        <w:rPr>
          <w:rFonts w:eastAsia="黑体"/>
          <w:color w:val="auto"/>
          <w:sz w:val="32"/>
          <w:szCs w:val="32"/>
        </w:rPr>
      </w:pPr>
    </w:p>
    <w:p w14:paraId="006F73A2">
      <w:pPr>
        <w:numPr>
          <w:ilvl w:val="0"/>
          <w:numId w:val="1"/>
        </w:num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部门职能职责</w:t>
      </w:r>
    </w:p>
    <w:p w14:paraId="6B60B3EC">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rPr>
        <w:t>（一）根据株洲和市政府的目标责任，完成好各项医疗保险基金的征缴。</w:t>
      </w:r>
    </w:p>
    <w:p w14:paraId="0888E47F">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rPr>
        <w:t>（二）实施全市医疗保障基金监督管理办法，监督管理相关医疗保障基金，建立健全医疗保障基金安全防控机制，推进医疗保障基金支付方式改革。</w:t>
      </w:r>
    </w:p>
    <w:p w14:paraId="5D320BB1">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rPr>
        <w:t>（三）贯彻落实全省城乡统一的药品、医用耗材、医疗服务项目、医疗服务设施等医保目录和标准。</w:t>
      </w:r>
    </w:p>
    <w:p w14:paraId="5408052F">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rPr>
        <w:t>（四）贯彻落实全省药品、医用耗材的招标采购政策并监督实施。</w:t>
      </w:r>
    </w:p>
    <w:p w14:paraId="0C8F1EEF">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rPr>
        <w:t>（五）监督管理纳入医保范围内的医疗服务行为和医疗费用，依法查处医疗保障领域违法违规行为。</w:t>
      </w:r>
    </w:p>
    <w:p w14:paraId="66546E7A">
      <w:pPr>
        <w:tabs>
          <w:tab w:val="left" w:pos="7560"/>
        </w:tabs>
        <w:adjustRightInd w:val="0"/>
        <w:snapToGrid w:val="0"/>
        <w:spacing w:line="560" w:lineRule="exact"/>
        <w:ind w:firstLine="640" w:firstLineChars="200"/>
        <w:jc w:val="left"/>
        <w:rPr>
          <w:rFonts w:eastAsia="黑体"/>
          <w:color w:val="auto"/>
          <w:sz w:val="32"/>
          <w:szCs w:val="32"/>
        </w:rPr>
      </w:pPr>
      <w:r>
        <w:rPr>
          <w:rFonts w:hint="eastAsia" w:eastAsia="仿宋_GB2312"/>
          <w:color w:val="auto"/>
          <w:sz w:val="32"/>
          <w:szCs w:val="32"/>
        </w:rPr>
        <w:t>（六）指导和监督全市医疗保险、医疗救助等医疗保障经办业务工作。组织制定和完善异地就医管理和费用结算政策。建立健全医疗保障关系转移接续制度。</w:t>
      </w:r>
    </w:p>
    <w:p w14:paraId="7549619C">
      <w:p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二、机构设置</w:t>
      </w:r>
    </w:p>
    <w:p w14:paraId="1D2C35A5">
      <w:pPr>
        <w:tabs>
          <w:tab w:val="left" w:pos="7560"/>
        </w:tabs>
        <w:adjustRightInd w:val="0"/>
        <w:snapToGrid w:val="0"/>
        <w:spacing w:line="560" w:lineRule="exact"/>
        <w:ind w:firstLine="640" w:firstLineChars="200"/>
        <w:rPr>
          <w:rFonts w:eastAsia="仿宋_GB2312"/>
          <w:color w:val="auto"/>
          <w:sz w:val="32"/>
          <w:szCs w:val="32"/>
        </w:rPr>
      </w:pPr>
      <w:r>
        <w:rPr>
          <w:rFonts w:eastAsia="仿宋_GB2312"/>
          <w:bCs/>
          <w:color w:val="auto"/>
          <w:sz w:val="32"/>
          <w:szCs w:val="32"/>
        </w:rPr>
        <w:t> </w:t>
      </w:r>
      <w:r>
        <w:rPr>
          <w:rFonts w:eastAsia="仿宋_GB2312"/>
          <w:color w:val="auto"/>
          <w:sz w:val="32"/>
          <w:szCs w:val="32"/>
        </w:rPr>
        <w:t>本部门共有编制人数</w:t>
      </w:r>
      <w:r>
        <w:rPr>
          <w:rFonts w:hint="eastAsia" w:eastAsia="仿宋_GB2312"/>
          <w:color w:val="auto"/>
          <w:sz w:val="32"/>
          <w:szCs w:val="32"/>
          <w:lang w:val="en-US" w:eastAsia="zh-CN"/>
        </w:rPr>
        <w:t>32</w:t>
      </w:r>
      <w:r>
        <w:rPr>
          <w:rFonts w:eastAsia="仿宋_GB2312"/>
          <w:color w:val="auto"/>
          <w:sz w:val="32"/>
          <w:szCs w:val="32"/>
        </w:rPr>
        <w:t>人，实有人数</w:t>
      </w:r>
      <w:r>
        <w:rPr>
          <w:rFonts w:hint="eastAsia" w:eastAsia="仿宋_GB2312"/>
          <w:color w:val="auto"/>
          <w:sz w:val="32"/>
          <w:szCs w:val="32"/>
          <w:lang w:val="en-US" w:eastAsia="zh-CN"/>
        </w:rPr>
        <w:t>32</w:t>
      </w:r>
      <w:r>
        <w:rPr>
          <w:rFonts w:eastAsia="仿宋_GB2312"/>
          <w:color w:val="auto"/>
          <w:sz w:val="32"/>
          <w:szCs w:val="32"/>
        </w:rPr>
        <w:t>人。内设科室</w:t>
      </w:r>
      <w:r>
        <w:rPr>
          <w:rFonts w:hint="eastAsia" w:eastAsia="仿宋_GB2312"/>
          <w:color w:val="auto"/>
          <w:sz w:val="32"/>
          <w:szCs w:val="32"/>
          <w:lang w:val="en-US" w:eastAsia="zh-CN"/>
        </w:rPr>
        <w:t>13</w:t>
      </w:r>
      <w:r>
        <w:rPr>
          <w:rFonts w:eastAsia="仿宋_GB2312"/>
          <w:color w:val="auto"/>
          <w:sz w:val="32"/>
          <w:szCs w:val="32"/>
        </w:rPr>
        <w:t>个，分别为：</w:t>
      </w:r>
      <w:r>
        <w:rPr>
          <w:rFonts w:hint="eastAsia" w:eastAsia="仿宋_GB2312"/>
          <w:color w:val="auto"/>
          <w:sz w:val="32"/>
          <w:szCs w:val="32"/>
          <w:lang w:eastAsia="zh-CN"/>
        </w:rPr>
        <w:t>办公室、待遇保障和法规股、规划财务股、医疗救助股、医药价格服务管理股、信息股、基金监管股、征缴股、医保中心综合股、医保中心基金财务股、医保中心医疗审核股、医保中心待遇结算股、医保中心门诊管理股。</w:t>
      </w:r>
    </w:p>
    <w:p w14:paraId="57809E06">
      <w:p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三、部门预算单位构成</w:t>
      </w:r>
    </w:p>
    <w:p w14:paraId="7B61394B">
      <w:pPr>
        <w:tabs>
          <w:tab w:val="left" w:pos="7560"/>
        </w:tabs>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rPr>
        <w:t>醴陵市医疗保障局只有本级，没有其他预算单位，因此纳入2023年部门预算编制范围的只有醴陵市医疗保障局本级</w:t>
      </w:r>
      <w:r>
        <w:rPr>
          <w:rFonts w:hint="eastAsia" w:eastAsia="仿宋_GB2312"/>
          <w:color w:val="auto"/>
          <w:sz w:val="32"/>
          <w:szCs w:val="32"/>
          <w:lang w:eastAsia="zh-CN"/>
        </w:rPr>
        <w:t>。</w:t>
      </w:r>
    </w:p>
    <w:p w14:paraId="5898B416">
      <w:p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四、 部门收支总体情况</w:t>
      </w:r>
    </w:p>
    <w:p w14:paraId="3FA69AE0">
      <w:pPr>
        <w:tabs>
          <w:tab w:val="left" w:pos="7560"/>
        </w:tabs>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rPr>
        <w:t>2023 年</w:t>
      </w:r>
      <w:r>
        <w:rPr>
          <w:rFonts w:hint="eastAsia" w:eastAsia="仿宋_GB2312"/>
          <w:color w:val="auto"/>
          <w:sz w:val="32"/>
          <w:szCs w:val="32"/>
          <w:lang w:eastAsia="zh-CN"/>
        </w:rPr>
        <w:t>醴陵市医疗保障</w:t>
      </w:r>
      <w:r>
        <w:rPr>
          <w:rFonts w:hint="eastAsia" w:eastAsia="仿宋_GB2312"/>
          <w:color w:val="auto"/>
          <w:sz w:val="32"/>
          <w:szCs w:val="32"/>
        </w:rPr>
        <w:t>局公开的部门预算为局机关，不包括二级预算单位预算。</w:t>
      </w:r>
      <w:r>
        <w:rPr>
          <w:rFonts w:eastAsia="仿宋_GB2312"/>
          <w:color w:val="auto"/>
          <w:sz w:val="32"/>
          <w:szCs w:val="32"/>
        </w:rPr>
        <w:t>收入包括一般公共预算收入、纳入财政专户管理的非税收入拨款收入、上级财政补助等收入；支出既包括保障局机关及直属单位基本运行的经费，也包括归口管理、面向全市分配的专项经费。</w:t>
      </w:r>
    </w:p>
    <w:p w14:paraId="50F39312">
      <w:pPr>
        <w:tabs>
          <w:tab w:val="left" w:pos="7560"/>
        </w:tabs>
        <w:adjustRightInd w:val="0"/>
        <w:snapToGrid w:val="0"/>
        <w:spacing w:line="560" w:lineRule="exact"/>
        <w:ind w:firstLine="640" w:firstLineChars="200"/>
        <w:rPr>
          <w:rFonts w:eastAsia="仿宋_GB2312"/>
          <w:color w:val="auto"/>
          <w:sz w:val="32"/>
          <w:szCs w:val="32"/>
        </w:rPr>
      </w:pPr>
      <w:r>
        <w:rPr>
          <w:rFonts w:eastAsia="楷体_GB2312"/>
          <w:bCs/>
          <w:color w:val="auto"/>
          <w:sz w:val="32"/>
          <w:szCs w:val="32"/>
        </w:rPr>
        <w:t>（一）收入预算</w:t>
      </w:r>
      <w:r>
        <w:rPr>
          <w:rFonts w:eastAsia="楷体_GB2312"/>
          <w:color w:val="auto"/>
          <w:sz w:val="32"/>
          <w:szCs w:val="32"/>
        </w:rPr>
        <w:t>：</w:t>
      </w:r>
      <w:r>
        <w:rPr>
          <w:rFonts w:eastAsia="仿宋_GB2312"/>
          <w:color w:val="auto"/>
          <w:sz w:val="32"/>
          <w:szCs w:val="32"/>
        </w:rPr>
        <w:t>2023年年初预算数</w:t>
      </w:r>
      <w:r>
        <w:rPr>
          <w:rFonts w:hint="eastAsia" w:eastAsia="仿宋_GB2312"/>
          <w:color w:val="auto"/>
          <w:sz w:val="32"/>
          <w:szCs w:val="32"/>
          <w:lang w:val="en-US" w:eastAsia="zh-CN"/>
        </w:rPr>
        <w:t>4121.11</w:t>
      </w:r>
      <w:r>
        <w:rPr>
          <w:rFonts w:eastAsia="仿宋_GB2312"/>
          <w:color w:val="auto"/>
          <w:sz w:val="32"/>
          <w:szCs w:val="32"/>
        </w:rPr>
        <w:t>万元，其中，一般公共预算拨款</w:t>
      </w:r>
      <w:r>
        <w:rPr>
          <w:rFonts w:hint="eastAsia" w:eastAsia="仿宋_GB2312"/>
          <w:color w:val="auto"/>
          <w:sz w:val="32"/>
          <w:szCs w:val="32"/>
          <w:lang w:val="en-US" w:eastAsia="zh-CN"/>
        </w:rPr>
        <w:t>4121.11</w:t>
      </w:r>
      <w:r>
        <w:rPr>
          <w:rFonts w:eastAsia="仿宋_GB2312"/>
          <w:color w:val="auto"/>
          <w:sz w:val="32"/>
          <w:szCs w:val="32"/>
        </w:rPr>
        <w:t>万元；上级财政补助收入</w:t>
      </w:r>
      <w:r>
        <w:rPr>
          <w:rFonts w:hint="eastAsia" w:eastAsia="仿宋_GB2312"/>
          <w:color w:val="auto"/>
          <w:sz w:val="32"/>
          <w:szCs w:val="32"/>
          <w:lang w:val="en-US" w:eastAsia="zh-CN"/>
        </w:rPr>
        <w:t>0</w:t>
      </w:r>
      <w:r>
        <w:rPr>
          <w:rFonts w:eastAsia="仿宋_GB2312"/>
          <w:color w:val="auto"/>
          <w:sz w:val="32"/>
          <w:szCs w:val="32"/>
        </w:rPr>
        <w:t>万元。因上年结转数暂未最终确定，本年度收支预算中均不含上年结转数字。</w:t>
      </w:r>
    </w:p>
    <w:p w14:paraId="725BF104">
      <w:pPr>
        <w:tabs>
          <w:tab w:val="left" w:pos="7560"/>
        </w:tabs>
        <w:adjustRightInd w:val="0"/>
        <w:snapToGrid w:val="0"/>
        <w:spacing w:line="560" w:lineRule="exact"/>
        <w:ind w:firstLine="640" w:firstLineChars="200"/>
        <w:rPr>
          <w:rFonts w:eastAsia="仿宋_GB2312"/>
          <w:color w:val="auto"/>
          <w:sz w:val="32"/>
          <w:szCs w:val="32"/>
        </w:rPr>
      </w:pPr>
      <w:r>
        <w:rPr>
          <w:rFonts w:eastAsia="楷体_GB2312"/>
          <w:bCs/>
          <w:color w:val="auto"/>
          <w:sz w:val="32"/>
          <w:szCs w:val="32"/>
        </w:rPr>
        <w:t>（二）支出预算：</w:t>
      </w:r>
      <w:r>
        <w:rPr>
          <w:rFonts w:eastAsia="仿宋_GB2312"/>
          <w:color w:val="auto"/>
          <w:sz w:val="32"/>
          <w:szCs w:val="32"/>
        </w:rPr>
        <w:t>2023年年初预算数</w:t>
      </w:r>
      <w:r>
        <w:rPr>
          <w:rFonts w:hint="eastAsia" w:eastAsia="仿宋_GB2312"/>
          <w:color w:val="auto"/>
          <w:sz w:val="32"/>
          <w:szCs w:val="32"/>
          <w:lang w:val="en-US" w:eastAsia="zh-CN"/>
        </w:rPr>
        <w:t>4121.11</w:t>
      </w:r>
      <w:r>
        <w:rPr>
          <w:rFonts w:eastAsia="仿宋_GB2312"/>
          <w:color w:val="auto"/>
          <w:sz w:val="32"/>
          <w:szCs w:val="32"/>
        </w:rPr>
        <w:t>万元，其中，</w:t>
      </w:r>
      <w:r>
        <w:rPr>
          <w:rFonts w:hint="eastAsia" w:eastAsia="仿宋_GB2312"/>
          <w:color w:val="auto"/>
          <w:sz w:val="32"/>
          <w:szCs w:val="32"/>
          <w:lang w:eastAsia="zh-CN"/>
        </w:rPr>
        <w:t>卫生健康支出</w:t>
      </w:r>
      <w:r>
        <w:rPr>
          <w:rFonts w:hint="eastAsia" w:eastAsia="仿宋_GB2312"/>
          <w:color w:val="auto"/>
          <w:sz w:val="32"/>
          <w:szCs w:val="32"/>
          <w:lang w:val="en-US" w:eastAsia="zh-CN"/>
        </w:rPr>
        <w:t>4045.63万元、社会保障和就业支出41.07万元、住房保障支出34.41万元，</w:t>
      </w:r>
      <w:r>
        <w:rPr>
          <w:rFonts w:hint="eastAsia" w:ascii="Times New Roman" w:hAnsi="Times New Roman" w:eastAsia="仿宋_GB2312" w:cs="Times New Roman"/>
          <w:sz w:val="32"/>
          <w:szCs w:val="32"/>
          <w:lang w:val="en-US" w:eastAsia="zh-CN"/>
        </w:rPr>
        <w:t>公共安全支出0万元，国防支出0万元，教育支出0万元，科学技术支出0万元，文化旅游体育与传媒支出0万元，社会保险基金支出0万元，节能环保支出0万元，城乡社区支出0万元，农林水支出0万元，交通运输支出0万元，资源勘探信息等支出0万元，商业服务业等支出0万元，金融支出0万元，援助其他地区支出0万元，自然资源海洋气象等支出0万元，粮油物资储备支出0万元，国有资本经营预算支出0万元，灾害防治及应急管理支出0万元，预备费0万元，其他支出0万元，转移性支出0万元，债务还本支出0万元，债务付息支出0万元，债务发行费用支出0万元，抗疫特别国债安排的支出0万元。</w:t>
      </w:r>
    </w:p>
    <w:p w14:paraId="4A7194EC">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1.基本支出：</w:t>
      </w:r>
      <w:r>
        <w:rPr>
          <w:rFonts w:eastAsia="仿宋_GB2312"/>
          <w:color w:val="auto"/>
          <w:sz w:val="32"/>
          <w:szCs w:val="32"/>
        </w:rPr>
        <w:t>2023年年初预算数为</w:t>
      </w:r>
      <w:r>
        <w:rPr>
          <w:rFonts w:hint="eastAsia" w:eastAsia="仿宋_GB2312"/>
          <w:color w:val="auto"/>
          <w:sz w:val="32"/>
          <w:szCs w:val="32"/>
          <w:lang w:val="en-US" w:eastAsia="zh-CN"/>
        </w:rPr>
        <w:t>367.51</w:t>
      </w:r>
      <w:r>
        <w:rPr>
          <w:rFonts w:eastAsia="仿宋_GB2312"/>
          <w:color w:val="auto"/>
          <w:sz w:val="32"/>
          <w:szCs w:val="32"/>
        </w:rPr>
        <w:t>万元，是指为保障单位机构正常运转、完成日常工作任务而发生的各项支出，包括用于基本工资、津贴补贴等人员经费以及日常公用经费、业务性商品和服务支出。其中包括</w:t>
      </w:r>
      <w:r>
        <w:rPr>
          <w:rFonts w:hint="eastAsia" w:eastAsia="仿宋_GB2312"/>
          <w:color w:val="auto"/>
          <w:sz w:val="32"/>
          <w:szCs w:val="32"/>
          <w:lang w:eastAsia="zh-CN"/>
        </w:rPr>
        <w:t>工资福利支出</w:t>
      </w:r>
      <w:r>
        <w:rPr>
          <w:rFonts w:hint="eastAsia" w:eastAsia="仿宋_GB2312"/>
          <w:color w:val="auto"/>
          <w:sz w:val="32"/>
          <w:szCs w:val="32"/>
          <w:lang w:val="en-US" w:eastAsia="zh-CN"/>
        </w:rPr>
        <w:t>343.57</w:t>
      </w:r>
      <w:r>
        <w:rPr>
          <w:rFonts w:eastAsia="仿宋_GB2312"/>
          <w:color w:val="auto"/>
          <w:sz w:val="32"/>
          <w:szCs w:val="32"/>
        </w:rPr>
        <w:t>万元、</w:t>
      </w:r>
      <w:r>
        <w:rPr>
          <w:rFonts w:hint="eastAsia" w:eastAsia="仿宋_GB2312"/>
          <w:color w:val="auto"/>
          <w:sz w:val="32"/>
          <w:szCs w:val="32"/>
          <w:lang w:eastAsia="zh-CN"/>
        </w:rPr>
        <w:t>商品和服务支出</w:t>
      </w:r>
      <w:r>
        <w:rPr>
          <w:rFonts w:hint="eastAsia" w:eastAsia="仿宋_GB2312"/>
          <w:color w:val="auto"/>
          <w:sz w:val="32"/>
          <w:szCs w:val="32"/>
          <w:lang w:val="en-US" w:eastAsia="zh-CN"/>
        </w:rPr>
        <w:t>23.94万元</w:t>
      </w:r>
      <w:r>
        <w:rPr>
          <w:rFonts w:eastAsia="仿宋_GB2312"/>
          <w:color w:val="auto"/>
          <w:sz w:val="32"/>
          <w:szCs w:val="32"/>
        </w:rPr>
        <w:t>。</w:t>
      </w:r>
    </w:p>
    <w:p w14:paraId="0269BACB">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2.项目支出：</w:t>
      </w:r>
      <w:r>
        <w:rPr>
          <w:rFonts w:hint="eastAsia" w:eastAsia="仿宋_GB2312"/>
          <w:color w:val="auto"/>
          <w:sz w:val="32"/>
          <w:szCs w:val="32"/>
        </w:rPr>
        <w:t>2023</w:t>
      </w:r>
      <w:r>
        <w:rPr>
          <w:rFonts w:eastAsia="仿宋_GB2312"/>
          <w:color w:val="auto"/>
          <w:sz w:val="32"/>
          <w:szCs w:val="32"/>
        </w:rPr>
        <w:t>年年初预算数为</w:t>
      </w:r>
      <w:r>
        <w:rPr>
          <w:rFonts w:hint="eastAsia" w:eastAsia="仿宋_GB2312"/>
          <w:color w:val="auto"/>
          <w:sz w:val="32"/>
          <w:szCs w:val="32"/>
          <w:lang w:val="en-US" w:eastAsia="zh-CN"/>
        </w:rPr>
        <w:t>3753.6</w:t>
      </w:r>
      <w:r>
        <w:rPr>
          <w:rFonts w:eastAsia="仿宋_GB2312"/>
          <w:color w:val="auto"/>
          <w:sz w:val="32"/>
          <w:szCs w:val="32"/>
        </w:rPr>
        <w:t>万元，是指单位为完成特定行政工作任务或事业发展目标而发生的支出，包括有关事业发展专项、基本建设支出、资本性支出等。其中：</w:t>
      </w:r>
    </w:p>
    <w:p w14:paraId="5F6C3CA4">
      <w:pPr>
        <w:tabs>
          <w:tab w:val="left" w:pos="7560"/>
        </w:tabs>
        <w:adjustRightInd w:val="0"/>
        <w:snapToGrid w:val="0"/>
        <w:spacing w:line="560" w:lineRule="exact"/>
        <w:ind w:firstLine="640" w:firstLineChars="200"/>
        <w:jc w:val="left"/>
        <w:rPr>
          <w:rFonts w:hint="eastAsia" w:eastAsia="仿宋_GB2312"/>
          <w:color w:val="auto"/>
          <w:sz w:val="32"/>
          <w:szCs w:val="32"/>
          <w:lang w:eastAsia="zh-CN"/>
        </w:rPr>
      </w:pPr>
      <w:r>
        <w:rPr>
          <w:rFonts w:eastAsia="仿宋_GB2312"/>
          <w:color w:val="auto"/>
          <w:sz w:val="32"/>
          <w:szCs w:val="32"/>
        </w:rPr>
        <w:t>（1）</w:t>
      </w:r>
      <w:r>
        <w:rPr>
          <w:rFonts w:hint="eastAsia" w:eastAsia="仿宋_GB2312"/>
          <w:color w:val="auto"/>
          <w:sz w:val="32"/>
          <w:szCs w:val="32"/>
          <w:lang w:eastAsia="zh-CN"/>
        </w:rPr>
        <w:t>陶研所成建制划转相关人员医保缴费</w:t>
      </w:r>
      <w:r>
        <w:rPr>
          <w:rFonts w:hint="eastAsia" w:eastAsia="仿宋_GB2312"/>
          <w:color w:val="auto"/>
          <w:sz w:val="32"/>
          <w:szCs w:val="32"/>
          <w:lang w:val="en-US" w:eastAsia="zh-CN"/>
        </w:rPr>
        <w:t>168.89</w:t>
      </w:r>
      <w:r>
        <w:rPr>
          <w:rFonts w:eastAsia="仿宋_GB2312"/>
          <w:color w:val="auto"/>
          <w:sz w:val="32"/>
          <w:szCs w:val="32"/>
        </w:rPr>
        <w:t>万元。主要用于</w:t>
      </w:r>
      <w:r>
        <w:rPr>
          <w:rFonts w:hint="eastAsia" w:eastAsia="仿宋_GB2312"/>
          <w:color w:val="auto"/>
          <w:sz w:val="32"/>
          <w:szCs w:val="32"/>
          <w:lang w:eastAsia="zh-CN"/>
        </w:rPr>
        <w:t>陶研所改制职工医保代缴，保障其应享受的医保待遇。</w:t>
      </w:r>
    </w:p>
    <w:p w14:paraId="7764EE4B">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eastAsia="zh-CN"/>
        </w:rPr>
        <w:t>改制企业医疗保险资金</w:t>
      </w:r>
      <w:r>
        <w:rPr>
          <w:rFonts w:hint="eastAsia" w:eastAsia="仿宋_GB2312"/>
          <w:color w:val="auto"/>
          <w:sz w:val="32"/>
          <w:szCs w:val="32"/>
          <w:lang w:val="en-US" w:eastAsia="zh-CN"/>
        </w:rPr>
        <w:t>1589.51</w:t>
      </w:r>
      <w:r>
        <w:rPr>
          <w:rFonts w:eastAsia="仿宋_GB2312"/>
          <w:color w:val="auto"/>
          <w:sz w:val="32"/>
          <w:szCs w:val="32"/>
        </w:rPr>
        <w:t>万元</w:t>
      </w:r>
      <w:r>
        <w:rPr>
          <w:rFonts w:hint="eastAsia" w:eastAsia="仿宋_GB2312"/>
          <w:color w:val="auto"/>
          <w:sz w:val="32"/>
          <w:szCs w:val="32"/>
          <w:lang w:eastAsia="zh-CN"/>
        </w:rPr>
        <w:t>（含上级补助收入</w:t>
      </w:r>
      <w:r>
        <w:rPr>
          <w:rFonts w:hint="eastAsia" w:eastAsia="仿宋_GB2312"/>
          <w:color w:val="auto"/>
          <w:sz w:val="32"/>
          <w:szCs w:val="32"/>
          <w:lang w:val="en-US" w:eastAsia="zh-CN"/>
        </w:rPr>
        <w:t>359万元</w:t>
      </w:r>
      <w:r>
        <w:rPr>
          <w:rFonts w:hint="eastAsia" w:eastAsia="仿宋_GB2312"/>
          <w:color w:val="auto"/>
          <w:sz w:val="32"/>
          <w:szCs w:val="32"/>
          <w:lang w:eastAsia="zh-CN"/>
        </w:rPr>
        <w:t>）</w:t>
      </w:r>
      <w:r>
        <w:rPr>
          <w:rFonts w:eastAsia="仿宋_GB2312"/>
          <w:color w:val="auto"/>
          <w:sz w:val="32"/>
          <w:szCs w:val="32"/>
        </w:rPr>
        <w:t>。主要用于</w:t>
      </w:r>
      <w:r>
        <w:rPr>
          <w:rFonts w:hint="eastAsia" w:eastAsia="仿宋_GB2312"/>
          <w:color w:val="auto"/>
          <w:sz w:val="32"/>
          <w:szCs w:val="32"/>
          <w:lang w:eastAsia="zh-CN"/>
        </w:rPr>
        <w:t>改制企业职工医疗保险报销，保障其应享受的医保待遇。</w:t>
      </w:r>
    </w:p>
    <w:p w14:paraId="0301022A">
      <w:pPr>
        <w:tabs>
          <w:tab w:val="left" w:pos="7560"/>
        </w:tabs>
        <w:adjustRightInd w:val="0"/>
        <w:snapToGrid w:val="0"/>
        <w:spacing w:line="560" w:lineRule="exact"/>
        <w:ind w:firstLine="640" w:firstLineChars="200"/>
        <w:jc w:val="left"/>
        <w:rPr>
          <w:rFonts w:hint="default" w:eastAsia="仿宋_GB2312"/>
          <w:color w:val="auto"/>
          <w:sz w:val="32"/>
          <w:szCs w:val="32"/>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lang w:eastAsia="zh-CN"/>
        </w:rPr>
        <w:t>）改制企业职工医保待遇补差</w:t>
      </w:r>
      <w:r>
        <w:rPr>
          <w:rFonts w:hint="eastAsia" w:eastAsia="仿宋_GB2312"/>
          <w:color w:val="auto"/>
          <w:sz w:val="32"/>
          <w:szCs w:val="32"/>
          <w:lang w:val="en-US" w:eastAsia="zh-CN"/>
        </w:rPr>
        <w:t>1500万元。主要用于改制企业职工在居民医保标准报销后按职工医保待遇进行补差</w:t>
      </w:r>
      <w:r>
        <w:rPr>
          <w:rFonts w:hint="eastAsia" w:eastAsia="仿宋_GB2312"/>
          <w:color w:val="auto"/>
          <w:sz w:val="32"/>
          <w:szCs w:val="32"/>
          <w:lang w:eastAsia="zh-CN"/>
        </w:rPr>
        <w:t>，保障其应享受的医保待遇</w:t>
      </w:r>
      <w:r>
        <w:rPr>
          <w:rFonts w:hint="eastAsia" w:eastAsia="仿宋_GB2312"/>
          <w:color w:val="auto"/>
          <w:sz w:val="32"/>
          <w:szCs w:val="32"/>
          <w:lang w:val="en-US" w:eastAsia="zh-CN"/>
        </w:rPr>
        <w:t>。</w:t>
      </w:r>
    </w:p>
    <w:p w14:paraId="52E97E49">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4</w:t>
      </w:r>
      <w:r>
        <w:rPr>
          <w:rFonts w:hint="eastAsia" w:eastAsia="仿宋_GB2312"/>
          <w:color w:val="auto"/>
          <w:sz w:val="32"/>
          <w:szCs w:val="32"/>
          <w:lang w:eastAsia="zh-CN"/>
        </w:rPr>
        <w:t>）系统软件开发、维护费</w:t>
      </w:r>
      <w:r>
        <w:rPr>
          <w:rFonts w:hint="eastAsia" w:eastAsia="仿宋_GB2312"/>
          <w:color w:val="auto"/>
          <w:sz w:val="32"/>
          <w:szCs w:val="32"/>
          <w:lang w:val="en-US" w:eastAsia="zh-CN"/>
        </w:rPr>
        <w:t>30万元。</w:t>
      </w:r>
      <w:r>
        <w:rPr>
          <w:rFonts w:eastAsia="仿宋_GB2312"/>
          <w:color w:val="auto"/>
          <w:sz w:val="32"/>
          <w:szCs w:val="32"/>
        </w:rPr>
        <w:t>主要用于</w:t>
      </w:r>
      <w:r>
        <w:rPr>
          <w:rFonts w:hint="eastAsia" w:eastAsia="仿宋_GB2312"/>
          <w:color w:val="auto"/>
          <w:sz w:val="32"/>
          <w:szCs w:val="32"/>
        </w:rPr>
        <w:t>网络传输和系统提供日常的业务数据维护、定期做好网络参数备份及保管、监测许可网络使用过程中的异常并提供相应的服务，确保网络畅通、网络运行环境安全。</w:t>
      </w:r>
    </w:p>
    <w:p w14:paraId="65D14BD9">
      <w:pPr>
        <w:tabs>
          <w:tab w:val="left" w:pos="7560"/>
        </w:tabs>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（5）城乡居民医保工作经费300万元。主要用于24个镇、街医保征缴工作，确保达到预期征缴率。</w:t>
      </w:r>
    </w:p>
    <w:p w14:paraId="4B29CB4A">
      <w:pPr>
        <w:tabs>
          <w:tab w:val="left" w:pos="7560"/>
        </w:tabs>
        <w:adjustRightInd w:val="0"/>
        <w:snapToGrid w:val="0"/>
        <w:spacing w:line="560" w:lineRule="exact"/>
        <w:ind w:firstLine="640" w:firstLineChars="200"/>
        <w:jc w:val="left"/>
        <w:rPr>
          <w:rFonts w:hint="eastAsia" w:eastAsia="仿宋_GB2312"/>
          <w:color w:val="auto"/>
          <w:sz w:val="32"/>
          <w:szCs w:val="32"/>
        </w:rPr>
      </w:pPr>
      <w:r>
        <w:rPr>
          <w:rFonts w:hint="eastAsia" w:eastAsia="仿宋_GB2312"/>
          <w:color w:val="auto"/>
          <w:sz w:val="32"/>
          <w:szCs w:val="32"/>
          <w:lang w:val="en-US" w:eastAsia="zh-CN"/>
        </w:rPr>
        <w:t>（6）专家评审15万元。</w:t>
      </w:r>
      <w:r>
        <w:rPr>
          <w:rFonts w:eastAsia="仿宋_GB2312"/>
          <w:color w:val="auto"/>
          <w:sz w:val="32"/>
          <w:szCs w:val="32"/>
        </w:rPr>
        <w:t>主要用于</w:t>
      </w:r>
      <w:r>
        <w:rPr>
          <w:rFonts w:hint="eastAsia" w:eastAsia="仿宋_GB2312"/>
          <w:color w:val="auto"/>
          <w:sz w:val="32"/>
          <w:szCs w:val="32"/>
        </w:rPr>
        <w:t>邀请专家审核居民、职工日常病历，特殊门诊专家认定工作，加强医保基金监管，规范医疗行为，保证基金安全运行，减轻患者负担。</w:t>
      </w:r>
    </w:p>
    <w:p w14:paraId="5E555585">
      <w:pPr>
        <w:tabs>
          <w:tab w:val="left" w:pos="7560"/>
        </w:tabs>
        <w:adjustRightInd w:val="0"/>
        <w:snapToGrid w:val="0"/>
        <w:spacing w:line="560" w:lineRule="exact"/>
        <w:ind w:firstLine="640" w:firstLineChars="200"/>
        <w:jc w:val="left"/>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7</w:t>
      </w:r>
      <w:r>
        <w:rPr>
          <w:rFonts w:hint="eastAsia" w:eastAsia="仿宋_GB2312"/>
          <w:color w:val="auto"/>
          <w:sz w:val="32"/>
          <w:szCs w:val="32"/>
          <w:lang w:eastAsia="zh-CN"/>
        </w:rPr>
        <w:t>）打击欺诈骗保专项</w:t>
      </w:r>
      <w:r>
        <w:rPr>
          <w:rFonts w:hint="eastAsia" w:eastAsia="仿宋_GB2312"/>
          <w:color w:val="auto"/>
          <w:sz w:val="32"/>
          <w:szCs w:val="32"/>
          <w:lang w:val="en-US" w:eastAsia="zh-CN"/>
        </w:rPr>
        <w:t>43万元（含非税罚没收入28万元）。主要用于</w:t>
      </w:r>
      <w:r>
        <w:rPr>
          <w:rFonts w:hint="eastAsia" w:eastAsia="仿宋_GB2312"/>
          <w:color w:val="auto"/>
          <w:sz w:val="32"/>
          <w:szCs w:val="32"/>
        </w:rPr>
        <w:t>主要用于开展打击欺诈骗保（政策宣传及资料印刷、医保举报奖励、医保稽查）、特殊门诊及城乡居民医保筹资宣传等工作，确保医保各项工作正常有序开展。</w:t>
      </w:r>
    </w:p>
    <w:p w14:paraId="12AEDE9A">
      <w:pPr>
        <w:tabs>
          <w:tab w:val="left" w:pos="7560"/>
        </w:tabs>
        <w:adjustRightInd w:val="0"/>
        <w:snapToGrid w:val="0"/>
        <w:spacing w:line="560" w:lineRule="exact"/>
        <w:ind w:firstLine="960" w:firstLineChars="300"/>
        <w:jc w:val="left"/>
        <w:rPr>
          <w:rFonts w:hint="default" w:eastAsia="仿宋_GB2312"/>
          <w:color w:val="auto"/>
          <w:sz w:val="32"/>
          <w:szCs w:val="32"/>
          <w:lang w:val="en-US" w:eastAsia="zh-CN"/>
        </w:rPr>
      </w:pPr>
      <w:r>
        <w:rPr>
          <w:rFonts w:hint="eastAsia" w:eastAsia="仿宋_GB2312"/>
          <w:color w:val="auto"/>
          <w:sz w:val="32"/>
          <w:szCs w:val="32"/>
          <w:lang w:val="en-US" w:eastAsia="zh-CN"/>
        </w:rPr>
        <w:t>(8)工作性专项135.2万元。主要用于日常运转开支。</w:t>
      </w:r>
    </w:p>
    <w:p w14:paraId="135C9DC8">
      <w:pPr>
        <w:tabs>
          <w:tab w:val="left" w:pos="7560"/>
        </w:tabs>
        <w:adjustRightInd w:val="0"/>
        <w:snapToGrid w:val="0"/>
        <w:spacing w:line="560" w:lineRule="exact"/>
        <w:ind w:firstLine="640" w:firstLineChars="200"/>
        <w:jc w:val="left"/>
        <w:rPr>
          <w:rFonts w:eastAsia="仿宋_GB2312"/>
          <w:color w:val="auto"/>
          <w:sz w:val="32"/>
          <w:szCs w:val="32"/>
        </w:rPr>
      </w:pPr>
      <w:r>
        <w:rPr>
          <w:rFonts w:eastAsia="楷体_GB2312"/>
          <w:bCs/>
          <w:color w:val="auto"/>
          <w:sz w:val="32"/>
          <w:szCs w:val="32"/>
        </w:rPr>
        <w:t>（三）预算收支增减变化情况说明：</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年度本部门年初预算数为</w:t>
      </w:r>
      <w:r>
        <w:rPr>
          <w:rFonts w:hint="eastAsia" w:eastAsia="仿宋_GB2312"/>
          <w:color w:val="auto"/>
          <w:sz w:val="32"/>
          <w:szCs w:val="32"/>
          <w:lang w:val="en-US" w:eastAsia="zh-CN"/>
        </w:rPr>
        <w:t>4121.11</w:t>
      </w:r>
      <w:r>
        <w:rPr>
          <w:rFonts w:eastAsia="仿宋_GB2312"/>
          <w:color w:val="auto"/>
          <w:sz w:val="32"/>
          <w:szCs w:val="32"/>
        </w:rPr>
        <w:t>万元，比上年增加</w:t>
      </w:r>
      <w:r>
        <w:rPr>
          <w:rFonts w:hint="eastAsia" w:eastAsia="仿宋_GB2312"/>
          <w:color w:val="auto"/>
          <w:sz w:val="32"/>
          <w:szCs w:val="32"/>
          <w:lang w:val="en-US" w:eastAsia="zh-CN"/>
        </w:rPr>
        <w:t>142.48</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主要原因是因</w:t>
      </w:r>
      <w:r>
        <w:rPr>
          <w:rFonts w:hint="eastAsia" w:eastAsia="仿宋_GB2312"/>
          <w:color w:val="auto"/>
          <w:sz w:val="32"/>
          <w:szCs w:val="32"/>
        </w:rPr>
        <w:t>需加大医保改革力度</w:t>
      </w:r>
      <w:r>
        <w:rPr>
          <w:rFonts w:eastAsia="仿宋_GB2312"/>
          <w:color w:val="auto"/>
          <w:sz w:val="32"/>
          <w:szCs w:val="32"/>
        </w:rPr>
        <w:t>，造成运转经费上涨</w:t>
      </w:r>
      <w:r>
        <w:rPr>
          <w:rFonts w:hint="eastAsia" w:eastAsia="仿宋_GB2312"/>
          <w:color w:val="auto"/>
          <w:sz w:val="32"/>
          <w:szCs w:val="32"/>
        </w:rPr>
        <w:t>。</w:t>
      </w:r>
    </w:p>
    <w:p w14:paraId="33CF0B96">
      <w:p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五、一般公共预算拨款支出预算</w:t>
      </w:r>
    </w:p>
    <w:p w14:paraId="395620A5">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年本部门一般公共预算拨款支出</w:t>
      </w:r>
      <w:r>
        <w:rPr>
          <w:rFonts w:hint="eastAsia" w:eastAsia="仿宋_GB2312"/>
          <w:color w:val="auto"/>
          <w:sz w:val="32"/>
          <w:szCs w:val="32"/>
        </w:rPr>
        <w:t>4,121.11</w:t>
      </w:r>
      <w:r>
        <w:rPr>
          <w:rFonts w:eastAsia="仿宋_GB2312"/>
          <w:color w:val="auto"/>
          <w:sz w:val="32"/>
          <w:szCs w:val="32"/>
        </w:rPr>
        <w:t>万元，具体安排如下：</w:t>
      </w:r>
    </w:p>
    <w:p w14:paraId="1F9DE049">
      <w:pPr>
        <w:pStyle w:val="7"/>
        <w:numPr>
          <w:ilvl w:val="0"/>
          <w:numId w:val="0"/>
        </w:numPr>
        <w:ind w:left="-10" w:leftChars="0" w:firstLine="640" w:firstLineChars="0"/>
        <w:rPr>
          <w:rFonts w:hint="eastAsia" w:eastAsia="仿宋_GB2312" w:cs="Times New Roman"/>
          <w:sz w:val="32"/>
          <w:szCs w:val="32"/>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sz w:val="32"/>
          <w:szCs w:val="32"/>
          <w:lang w:val="en-US" w:eastAsia="zh-CN"/>
        </w:rPr>
        <w:t>社会保障和就业支出（类）行政事业单位养老支出（款） 机关事业单位基本养老保险缴费支出（项）</w:t>
      </w:r>
    </w:p>
    <w:p w14:paraId="07CE6031">
      <w:pPr>
        <w:pStyle w:val="7"/>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2023年预算支出41.07万元。</w:t>
      </w:r>
    </w:p>
    <w:p w14:paraId="09BE91FD">
      <w:pPr>
        <w:pStyle w:val="8"/>
        <w:numPr>
          <w:ilvl w:val="0"/>
          <w:numId w:val="0"/>
        </w:numPr>
        <w:ind w:left="-10" w:leftChars="0" w:firstLine="640" w:firstLineChars="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bidi="ar-SA"/>
        </w:rPr>
        <w:t>2、</w:t>
      </w:r>
      <w:r>
        <w:rPr>
          <w:rFonts w:hint="eastAsia" w:eastAsia="仿宋_GB2312" w:cs="Times New Roman"/>
          <w:sz w:val="32"/>
          <w:szCs w:val="32"/>
          <w:lang w:val="en-US" w:eastAsia="zh-CN"/>
        </w:rPr>
        <w:t>卫生健康支出（类）行政事业单位医疗（款）行政单位医疗（项）</w:t>
      </w:r>
    </w:p>
    <w:p w14:paraId="3EA4A7C2">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2023年预算支出11.41万元。</w:t>
      </w:r>
    </w:p>
    <w:p w14:paraId="5809F368">
      <w:pPr>
        <w:pStyle w:val="8"/>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bidi="ar-SA"/>
        </w:rPr>
        <w:t>3</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卫生健康支出（类）财政对基本医疗保险基金的补助（款） 财政对其他基本医疗保险基金的补助（项）</w:t>
      </w:r>
    </w:p>
    <w:p w14:paraId="1077A55D">
      <w:pPr>
        <w:pStyle w:val="8"/>
        <w:numPr>
          <w:ilvl w:val="0"/>
          <w:numId w:val="0"/>
        </w:numPr>
        <w:ind w:left="-10" w:leftChars="0" w:firstLine="640" w:firstLineChars="0"/>
        <w:rPr>
          <w:rFonts w:hint="default" w:eastAsia="仿宋_GB2312" w:cs="Times New Roman"/>
          <w:sz w:val="32"/>
          <w:szCs w:val="32"/>
          <w:lang w:val="en-US" w:eastAsia="zh-CN"/>
        </w:rPr>
      </w:pPr>
      <w:r>
        <w:rPr>
          <w:rFonts w:hint="eastAsia" w:eastAsia="仿宋_GB2312" w:cs="Times New Roman"/>
          <w:sz w:val="32"/>
          <w:szCs w:val="32"/>
          <w:lang w:val="en-US" w:eastAsia="zh-CN"/>
        </w:rPr>
        <w:t>2023年预算支出1758.4万元。</w:t>
      </w:r>
    </w:p>
    <w:p w14:paraId="18105A9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4、卫生健康支出（类）医疗救助（款）其他医疗救助支出（项）</w:t>
      </w:r>
    </w:p>
    <w:p w14:paraId="6C858343">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2023年预算支出1500万元。</w:t>
      </w:r>
    </w:p>
    <w:p w14:paraId="2CC8A7BD">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5、卫生健康支出（类）医疗保障管理事务（款）行政运行（项）</w:t>
      </w:r>
    </w:p>
    <w:p w14:paraId="6BCE262A">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2023年预算支出415.81万元。</w:t>
      </w:r>
    </w:p>
    <w:p w14:paraId="513B9F65">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6、卫生健康支出（类）医疗保障管理事务（款）信息化建设（项）</w:t>
      </w:r>
    </w:p>
    <w:p w14:paraId="2B2F9346">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2023年预算支出30万元。</w:t>
      </w:r>
    </w:p>
    <w:p w14:paraId="362409BD">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7、卫生健康支出（类）医疗保障管理事务（款）其他医疗保障管理事务支出（项）</w:t>
      </w:r>
    </w:p>
    <w:p w14:paraId="13733285">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2023年预算支出330万元。</w:t>
      </w:r>
    </w:p>
    <w:p w14:paraId="33B589E4">
      <w:pPr>
        <w:tabs>
          <w:tab w:val="left" w:pos="7560"/>
        </w:tabs>
        <w:adjustRightInd w:val="0"/>
        <w:snapToGrid w:val="0"/>
        <w:spacing w:line="560" w:lineRule="exact"/>
        <w:ind w:left="638" w:leftChars="304" w:firstLine="0" w:firstLineChars="0"/>
        <w:rPr>
          <w:rFonts w:eastAsia="仿宋_GB2312"/>
          <w:color w:val="auto"/>
          <w:sz w:val="32"/>
          <w:szCs w:val="32"/>
        </w:rPr>
      </w:pPr>
      <w:r>
        <w:rPr>
          <w:rFonts w:hint="eastAsia" w:eastAsia="仿宋_GB2312" w:cs="Times New Roman"/>
          <w:sz w:val="32"/>
          <w:szCs w:val="32"/>
          <w:lang w:val="en-US" w:eastAsia="zh-CN"/>
        </w:rPr>
        <w:t>8、住房保障支出（类）住房改革支出（款）住房公积金（项）2023年预算支出34.41万元。</w:t>
      </w:r>
    </w:p>
    <w:p w14:paraId="115117B2">
      <w:pPr>
        <w:tabs>
          <w:tab w:val="left" w:pos="7560"/>
        </w:tabs>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（一）基本支出</w:t>
      </w:r>
    </w:p>
    <w:p w14:paraId="24DE8556">
      <w:pPr>
        <w:tabs>
          <w:tab w:val="left" w:pos="7560"/>
        </w:tabs>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rPr>
        <w:t>1、人员类支出。2023</w:t>
      </w:r>
      <w:r>
        <w:rPr>
          <w:rFonts w:eastAsia="仿宋_GB2312"/>
          <w:color w:val="auto"/>
          <w:sz w:val="32"/>
          <w:szCs w:val="32"/>
        </w:rPr>
        <w:t>年年初预算数为</w:t>
      </w:r>
      <w:r>
        <w:rPr>
          <w:rFonts w:hint="eastAsia" w:eastAsia="仿宋_GB2312"/>
          <w:color w:val="auto"/>
          <w:sz w:val="32"/>
          <w:szCs w:val="32"/>
          <w:lang w:val="en-US" w:eastAsia="zh-CN"/>
        </w:rPr>
        <w:t>343.57</w:t>
      </w:r>
      <w:r>
        <w:rPr>
          <w:rFonts w:eastAsia="仿宋_GB2312"/>
          <w:color w:val="auto"/>
          <w:sz w:val="32"/>
          <w:szCs w:val="32"/>
        </w:rPr>
        <w:t>万元。其中包括基本工资</w:t>
      </w:r>
      <w:r>
        <w:rPr>
          <w:rFonts w:hint="eastAsia" w:eastAsia="仿宋_GB2312"/>
          <w:color w:val="auto"/>
          <w:sz w:val="32"/>
          <w:szCs w:val="32"/>
          <w:lang w:val="en-US" w:eastAsia="zh-CN"/>
        </w:rPr>
        <w:t>123.02</w:t>
      </w:r>
      <w:r>
        <w:rPr>
          <w:rFonts w:eastAsia="仿宋_GB2312"/>
          <w:color w:val="auto"/>
          <w:sz w:val="32"/>
          <w:szCs w:val="32"/>
        </w:rPr>
        <w:t>万元、津贴补贴</w:t>
      </w:r>
      <w:r>
        <w:rPr>
          <w:rFonts w:hint="eastAsia" w:eastAsia="仿宋_GB2312"/>
          <w:color w:val="auto"/>
          <w:sz w:val="32"/>
          <w:szCs w:val="32"/>
          <w:lang w:val="en-US" w:eastAsia="zh-CN"/>
        </w:rPr>
        <w:t>70.27</w:t>
      </w:r>
      <w:r>
        <w:rPr>
          <w:rFonts w:eastAsia="仿宋_GB2312"/>
          <w:color w:val="auto"/>
          <w:sz w:val="32"/>
          <w:szCs w:val="32"/>
        </w:rPr>
        <w:t>万元、奖金</w:t>
      </w:r>
      <w:r>
        <w:rPr>
          <w:rFonts w:hint="eastAsia" w:eastAsia="仿宋_GB2312"/>
          <w:color w:val="auto"/>
          <w:sz w:val="32"/>
          <w:szCs w:val="32"/>
          <w:lang w:val="en-US" w:eastAsia="zh-CN"/>
        </w:rPr>
        <w:t>63.39</w:t>
      </w:r>
      <w:r>
        <w:rPr>
          <w:rFonts w:eastAsia="仿宋_GB2312"/>
          <w:color w:val="auto"/>
          <w:sz w:val="32"/>
          <w:szCs w:val="32"/>
        </w:rPr>
        <w:t>万元、</w:t>
      </w:r>
      <w:r>
        <w:rPr>
          <w:rFonts w:hint="eastAsia" w:eastAsia="仿宋_GB2312"/>
          <w:color w:val="auto"/>
          <w:sz w:val="32"/>
          <w:szCs w:val="32"/>
          <w:lang w:eastAsia="zh-CN"/>
        </w:rPr>
        <w:t>社会</w:t>
      </w:r>
      <w:r>
        <w:rPr>
          <w:rFonts w:hint="eastAsia" w:eastAsia="仿宋_GB2312"/>
          <w:color w:val="auto"/>
          <w:sz w:val="32"/>
          <w:szCs w:val="32"/>
          <w:lang w:val="en-US" w:eastAsia="zh-CN"/>
        </w:rPr>
        <w:t>保障缴费52.48</w:t>
      </w:r>
      <w:r>
        <w:rPr>
          <w:rFonts w:eastAsia="仿宋_GB2312"/>
          <w:color w:val="auto"/>
          <w:sz w:val="32"/>
          <w:szCs w:val="32"/>
        </w:rPr>
        <w:t>万元</w:t>
      </w:r>
      <w:r>
        <w:rPr>
          <w:rFonts w:hint="eastAsia" w:eastAsia="仿宋_GB2312"/>
          <w:color w:val="auto"/>
          <w:sz w:val="32"/>
          <w:szCs w:val="32"/>
          <w:lang w:eastAsia="zh-CN"/>
        </w:rPr>
        <w:t>、住房公积金</w:t>
      </w:r>
      <w:r>
        <w:rPr>
          <w:rFonts w:hint="eastAsia" w:eastAsia="仿宋_GB2312"/>
          <w:color w:val="auto"/>
          <w:sz w:val="32"/>
          <w:szCs w:val="32"/>
          <w:lang w:val="en-US" w:eastAsia="zh-CN"/>
        </w:rPr>
        <w:t>34.41万元</w:t>
      </w:r>
      <w:r>
        <w:rPr>
          <w:rFonts w:eastAsia="仿宋_GB2312"/>
          <w:color w:val="auto"/>
          <w:sz w:val="32"/>
          <w:szCs w:val="32"/>
        </w:rPr>
        <w:t>。</w:t>
      </w:r>
    </w:p>
    <w:p w14:paraId="60E14862">
      <w:pPr>
        <w:tabs>
          <w:tab w:val="left" w:pos="7560"/>
        </w:tabs>
        <w:adjustRightInd w:val="0"/>
        <w:snapToGrid w:val="0"/>
        <w:spacing w:line="560" w:lineRule="exact"/>
        <w:ind w:firstLine="640" w:firstLineChars="200"/>
        <w:rPr>
          <w:rFonts w:hint="default" w:eastAsia="仿宋_GB2312"/>
          <w:color w:val="auto"/>
          <w:sz w:val="32"/>
          <w:szCs w:val="32"/>
          <w:lang w:val="en-US" w:eastAsia="zh-CN"/>
        </w:rPr>
      </w:pPr>
      <w:r>
        <w:rPr>
          <w:rFonts w:hint="eastAsia" w:eastAsia="仿宋_GB2312"/>
          <w:color w:val="auto"/>
          <w:sz w:val="32"/>
          <w:szCs w:val="32"/>
        </w:rPr>
        <w:t>2、公用类支出。2023年年初预算数为</w:t>
      </w:r>
      <w:r>
        <w:rPr>
          <w:rFonts w:hint="eastAsia" w:eastAsia="仿宋_GB2312"/>
          <w:color w:val="auto"/>
          <w:sz w:val="32"/>
          <w:szCs w:val="32"/>
          <w:lang w:val="en-US" w:eastAsia="zh-CN"/>
        </w:rPr>
        <w:t>23.94</w:t>
      </w:r>
      <w:r>
        <w:rPr>
          <w:rFonts w:hint="eastAsia" w:eastAsia="仿宋_GB2312"/>
          <w:color w:val="auto"/>
          <w:sz w:val="32"/>
          <w:szCs w:val="32"/>
        </w:rPr>
        <w:t>万元。其中：</w:t>
      </w:r>
      <w:r>
        <w:rPr>
          <w:rFonts w:hint="eastAsia" w:eastAsia="仿宋_GB2312"/>
          <w:color w:val="auto"/>
          <w:sz w:val="32"/>
          <w:szCs w:val="32"/>
          <w:lang w:eastAsia="zh-CN"/>
        </w:rPr>
        <w:t>办公费</w:t>
      </w:r>
      <w:r>
        <w:rPr>
          <w:rFonts w:hint="eastAsia" w:eastAsia="仿宋_GB2312"/>
          <w:color w:val="auto"/>
          <w:sz w:val="32"/>
          <w:szCs w:val="32"/>
          <w:lang w:val="en-US" w:eastAsia="zh-CN"/>
        </w:rPr>
        <w:t>9.6万元、工会经费5.74万元、福利费8.6万元。</w:t>
      </w:r>
    </w:p>
    <w:p w14:paraId="3261CD79">
      <w:pPr>
        <w:tabs>
          <w:tab w:val="left" w:pos="7560"/>
        </w:tabs>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（二）项目支出</w:t>
      </w:r>
    </w:p>
    <w:p w14:paraId="2FFF2796">
      <w:pPr>
        <w:tabs>
          <w:tab w:val="left" w:pos="7560"/>
        </w:tabs>
        <w:adjustRightInd w:val="0"/>
        <w:snapToGri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rPr>
        <w:t>1、其他运转类支出。2023年年初预算数为</w:t>
      </w:r>
      <w:r>
        <w:rPr>
          <w:rFonts w:hint="eastAsia" w:eastAsia="仿宋_GB2312"/>
          <w:color w:val="auto"/>
          <w:sz w:val="32"/>
          <w:szCs w:val="32"/>
          <w:lang w:val="en-US" w:eastAsia="zh-CN"/>
        </w:rPr>
        <w:t>135.2</w:t>
      </w:r>
      <w:r>
        <w:rPr>
          <w:rFonts w:hint="eastAsia" w:eastAsia="仿宋_GB2312"/>
          <w:color w:val="auto"/>
          <w:sz w:val="32"/>
          <w:szCs w:val="32"/>
        </w:rPr>
        <w:t>万元。</w:t>
      </w:r>
      <w:r>
        <w:rPr>
          <w:rFonts w:hint="eastAsia" w:eastAsia="仿宋_GB2312"/>
          <w:color w:val="auto"/>
          <w:sz w:val="32"/>
          <w:szCs w:val="32"/>
          <w:lang w:eastAsia="zh-CN"/>
        </w:rPr>
        <w:t>其中</w:t>
      </w:r>
      <w:r>
        <w:rPr>
          <w:rFonts w:hint="eastAsia" w:eastAsia="仿宋_GB2312"/>
          <w:color w:val="auto"/>
          <w:sz w:val="32"/>
          <w:szCs w:val="32"/>
          <w:lang w:val="en-US" w:eastAsia="zh-CN"/>
        </w:rPr>
        <w:t>运转经费经费105.2万元、争资引项工作经费30万元。</w:t>
      </w:r>
    </w:p>
    <w:p w14:paraId="47310017">
      <w:pPr>
        <w:tabs>
          <w:tab w:val="left" w:pos="7560"/>
        </w:tabs>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rPr>
        <w:t>2、特定目标类支出</w:t>
      </w:r>
    </w:p>
    <w:p w14:paraId="4E61150D">
      <w:pPr>
        <w:tabs>
          <w:tab w:val="left" w:pos="7560"/>
        </w:tabs>
        <w:adjustRightInd w:val="0"/>
        <w:snapToGrid w:val="0"/>
        <w:spacing w:line="560" w:lineRule="exact"/>
        <w:ind w:firstLine="640" w:firstLineChars="200"/>
        <w:jc w:val="left"/>
        <w:rPr>
          <w:rFonts w:hint="eastAsia" w:eastAsia="仿宋_GB2312"/>
          <w:color w:val="auto"/>
          <w:sz w:val="32"/>
          <w:szCs w:val="32"/>
          <w:lang w:eastAsia="zh-CN"/>
        </w:rPr>
      </w:pPr>
      <w:r>
        <w:rPr>
          <w:rFonts w:eastAsia="仿宋_GB2312"/>
          <w:color w:val="auto"/>
          <w:sz w:val="32"/>
          <w:szCs w:val="32"/>
        </w:rPr>
        <w:t>（1）</w:t>
      </w:r>
      <w:r>
        <w:rPr>
          <w:rFonts w:hint="eastAsia" w:eastAsia="仿宋_GB2312"/>
          <w:color w:val="auto"/>
          <w:sz w:val="32"/>
          <w:szCs w:val="32"/>
          <w:lang w:eastAsia="zh-CN"/>
        </w:rPr>
        <w:t>陶研所成建制划转相关人员医保缴费</w:t>
      </w:r>
      <w:r>
        <w:rPr>
          <w:rFonts w:hint="eastAsia" w:eastAsia="仿宋_GB2312"/>
          <w:color w:val="auto"/>
          <w:sz w:val="32"/>
          <w:szCs w:val="32"/>
          <w:lang w:val="en-US" w:eastAsia="zh-CN"/>
        </w:rPr>
        <w:t>168.89</w:t>
      </w:r>
      <w:r>
        <w:rPr>
          <w:rFonts w:eastAsia="仿宋_GB2312"/>
          <w:color w:val="auto"/>
          <w:sz w:val="32"/>
          <w:szCs w:val="32"/>
        </w:rPr>
        <w:t>万元。主要用于</w:t>
      </w:r>
      <w:r>
        <w:rPr>
          <w:rFonts w:hint="eastAsia" w:eastAsia="仿宋_GB2312"/>
          <w:color w:val="auto"/>
          <w:sz w:val="32"/>
          <w:szCs w:val="32"/>
          <w:lang w:eastAsia="zh-CN"/>
        </w:rPr>
        <w:t>陶研所改制职工医保代缴，保障其应享受的医保待遇。</w:t>
      </w:r>
    </w:p>
    <w:p w14:paraId="7979F145">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eastAsia="zh-CN"/>
        </w:rPr>
        <w:t>改制企业医疗保险资金</w:t>
      </w:r>
      <w:r>
        <w:rPr>
          <w:rFonts w:hint="eastAsia" w:eastAsia="仿宋_GB2312"/>
          <w:color w:val="auto"/>
          <w:sz w:val="32"/>
          <w:szCs w:val="32"/>
          <w:lang w:val="en-US" w:eastAsia="zh-CN"/>
        </w:rPr>
        <w:t>1589.51</w:t>
      </w:r>
      <w:r>
        <w:rPr>
          <w:rFonts w:eastAsia="仿宋_GB2312"/>
          <w:color w:val="auto"/>
          <w:sz w:val="32"/>
          <w:szCs w:val="32"/>
        </w:rPr>
        <w:t>万元</w:t>
      </w:r>
      <w:r>
        <w:rPr>
          <w:rFonts w:hint="eastAsia" w:eastAsia="仿宋_GB2312"/>
          <w:color w:val="auto"/>
          <w:sz w:val="32"/>
          <w:szCs w:val="32"/>
          <w:lang w:eastAsia="zh-CN"/>
        </w:rPr>
        <w:t>（含上级补助收入</w:t>
      </w:r>
      <w:r>
        <w:rPr>
          <w:rFonts w:hint="eastAsia" w:eastAsia="仿宋_GB2312"/>
          <w:color w:val="auto"/>
          <w:sz w:val="32"/>
          <w:szCs w:val="32"/>
          <w:lang w:val="en-US" w:eastAsia="zh-CN"/>
        </w:rPr>
        <w:t>359万元</w:t>
      </w:r>
      <w:r>
        <w:rPr>
          <w:rFonts w:hint="eastAsia" w:eastAsia="仿宋_GB2312"/>
          <w:color w:val="auto"/>
          <w:sz w:val="32"/>
          <w:szCs w:val="32"/>
          <w:lang w:eastAsia="zh-CN"/>
        </w:rPr>
        <w:t>）</w:t>
      </w:r>
      <w:r>
        <w:rPr>
          <w:rFonts w:eastAsia="仿宋_GB2312"/>
          <w:color w:val="auto"/>
          <w:sz w:val="32"/>
          <w:szCs w:val="32"/>
        </w:rPr>
        <w:t>。主要用于</w:t>
      </w:r>
      <w:r>
        <w:rPr>
          <w:rFonts w:hint="eastAsia" w:eastAsia="仿宋_GB2312"/>
          <w:color w:val="auto"/>
          <w:sz w:val="32"/>
          <w:szCs w:val="32"/>
          <w:lang w:eastAsia="zh-CN"/>
        </w:rPr>
        <w:t>改制企业职工医疗保险报销，保障其应享受的医保待遇。</w:t>
      </w:r>
    </w:p>
    <w:p w14:paraId="006AD6C1">
      <w:pPr>
        <w:tabs>
          <w:tab w:val="left" w:pos="7560"/>
        </w:tabs>
        <w:adjustRightInd w:val="0"/>
        <w:snapToGrid w:val="0"/>
        <w:spacing w:line="560" w:lineRule="exact"/>
        <w:ind w:firstLine="640" w:firstLineChars="200"/>
        <w:jc w:val="left"/>
        <w:rPr>
          <w:rFonts w:hint="default" w:eastAsia="仿宋_GB2312"/>
          <w:color w:val="auto"/>
          <w:sz w:val="32"/>
          <w:szCs w:val="32"/>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lang w:eastAsia="zh-CN"/>
        </w:rPr>
        <w:t>）改制企业职工医保待遇补差</w:t>
      </w:r>
      <w:r>
        <w:rPr>
          <w:rFonts w:hint="eastAsia" w:eastAsia="仿宋_GB2312"/>
          <w:color w:val="auto"/>
          <w:sz w:val="32"/>
          <w:szCs w:val="32"/>
          <w:lang w:val="en-US" w:eastAsia="zh-CN"/>
        </w:rPr>
        <w:t>1500万元。主要用于改制企业职工在居民医保标准报销后按职工医保待遇进行补差</w:t>
      </w:r>
      <w:r>
        <w:rPr>
          <w:rFonts w:hint="eastAsia" w:eastAsia="仿宋_GB2312"/>
          <w:color w:val="auto"/>
          <w:sz w:val="32"/>
          <w:szCs w:val="32"/>
          <w:lang w:eastAsia="zh-CN"/>
        </w:rPr>
        <w:t>，保障其应享受的医保待遇</w:t>
      </w:r>
      <w:r>
        <w:rPr>
          <w:rFonts w:hint="eastAsia" w:eastAsia="仿宋_GB2312"/>
          <w:color w:val="auto"/>
          <w:sz w:val="32"/>
          <w:szCs w:val="32"/>
          <w:lang w:val="en-US" w:eastAsia="zh-CN"/>
        </w:rPr>
        <w:t>。</w:t>
      </w:r>
    </w:p>
    <w:p w14:paraId="4F77320B">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4</w:t>
      </w:r>
      <w:r>
        <w:rPr>
          <w:rFonts w:hint="eastAsia" w:eastAsia="仿宋_GB2312"/>
          <w:color w:val="auto"/>
          <w:sz w:val="32"/>
          <w:szCs w:val="32"/>
          <w:lang w:eastAsia="zh-CN"/>
        </w:rPr>
        <w:t>）系统软件开发、维护费</w:t>
      </w:r>
      <w:r>
        <w:rPr>
          <w:rFonts w:hint="eastAsia" w:eastAsia="仿宋_GB2312"/>
          <w:color w:val="auto"/>
          <w:sz w:val="32"/>
          <w:szCs w:val="32"/>
          <w:lang w:val="en-US" w:eastAsia="zh-CN"/>
        </w:rPr>
        <w:t>30万元。</w:t>
      </w:r>
      <w:r>
        <w:rPr>
          <w:rFonts w:eastAsia="仿宋_GB2312"/>
          <w:color w:val="auto"/>
          <w:sz w:val="32"/>
          <w:szCs w:val="32"/>
        </w:rPr>
        <w:t>主要用于</w:t>
      </w:r>
      <w:r>
        <w:rPr>
          <w:rFonts w:hint="eastAsia" w:eastAsia="仿宋_GB2312"/>
          <w:color w:val="auto"/>
          <w:sz w:val="32"/>
          <w:szCs w:val="32"/>
        </w:rPr>
        <w:t>网络传输和系统提供日常的业务数据维护、定期做好网络参数备份及保管、监测许可网络使用过程中的异常并提供相应的服务，确保网络畅通、网络运行环境安全。</w:t>
      </w:r>
    </w:p>
    <w:p w14:paraId="1017B74F">
      <w:pPr>
        <w:tabs>
          <w:tab w:val="left" w:pos="7560"/>
        </w:tabs>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（5）城乡居民医保工作经费300万元。主要用于24个镇、街医保征缴工作，确保达到预期征缴率。</w:t>
      </w:r>
    </w:p>
    <w:p w14:paraId="5E26CD3F">
      <w:pPr>
        <w:tabs>
          <w:tab w:val="left" w:pos="7560"/>
        </w:tabs>
        <w:adjustRightInd w:val="0"/>
        <w:snapToGrid w:val="0"/>
        <w:spacing w:line="560" w:lineRule="exact"/>
        <w:ind w:firstLine="640" w:firstLineChars="200"/>
        <w:jc w:val="left"/>
        <w:rPr>
          <w:rFonts w:hint="eastAsia" w:eastAsia="仿宋_GB2312"/>
          <w:color w:val="auto"/>
          <w:sz w:val="32"/>
          <w:szCs w:val="32"/>
        </w:rPr>
      </w:pPr>
      <w:r>
        <w:rPr>
          <w:rFonts w:hint="eastAsia" w:eastAsia="仿宋_GB2312"/>
          <w:color w:val="auto"/>
          <w:sz w:val="32"/>
          <w:szCs w:val="32"/>
          <w:lang w:val="en-US" w:eastAsia="zh-CN"/>
        </w:rPr>
        <w:t>（6）专家评审15万元。</w:t>
      </w:r>
      <w:r>
        <w:rPr>
          <w:rFonts w:eastAsia="仿宋_GB2312"/>
          <w:color w:val="auto"/>
          <w:sz w:val="32"/>
          <w:szCs w:val="32"/>
        </w:rPr>
        <w:t>主要用于</w:t>
      </w:r>
      <w:r>
        <w:rPr>
          <w:rFonts w:hint="eastAsia" w:eastAsia="仿宋_GB2312"/>
          <w:color w:val="auto"/>
          <w:sz w:val="32"/>
          <w:szCs w:val="32"/>
        </w:rPr>
        <w:t>邀请专家审核居民、职工日常病历，特殊门诊专家认定工作，加强医保基金监管，规范医疗行为，保证基金安全运行，减轻患者负担。</w:t>
      </w:r>
    </w:p>
    <w:p w14:paraId="26B16A85">
      <w:pPr>
        <w:tabs>
          <w:tab w:val="left" w:pos="7560"/>
        </w:tabs>
        <w:adjustRightInd w:val="0"/>
        <w:snapToGrid w:val="0"/>
        <w:spacing w:line="560" w:lineRule="exact"/>
        <w:ind w:firstLine="640" w:firstLineChars="200"/>
        <w:jc w:val="left"/>
        <w:rPr>
          <w:rFonts w:hint="default" w:eastAsia="仿宋_GB2312"/>
          <w:color w:val="auto"/>
          <w:sz w:val="32"/>
          <w:szCs w:val="32"/>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7</w:t>
      </w:r>
      <w:r>
        <w:rPr>
          <w:rFonts w:hint="eastAsia" w:eastAsia="仿宋_GB2312"/>
          <w:color w:val="auto"/>
          <w:sz w:val="32"/>
          <w:szCs w:val="32"/>
          <w:lang w:eastAsia="zh-CN"/>
        </w:rPr>
        <w:t>）打击欺诈骗保专项</w:t>
      </w:r>
      <w:r>
        <w:rPr>
          <w:rFonts w:hint="eastAsia" w:eastAsia="仿宋_GB2312"/>
          <w:color w:val="auto"/>
          <w:sz w:val="32"/>
          <w:szCs w:val="32"/>
          <w:lang w:val="en-US" w:eastAsia="zh-CN"/>
        </w:rPr>
        <w:t>43万元（含非税罚没收入28万元）。主要用于</w:t>
      </w:r>
      <w:r>
        <w:rPr>
          <w:rFonts w:hint="eastAsia" w:eastAsia="仿宋_GB2312"/>
          <w:color w:val="auto"/>
          <w:sz w:val="32"/>
          <w:szCs w:val="32"/>
        </w:rPr>
        <w:t>主要用于开展打击欺诈骗保（政策宣传及资料印刷、医保举报奖励、医保稽查）、特殊门诊及城乡居民医保筹资宣传等工作，确保医保各项工作正常有序开展。</w:t>
      </w:r>
    </w:p>
    <w:p w14:paraId="61A3203B">
      <w:pPr>
        <w:tabs>
          <w:tab w:val="left" w:pos="7560"/>
        </w:tabs>
        <w:adjustRightInd w:val="0"/>
        <w:snapToGrid w:val="0"/>
        <w:spacing w:line="560" w:lineRule="exact"/>
        <w:ind w:firstLine="640" w:firstLineChars="200"/>
        <w:rPr>
          <w:rFonts w:hint="eastAsia" w:eastAsia="黑体"/>
          <w:color w:val="auto"/>
          <w:sz w:val="32"/>
          <w:szCs w:val="32"/>
          <w:lang w:eastAsia="zh-CN"/>
        </w:rPr>
      </w:pPr>
      <w:r>
        <w:rPr>
          <w:rFonts w:hint="eastAsia" w:eastAsia="黑体"/>
          <w:color w:val="auto"/>
          <w:sz w:val="32"/>
          <w:szCs w:val="32"/>
          <w:lang w:eastAsia="zh-CN"/>
        </w:rPr>
        <w:t>六、政府性基金预算支出</w:t>
      </w:r>
    </w:p>
    <w:p w14:paraId="443AB6D6">
      <w:pPr>
        <w:tabs>
          <w:tab w:val="left" w:pos="7560"/>
        </w:tabs>
        <w:adjustRightInd w:val="0"/>
        <w:snapToGrid w:val="0"/>
        <w:spacing w:line="560" w:lineRule="exact"/>
        <w:ind w:firstLine="640" w:firstLineChars="200"/>
        <w:rPr>
          <w:rFonts w:hint="eastAsia" w:eastAsia="仿宋_GB2312"/>
          <w:bCs/>
          <w:color w:val="auto"/>
          <w:sz w:val="32"/>
          <w:szCs w:val="32"/>
          <w:lang w:eastAsia="zh-CN"/>
        </w:rPr>
      </w:pPr>
      <w:r>
        <w:rPr>
          <w:rFonts w:eastAsia="仿宋_GB2312"/>
          <w:bCs/>
          <w:color w:val="auto"/>
          <w:sz w:val="32"/>
          <w:szCs w:val="32"/>
        </w:rPr>
        <w:t>20</w:t>
      </w:r>
      <w:r>
        <w:rPr>
          <w:rFonts w:hint="eastAsia" w:eastAsia="仿宋_GB2312"/>
          <w:bCs/>
          <w:color w:val="auto"/>
          <w:sz w:val="32"/>
          <w:szCs w:val="32"/>
        </w:rPr>
        <w:t>23</w:t>
      </w:r>
      <w:r>
        <w:rPr>
          <w:rFonts w:eastAsia="仿宋_GB2312"/>
          <w:bCs/>
          <w:color w:val="auto"/>
          <w:sz w:val="32"/>
          <w:szCs w:val="32"/>
        </w:rPr>
        <w:t>年度本部门无政府性基金预算安排的支出</w:t>
      </w:r>
      <w:r>
        <w:rPr>
          <w:rFonts w:hint="eastAsia" w:eastAsia="仿宋_GB2312"/>
          <w:bCs/>
          <w:color w:val="auto"/>
          <w:sz w:val="32"/>
          <w:szCs w:val="32"/>
          <w:lang w:eastAsia="zh-CN"/>
        </w:rPr>
        <w:t>。</w:t>
      </w:r>
    </w:p>
    <w:p w14:paraId="2CC0E89B">
      <w:pPr>
        <w:tabs>
          <w:tab w:val="left" w:pos="7560"/>
        </w:tabs>
        <w:adjustRightInd w:val="0"/>
        <w:snapToGrid w:val="0"/>
        <w:spacing w:line="560" w:lineRule="exact"/>
        <w:ind w:firstLine="640" w:firstLineChars="200"/>
        <w:rPr>
          <w:rFonts w:eastAsia="黑体"/>
          <w:color w:val="auto"/>
          <w:sz w:val="32"/>
          <w:szCs w:val="32"/>
        </w:rPr>
      </w:pPr>
      <w:r>
        <w:rPr>
          <w:rFonts w:eastAsia="黑体"/>
          <w:color w:val="auto"/>
          <w:sz w:val="32"/>
          <w:szCs w:val="32"/>
        </w:rPr>
        <w:t>七、其他重要事项情况说明</w:t>
      </w:r>
    </w:p>
    <w:p w14:paraId="6136EA56">
      <w:pPr>
        <w:tabs>
          <w:tab w:val="left" w:pos="7560"/>
        </w:tabs>
        <w:adjustRightInd w:val="0"/>
        <w:snapToGrid w:val="0"/>
        <w:spacing w:line="560" w:lineRule="exact"/>
        <w:ind w:firstLine="640" w:firstLineChars="200"/>
        <w:rPr>
          <w:rFonts w:hint="eastAsia" w:eastAsia="仿宋_GB2312"/>
          <w:color w:val="auto"/>
          <w:sz w:val="32"/>
          <w:szCs w:val="32"/>
          <w:lang w:eastAsia="zh-CN"/>
        </w:rPr>
      </w:pPr>
      <w:r>
        <w:rPr>
          <w:rFonts w:eastAsia="楷体_GB2312"/>
          <w:bCs/>
          <w:color w:val="auto"/>
          <w:sz w:val="32"/>
          <w:szCs w:val="32"/>
        </w:rPr>
        <w:t>（一）机关运行经费：</w:t>
      </w:r>
      <w:r>
        <w:rPr>
          <w:rFonts w:eastAsia="仿宋_GB2312"/>
          <w:color w:val="auto"/>
          <w:sz w:val="32"/>
          <w:szCs w:val="32"/>
        </w:rPr>
        <w:t>本部门</w:t>
      </w:r>
      <w:r>
        <w:rPr>
          <w:rFonts w:hint="eastAsia" w:eastAsia="仿宋_GB2312"/>
          <w:color w:val="auto"/>
          <w:sz w:val="32"/>
          <w:szCs w:val="32"/>
        </w:rPr>
        <w:t>2023</w:t>
      </w:r>
      <w:r>
        <w:rPr>
          <w:rFonts w:eastAsia="仿宋_GB2312"/>
          <w:color w:val="auto"/>
          <w:sz w:val="32"/>
          <w:szCs w:val="32"/>
        </w:rPr>
        <w:t>年年初预算机关运行经费(</w:t>
      </w:r>
      <w:r>
        <w:rPr>
          <w:rFonts w:hint="eastAsia" w:eastAsia="仿宋_GB2312"/>
          <w:color w:val="auto"/>
          <w:sz w:val="32"/>
          <w:szCs w:val="32"/>
        </w:rPr>
        <w:t>公用类</w:t>
      </w:r>
      <w:r>
        <w:rPr>
          <w:rFonts w:eastAsia="仿宋_GB2312"/>
          <w:color w:val="auto"/>
          <w:sz w:val="32"/>
          <w:szCs w:val="32"/>
        </w:rPr>
        <w:t>+</w:t>
      </w:r>
      <w:r>
        <w:rPr>
          <w:rFonts w:hint="eastAsia" w:eastAsia="仿宋_GB2312"/>
          <w:color w:val="auto"/>
          <w:sz w:val="32"/>
          <w:szCs w:val="32"/>
        </w:rPr>
        <w:t>其他运转类</w:t>
      </w:r>
      <w:r>
        <w:rPr>
          <w:rFonts w:eastAsia="仿宋_GB2312"/>
          <w:color w:val="auto"/>
          <w:sz w:val="32"/>
          <w:szCs w:val="32"/>
        </w:rPr>
        <w:t>)共安排</w:t>
      </w:r>
      <w:r>
        <w:rPr>
          <w:rFonts w:hint="eastAsia" w:eastAsia="仿宋_GB2312"/>
          <w:color w:val="auto"/>
          <w:sz w:val="32"/>
          <w:szCs w:val="32"/>
          <w:lang w:val="en-US" w:eastAsia="zh-CN"/>
        </w:rPr>
        <w:t>159.14</w:t>
      </w:r>
      <w:r>
        <w:rPr>
          <w:rFonts w:eastAsia="仿宋_GB2312"/>
          <w:color w:val="auto"/>
          <w:sz w:val="32"/>
          <w:szCs w:val="32"/>
        </w:rPr>
        <w:t>万元，比上年度预算减少</w:t>
      </w:r>
      <w:r>
        <w:rPr>
          <w:rFonts w:hint="eastAsia" w:eastAsia="仿宋_GB2312"/>
          <w:color w:val="auto"/>
          <w:sz w:val="32"/>
          <w:szCs w:val="32"/>
          <w:lang w:val="en-US" w:eastAsia="zh-CN"/>
        </w:rPr>
        <w:t>17.23</w:t>
      </w:r>
      <w:r>
        <w:rPr>
          <w:rFonts w:eastAsia="仿宋_GB2312"/>
          <w:color w:val="auto"/>
          <w:sz w:val="32"/>
          <w:szCs w:val="32"/>
        </w:rPr>
        <w:t>万元，</w:t>
      </w:r>
      <w:r>
        <w:rPr>
          <w:rFonts w:eastAsia="仿宋_GB2312"/>
          <w:bCs/>
          <w:color w:val="auto"/>
          <w:sz w:val="32"/>
          <w:szCs w:val="32"/>
        </w:rPr>
        <w:t>减少的主要原因是：</w:t>
      </w:r>
      <w:r>
        <w:rPr>
          <w:rFonts w:hint="eastAsia" w:eastAsia="仿宋_GB2312"/>
          <w:bCs/>
          <w:color w:val="auto"/>
          <w:sz w:val="32"/>
          <w:szCs w:val="32"/>
          <w:lang w:eastAsia="zh-CN"/>
        </w:rPr>
        <w:t>削减了非必要开支。</w:t>
      </w:r>
    </w:p>
    <w:p w14:paraId="42596CF3">
      <w:pPr>
        <w:adjustRightInd w:val="0"/>
        <w:snapToGrid w:val="0"/>
        <w:spacing w:line="560" w:lineRule="exact"/>
        <w:ind w:firstLine="640" w:firstLineChars="200"/>
        <w:rPr>
          <w:rFonts w:hint="eastAsia" w:eastAsia="仿宋_GB2312"/>
          <w:color w:val="auto"/>
          <w:sz w:val="32"/>
          <w:szCs w:val="32"/>
          <w:lang w:eastAsia="zh-CN"/>
        </w:rPr>
      </w:pPr>
      <w:r>
        <w:rPr>
          <w:rFonts w:eastAsia="楷体_GB2312"/>
          <w:bCs/>
          <w:color w:val="auto"/>
          <w:sz w:val="32"/>
          <w:szCs w:val="32"/>
        </w:rPr>
        <w:t>（二) 政府采购预算</w:t>
      </w:r>
      <w:r>
        <w:rPr>
          <w:rFonts w:hAnsi="华文楷体" w:eastAsia="华文楷体"/>
          <w:color w:val="auto"/>
          <w:sz w:val="32"/>
          <w:szCs w:val="32"/>
        </w:rPr>
        <w:t>：</w:t>
      </w:r>
      <w:r>
        <w:rPr>
          <w:rFonts w:eastAsia="仿宋_GB2312"/>
          <w:color w:val="auto"/>
          <w:sz w:val="32"/>
          <w:szCs w:val="32"/>
        </w:rPr>
        <w:t>本部门2023年年初预算数为</w:t>
      </w:r>
      <w:r>
        <w:rPr>
          <w:rFonts w:hint="eastAsia" w:eastAsia="仿宋_GB2312"/>
          <w:color w:val="auto"/>
          <w:sz w:val="32"/>
          <w:szCs w:val="32"/>
          <w:lang w:val="en-US" w:eastAsia="zh-CN"/>
        </w:rPr>
        <w:t>0</w:t>
      </w:r>
      <w:r>
        <w:rPr>
          <w:rFonts w:eastAsia="仿宋_GB2312"/>
          <w:color w:val="auto"/>
          <w:sz w:val="32"/>
          <w:szCs w:val="32"/>
        </w:rPr>
        <w:t>万元。</w:t>
      </w:r>
      <w:r>
        <w:rPr>
          <w:rFonts w:hint="eastAsia" w:eastAsia="仿宋_GB2312"/>
          <w:color w:val="auto"/>
          <w:sz w:val="32"/>
          <w:szCs w:val="32"/>
        </w:rPr>
        <w:t>政府采购货物类</w:t>
      </w:r>
      <w:r>
        <w:rPr>
          <w:rFonts w:hint="eastAsia" w:eastAsia="仿宋_GB2312"/>
          <w:color w:val="auto"/>
          <w:sz w:val="32"/>
          <w:szCs w:val="32"/>
          <w:lang w:val="en-US" w:eastAsia="zh-CN"/>
        </w:rPr>
        <w:t>0</w:t>
      </w:r>
      <w:r>
        <w:rPr>
          <w:rFonts w:hint="eastAsia" w:eastAsia="仿宋_GB2312"/>
          <w:color w:val="auto"/>
          <w:sz w:val="32"/>
          <w:szCs w:val="32"/>
        </w:rPr>
        <w:t>万元，服务类</w:t>
      </w:r>
      <w:r>
        <w:rPr>
          <w:rFonts w:hint="eastAsia" w:eastAsia="仿宋_GB2312"/>
          <w:color w:val="auto"/>
          <w:sz w:val="32"/>
          <w:szCs w:val="32"/>
          <w:lang w:val="en-US" w:eastAsia="zh-CN"/>
        </w:rPr>
        <w:t>0</w:t>
      </w:r>
      <w:r>
        <w:rPr>
          <w:rFonts w:hint="eastAsia" w:eastAsia="仿宋_GB2312"/>
          <w:color w:val="auto"/>
          <w:sz w:val="32"/>
          <w:szCs w:val="32"/>
        </w:rPr>
        <w:t>万元，工程</w:t>
      </w:r>
      <w:r>
        <w:rPr>
          <w:rFonts w:hint="eastAsia" w:eastAsia="仿宋_GB2312"/>
          <w:color w:val="auto"/>
          <w:sz w:val="32"/>
          <w:szCs w:val="32"/>
          <w:lang w:val="en-US" w:eastAsia="zh-CN"/>
        </w:rPr>
        <w:t>类0</w:t>
      </w:r>
      <w:r>
        <w:rPr>
          <w:rFonts w:hint="eastAsia" w:eastAsia="仿宋_GB2312"/>
          <w:color w:val="auto"/>
          <w:sz w:val="32"/>
          <w:szCs w:val="32"/>
        </w:rPr>
        <w:t>万元</w:t>
      </w:r>
      <w:r>
        <w:rPr>
          <w:rFonts w:hint="eastAsia" w:eastAsia="仿宋_GB2312"/>
          <w:color w:val="auto"/>
          <w:sz w:val="32"/>
          <w:szCs w:val="32"/>
          <w:lang w:eastAsia="zh-CN"/>
        </w:rPr>
        <w:t>。</w:t>
      </w:r>
    </w:p>
    <w:p w14:paraId="3D342DCD">
      <w:pPr>
        <w:tabs>
          <w:tab w:val="left" w:pos="7560"/>
        </w:tabs>
        <w:adjustRightInd w:val="0"/>
        <w:snapToGrid w:val="0"/>
        <w:spacing w:line="560" w:lineRule="exact"/>
        <w:ind w:firstLine="640" w:firstLineChars="200"/>
        <w:rPr>
          <w:rFonts w:eastAsia="仿宋_GB2312"/>
          <w:color w:val="auto"/>
          <w:sz w:val="32"/>
          <w:szCs w:val="32"/>
        </w:rPr>
      </w:pPr>
      <w:r>
        <w:rPr>
          <w:rFonts w:eastAsia="楷体_GB2312"/>
          <w:bCs/>
          <w:color w:val="auto"/>
          <w:sz w:val="32"/>
          <w:szCs w:val="32"/>
        </w:rPr>
        <w:t>（三）国有资产占有情况：</w:t>
      </w:r>
      <w:r>
        <w:rPr>
          <w:rFonts w:eastAsia="仿宋_GB2312"/>
          <w:color w:val="auto"/>
          <w:sz w:val="32"/>
          <w:szCs w:val="32"/>
        </w:rPr>
        <w:t>截止20</w:t>
      </w:r>
      <w:r>
        <w:rPr>
          <w:rFonts w:hint="eastAsia" w:eastAsia="仿宋_GB2312"/>
          <w:color w:val="auto"/>
          <w:sz w:val="32"/>
          <w:szCs w:val="32"/>
        </w:rPr>
        <w:t>22</w:t>
      </w:r>
      <w:r>
        <w:rPr>
          <w:rFonts w:eastAsia="仿宋_GB2312"/>
          <w:color w:val="auto"/>
          <w:sz w:val="32"/>
          <w:szCs w:val="32"/>
        </w:rPr>
        <w:t>年12月31日，本部门共有办公及业务用房</w:t>
      </w:r>
      <w:r>
        <w:rPr>
          <w:rFonts w:hint="eastAsia" w:eastAsia="仿宋_GB2312"/>
          <w:color w:val="auto"/>
          <w:sz w:val="32"/>
          <w:szCs w:val="32"/>
          <w:lang w:val="en-US" w:eastAsia="zh-CN"/>
        </w:rPr>
        <w:t>0</w:t>
      </w:r>
      <w:r>
        <w:rPr>
          <w:rFonts w:eastAsia="仿宋_GB2312"/>
          <w:color w:val="auto"/>
          <w:sz w:val="32"/>
          <w:szCs w:val="32"/>
        </w:rPr>
        <w:t>平方米；车辆</w:t>
      </w:r>
      <w:r>
        <w:rPr>
          <w:rFonts w:hint="eastAsia" w:eastAsia="仿宋_GB2312"/>
          <w:color w:val="auto"/>
          <w:sz w:val="32"/>
          <w:szCs w:val="32"/>
          <w:lang w:val="en-US" w:eastAsia="zh-CN"/>
        </w:rPr>
        <w:t>0</w:t>
      </w:r>
      <w:r>
        <w:rPr>
          <w:rFonts w:eastAsia="仿宋_GB2312"/>
          <w:color w:val="auto"/>
          <w:sz w:val="32"/>
          <w:szCs w:val="32"/>
        </w:rPr>
        <w:t>辆，其中一般公务用车</w:t>
      </w:r>
      <w:r>
        <w:rPr>
          <w:rFonts w:hint="eastAsia" w:eastAsia="仿宋_GB2312"/>
          <w:color w:val="auto"/>
          <w:sz w:val="32"/>
          <w:szCs w:val="32"/>
          <w:lang w:val="en-US" w:eastAsia="zh-CN"/>
        </w:rPr>
        <w:t>0</w:t>
      </w:r>
      <w:r>
        <w:rPr>
          <w:rFonts w:eastAsia="仿宋_GB2312"/>
          <w:color w:val="auto"/>
          <w:sz w:val="32"/>
          <w:szCs w:val="32"/>
        </w:rPr>
        <w:t>辆、一般执法执勤用车</w:t>
      </w:r>
      <w:r>
        <w:rPr>
          <w:rFonts w:hint="eastAsia" w:eastAsia="仿宋_GB2312"/>
          <w:color w:val="auto"/>
          <w:sz w:val="32"/>
          <w:szCs w:val="32"/>
          <w:lang w:val="en-US" w:eastAsia="zh-CN"/>
        </w:rPr>
        <w:t>0</w:t>
      </w:r>
      <w:r>
        <w:rPr>
          <w:rFonts w:eastAsia="仿宋_GB2312"/>
          <w:color w:val="auto"/>
          <w:sz w:val="32"/>
          <w:szCs w:val="32"/>
        </w:rPr>
        <w:t>辆、货币化用车</w:t>
      </w:r>
      <w:r>
        <w:rPr>
          <w:rFonts w:hint="eastAsia" w:eastAsia="仿宋_GB2312"/>
          <w:color w:val="auto"/>
          <w:sz w:val="32"/>
          <w:szCs w:val="32"/>
          <w:lang w:val="en-US" w:eastAsia="zh-CN"/>
        </w:rPr>
        <w:t>0</w:t>
      </w:r>
      <w:r>
        <w:rPr>
          <w:rFonts w:eastAsia="仿宋_GB2312"/>
          <w:color w:val="auto"/>
          <w:sz w:val="32"/>
          <w:szCs w:val="32"/>
        </w:rPr>
        <w:t>辆；单位价值200万以上大型设备</w:t>
      </w:r>
      <w:r>
        <w:rPr>
          <w:rFonts w:hint="eastAsia" w:eastAsia="仿宋_GB2312"/>
          <w:color w:val="auto"/>
          <w:sz w:val="32"/>
          <w:szCs w:val="32"/>
          <w:lang w:val="en-US" w:eastAsia="zh-CN"/>
        </w:rPr>
        <w:t>0</w:t>
      </w:r>
      <w:r>
        <w:rPr>
          <w:rFonts w:eastAsia="仿宋_GB2312"/>
          <w:color w:val="auto"/>
          <w:sz w:val="32"/>
          <w:szCs w:val="32"/>
        </w:rPr>
        <w:t>套。20</w:t>
      </w:r>
      <w:r>
        <w:rPr>
          <w:rFonts w:hint="eastAsia" w:eastAsia="仿宋_GB2312"/>
          <w:color w:val="auto"/>
          <w:sz w:val="32"/>
          <w:szCs w:val="32"/>
        </w:rPr>
        <w:t>23</w:t>
      </w:r>
      <w:r>
        <w:rPr>
          <w:rFonts w:eastAsia="仿宋_GB2312"/>
          <w:color w:val="auto"/>
          <w:sz w:val="32"/>
          <w:szCs w:val="32"/>
        </w:rPr>
        <w:t>年部门预算安排购置车辆</w:t>
      </w:r>
      <w:r>
        <w:rPr>
          <w:rFonts w:hint="eastAsia" w:eastAsia="仿宋_GB2312"/>
          <w:color w:val="auto"/>
          <w:sz w:val="32"/>
          <w:szCs w:val="32"/>
          <w:lang w:val="en-US" w:eastAsia="zh-CN"/>
        </w:rPr>
        <w:t>0</w:t>
      </w:r>
      <w:r>
        <w:rPr>
          <w:rFonts w:eastAsia="仿宋_GB2312"/>
          <w:color w:val="auto"/>
          <w:sz w:val="32"/>
          <w:szCs w:val="32"/>
        </w:rPr>
        <w:t>辆，预算安排购置价值200万以上大型设备</w:t>
      </w:r>
      <w:r>
        <w:rPr>
          <w:rFonts w:hint="eastAsia" w:eastAsia="仿宋_GB2312"/>
          <w:color w:val="auto"/>
          <w:sz w:val="32"/>
          <w:szCs w:val="32"/>
          <w:lang w:val="en-US" w:eastAsia="zh-CN"/>
        </w:rPr>
        <w:t>0</w:t>
      </w:r>
      <w:r>
        <w:rPr>
          <w:rFonts w:eastAsia="仿宋_GB2312"/>
          <w:color w:val="auto"/>
          <w:sz w:val="32"/>
          <w:szCs w:val="32"/>
        </w:rPr>
        <w:t>套。</w:t>
      </w:r>
    </w:p>
    <w:p w14:paraId="53D926C6">
      <w:pPr>
        <w:tabs>
          <w:tab w:val="left" w:pos="7560"/>
        </w:tabs>
        <w:adjustRightInd w:val="0"/>
        <w:snapToGrid w:val="0"/>
        <w:spacing w:line="560" w:lineRule="exact"/>
        <w:ind w:firstLine="640" w:firstLineChars="200"/>
        <w:rPr>
          <w:rFonts w:eastAsia="仿宋_GB2312"/>
          <w:b/>
          <w:bCs/>
          <w:color w:val="auto"/>
          <w:sz w:val="32"/>
          <w:szCs w:val="32"/>
        </w:rPr>
      </w:pPr>
      <w:r>
        <w:rPr>
          <w:rFonts w:eastAsia="楷体_GB2312"/>
          <w:bCs/>
          <w:color w:val="auto"/>
          <w:sz w:val="32"/>
          <w:szCs w:val="32"/>
        </w:rPr>
        <w:t>（四）重点项目预算的绩效目标等情况：</w:t>
      </w:r>
      <w:r>
        <w:rPr>
          <w:rFonts w:eastAsia="仿宋_GB2312"/>
          <w:color w:val="auto"/>
          <w:sz w:val="32"/>
          <w:szCs w:val="32"/>
        </w:rPr>
        <w:t>本部门整体支出和项目支出实行绩效目标管理，纳入20</w:t>
      </w:r>
      <w:r>
        <w:rPr>
          <w:rFonts w:hint="eastAsia" w:eastAsia="仿宋_GB2312"/>
          <w:color w:val="auto"/>
          <w:sz w:val="32"/>
          <w:szCs w:val="32"/>
        </w:rPr>
        <w:t>23</w:t>
      </w:r>
      <w:r>
        <w:rPr>
          <w:rFonts w:eastAsia="仿宋_GB2312"/>
          <w:color w:val="auto"/>
          <w:sz w:val="32"/>
          <w:szCs w:val="32"/>
        </w:rPr>
        <w:t>年部门整体支出绩效目标的金额为</w:t>
      </w:r>
      <w:r>
        <w:rPr>
          <w:rFonts w:hint="eastAsia" w:eastAsia="仿宋_GB2312"/>
          <w:color w:val="auto"/>
          <w:sz w:val="32"/>
          <w:szCs w:val="32"/>
          <w:lang w:val="en-US" w:eastAsia="zh-CN"/>
        </w:rPr>
        <w:t>4121.11</w:t>
      </w:r>
      <w:r>
        <w:rPr>
          <w:rFonts w:eastAsia="仿宋_GB2312"/>
          <w:color w:val="auto"/>
          <w:sz w:val="32"/>
          <w:szCs w:val="32"/>
        </w:rPr>
        <w:t>万元，其中，基本支出</w:t>
      </w:r>
      <w:r>
        <w:rPr>
          <w:rFonts w:hint="eastAsia" w:eastAsia="仿宋_GB2312"/>
          <w:color w:val="auto"/>
          <w:sz w:val="32"/>
          <w:szCs w:val="32"/>
          <w:lang w:val="en-US" w:eastAsia="zh-CN"/>
        </w:rPr>
        <w:t>367.51</w:t>
      </w:r>
      <w:r>
        <w:rPr>
          <w:rFonts w:eastAsia="仿宋_GB2312"/>
          <w:color w:val="auto"/>
          <w:sz w:val="32"/>
          <w:szCs w:val="32"/>
        </w:rPr>
        <w:t>万元，项目支出</w:t>
      </w:r>
      <w:r>
        <w:rPr>
          <w:rFonts w:hint="eastAsia" w:eastAsia="仿宋_GB2312"/>
          <w:color w:val="auto"/>
          <w:sz w:val="32"/>
          <w:szCs w:val="32"/>
          <w:lang w:val="en-US" w:eastAsia="zh-CN"/>
        </w:rPr>
        <w:t>3753.6</w:t>
      </w:r>
      <w:r>
        <w:rPr>
          <w:rFonts w:eastAsia="仿宋_GB2312"/>
          <w:color w:val="auto"/>
          <w:sz w:val="32"/>
          <w:szCs w:val="32"/>
        </w:rPr>
        <w:t>万元。 </w:t>
      </w:r>
    </w:p>
    <w:p w14:paraId="2951A99A">
      <w:pPr>
        <w:tabs>
          <w:tab w:val="left" w:pos="7560"/>
        </w:tabs>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（五）一般公共预算“三公”经费情况：</w:t>
      </w:r>
      <w:r>
        <w:rPr>
          <w:rFonts w:eastAsia="仿宋_GB2312"/>
          <w:color w:val="auto"/>
          <w:sz w:val="32"/>
          <w:szCs w:val="32"/>
        </w:rPr>
        <w:t>2023年“三公”经费预算数</w:t>
      </w:r>
      <w:r>
        <w:rPr>
          <w:rFonts w:hint="eastAsia" w:eastAsia="仿宋_GB2312"/>
          <w:color w:val="auto"/>
          <w:sz w:val="32"/>
          <w:szCs w:val="32"/>
          <w:lang w:val="en-US" w:eastAsia="zh-CN"/>
        </w:rPr>
        <w:t>3</w:t>
      </w:r>
      <w:r>
        <w:rPr>
          <w:rFonts w:eastAsia="仿宋_GB2312"/>
          <w:color w:val="auto"/>
          <w:sz w:val="32"/>
          <w:szCs w:val="32"/>
        </w:rPr>
        <w:t>万元，其中：“因公出国（境）费”</w:t>
      </w:r>
      <w:r>
        <w:rPr>
          <w:rFonts w:hint="eastAsia" w:eastAsia="仿宋_GB2312"/>
          <w:color w:val="auto"/>
          <w:sz w:val="32"/>
          <w:szCs w:val="32"/>
          <w:lang w:val="en-US" w:eastAsia="zh-CN"/>
        </w:rPr>
        <w:t>0</w:t>
      </w:r>
      <w:r>
        <w:rPr>
          <w:rFonts w:eastAsia="仿宋_GB2312"/>
          <w:color w:val="auto"/>
          <w:sz w:val="32"/>
          <w:szCs w:val="32"/>
        </w:rPr>
        <w:t>万元、“公务用车购置及运行费”</w:t>
      </w:r>
      <w:r>
        <w:rPr>
          <w:rFonts w:hint="eastAsia" w:eastAsia="仿宋_GB2312"/>
          <w:color w:val="auto"/>
          <w:sz w:val="32"/>
          <w:szCs w:val="32"/>
          <w:lang w:val="en-US" w:eastAsia="zh-CN"/>
        </w:rPr>
        <w:t>0</w:t>
      </w:r>
      <w:r>
        <w:rPr>
          <w:rFonts w:eastAsia="仿宋_GB2312"/>
          <w:color w:val="auto"/>
          <w:sz w:val="32"/>
          <w:szCs w:val="32"/>
        </w:rPr>
        <w:t>万元、“公务接待费”</w:t>
      </w:r>
      <w:r>
        <w:rPr>
          <w:rFonts w:hint="eastAsia" w:eastAsia="仿宋_GB2312"/>
          <w:color w:val="auto"/>
          <w:sz w:val="32"/>
          <w:szCs w:val="32"/>
          <w:lang w:val="en-US" w:eastAsia="zh-CN"/>
        </w:rPr>
        <w:t>3</w:t>
      </w:r>
      <w:r>
        <w:rPr>
          <w:rFonts w:eastAsia="仿宋_GB2312"/>
          <w:color w:val="auto"/>
          <w:sz w:val="32"/>
          <w:szCs w:val="32"/>
        </w:rPr>
        <w:t>万元。</w:t>
      </w:r>
    </w:p>
    <w:p w14:paraId="3AD05621">
      <w:pPr>
        <w:tabs>
          <w:tab w:val="left" w:pos="7560"/>
        </w:tabs>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年“三公”经费预算数比2022年减少</w:t>
      </w:r>
      <w:r>
        <w:rPr>
          <w:rFonts w:hint="eastAsia" w:eastAsia="仿宋_GB2312"/>
          <w:color w:val="auto"/>
          <w:sz w:val="32"/>
          <w:szCs w:val="32"/>
          <w:lang w:val="en-US" w:eastAsia="zh-CN"/>
        </w:rPr>
        <w:t>4</w:t>
      </w:r>
      <w:r>
        <w:rPr>
          <w:rFonts w:eastAsia="仿宋_GB2312"/>
          <w:color w:val="auto"/>
          <w:sz w:val="32"/>
          <w:szCs w:val="32"/>
        </w:rPr>
        <w:t>万元，主要是因为</w:t>
      </w:r>
      <w:r>
        <w:rPr>
          <w:rFonts w:hint="eastAsia" w:eastAsia="仿宋_GB2312"/>
          <w:color w:val="auto"/>
          <w:sz w:val="32"/>
          <w:szCs w:val="32"/>
          <w:lang w:eastAsia="zh-CN"/>
        </w:rPr>
        <w:t>压减“三公”经费支出，贯彻过“紧日子”精神</w:t>
      </w:r>
      <w:r>
        <w:rPr>
          <w:rFonts w:eastAsia="仿宋_GB2312"/>
          <w:color w:val="auto"/>
          <w:sz w:val="32"/>
          <w:szCs w:val="32"/>
        </w:rPr>
        <w:t>。</w:t>
      </w:r>
    </w:p>
    <w:p w14:paraId="33F2E0A8">
      <w:pPr>
        <w:tabs>
          <w:tab w:val="left" w:pos="7560"/>
        </w:tabs>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（六）会议费、培训费预算：</w:t>
      </w:r>
    </w:p>
    <w:p w14:paraId="1F388FE9">
      <w:pPr>
        <w:tabs>
          <w:tab w:val="left" w:pos="7560"/>
        </w:tabs>
        <w:adjustRightInd w:val="0"/>
        <w:snapToGrid w:val="0"/>
        <w:spacing w:line="560" w:lineRule="exact"/>
        <w:ind w:firstLine="640" w:firstLineChars="200"/>
        <w:rPr>
          <w:rFonts w:hint="eastAsia" w:eastAsia="仿宋_GB2312"/>
          <w:color w:val="auto"/>
          <w:sz w:val="32"/>
          <w:szCs w:val="32"/>
          <w:lang w:eastAsia="zh-CN"/>
        </w:rPr>
      </w:pP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年预算安排会议费</w:t>
      </w:r>
      <w:r>
        <w:rPr>
          <w:rFonts w:hint="eastAsia" w:eastAsia="仿宋_GB2312"/>
          <w:color w:val="auto"/>
          <w:sz w:val="32"/>
          <w:szCs w:val="32"/>
          <w:lang w:val="en-US" w:eastAsia="zh-CN"/>
        </w:rPr>
        <w:t>0</w:t>
      </w:r>
      <w:r>
        <w:rPr>
          <w:rFonts w:eastAsia="仿宋_GB2312"/>
          <w:color w:val="auto"/>
          <w:sz w:val="32"/>
          <w:szCs w:val="32"/>
        </w:rPr>
        <w:t>万元</w:t>
      </w:r>
      <w:r>
        <w:rPr>
          <w:rFonts w:hint="eastAsia" w:eastAsia="仿宋_GB2312"/>
          <w:color w:val="auto"/>
          <w:sz w:val="32"/>
          <w:szCs w:val="32"/>
          <w:lang w:eastAsia="zh-CN"/>
        </w:rPr>
        <w:t>。</w:t>
      </w:r>
    </w:p>
    <w:p w14:paraId="62FF7060">
      <w:pPr>
        <w:tabs>
          <w:tab w:val="left" w:pos="7560"/>
        </w:tabs>
        <w:adjustRightInd w:val="0"/>
        <w:snapToGrid w:val="0"/>
        <w:spacing w:line="560" w:lineRule="exact"/>
        <w:ind w:firstLine="640" w:firstLineChars="200"/>
        <w:rPr>
          <w:rFonts w:hint="eastAsia" w:eastAsia="仿宋_GB2312"/>
          <w:color w:val="auto"/>
          <w:sz w:val="32"/>
          <w:szCs w:val="32"/>
          <w:lang w:eastAsia="zh-CN"/>
        </w:rPr>
      </w:pP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年预算安排培训费</w:t>
      </w:r>
      <w:r>
        <w:rPr>
          <w:rFonts w:hint="eastAsia" w:eastAsia="仿宋_GB2312"/>
          <w:color w:val="auto"/>
          <w:sz w:val="32"/>
          <w:szCs w:val="32"/>
          <w:lang w:val="en-US" w:eastAsia="zh-CN"/>
        </w:rPr>
        <w:t>0</w:t>
      </w:r>
      <w:r>
        <w:rPr>
          <w:rFonts w:eastAsia="仿宋_GB2312"/>
          <w:color w:val="auto"/>
          <w:sz w:val="32"/>
          <w:szCs w:val="32"/>
        </w:rPr>
        <w:t>万元</w:t>
      </w:r>
      <w:r>
        <w:rPr>
          <w:rFonts w:hint="eastAsia" w:eastAsia="仿宋_GB2312"/>
          <w:color w:val="auto"/>
          <w:sz w:val="32"/>
          <w:szCs w:val="32"/>
          <w:lang w:eastAsia="zh-CN"/>
        </w:rPr>
        <w:t>。</w:t>
      </w:r>
    </w:p>
    <w:p w14:paraId="16F20033">
      <w:pPr>
        <w:tabs>
          <w:tab w:val="left" w:pos="7560"/>
        </w:tabs>
        <w:adjustRightInd w:val="0"/>
        <w:snapToGrid w:val="0"/>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rPr>
        <w:t>未计划举办节庆、晚会、论坛、赛事活动。</w:t>
      </w:r>
    </w:p>
    <w:p w14:paraId="3EDE3A5B">
      <w:pPr>
        <w:tabs>
          <w:tab w:val="left" w:pos="7560"/>
        </w:tabs>
        <w:adjustRightInd w:val="0"/>
        <w:snapToGrid w:val="0"/>
        <w:spacing w:line="560" w:lineRule="exact"/>
        <w:ind w:firstLine="640" w:firstLineChars="200"/>
        <w:rPr>
          <w:rFonts w:hint="eastAsia" w:eastAsia="仿宋_GB2312"/>
          <w:color w:val="auto"/>
          <w:sz w:val="32"/>
          <w:szCs w:val="32"/>
          <w:lang w:eastAsia="zh-CN"/>
        </w:rPr>
      </w:pPr>
      <w:bookmarkStart w:id="0" w:name="_GoBack"/>
      <w:bookmarkEnd w:id="0"/>
    </w:p>
    <w:p w14:paraId="4DE840B2">
      <w:pPr>
        <w:numPr>
          <w:ilvl w:val="0"/>
          <w:numId w:val="2"/>
        </w:numPr>
        <w:tabs>
          <w:tab w:val="left" w:pos="7560"/>
        </w:tabs>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其他事项。</w:t>
      </w:r>
    </w:p>
    <w:p w14:paraId="0B40A125">
      <w:pPr>
        <w:tabs>
          <w:tab w:val="left" w:pos="7560"/>
        </w:tabs>
        <w:adjustRightInd w:val="0"/>
        <w:snapToGrid w:val="0"/>
        <w:spacing w:line="560" w:lineRule="exact"/>
        <w:ind w:firstLine="640" w:firstLineChars="200"/>
        <w:rPr>
          <w:rFonts w:hint="eastAsia" w:eastAsia="仿宋_GB2312"/>
          <w:color w:val="auto"/>
          <w:sz w:val="32"/>
          <w:szCs w:val="32"/>
          <w:lang w:eastAsia="zh-CN"/>
        </w:rPr>
      </w:pPr>
      <w:r>
        <w:rPr>
          <w:rFonts w:eastAsia="仿宋_GB2312"/>
          <w:color w:val="auto"/>
          <w:sz w:val="32"/>
          <w:szCs w:val="32"/>
        </w:rPr>
        <w:t>本单位20</w:t>
      </w:r>
      <w:r>
        <w:rPr>
          <w:rFonts w:hint="eastAsia" w:eastAsia="仿宋_GB2312"/>
          <w:color w:val="auto"/>
          <w:sz w:val="32"/>
          <w:szCs w:val="32"/>
        </w:rPr>
        <w:t>23</w:t>
      </w:r>
      <w:r>
        <w:rPr>
          <w:rFonts w:eastAsia="仿宋_GB2312"/>
          <w:color w:val="auto"/>
          <w:sz w:val="32"/>
          <w:szCs w:val="32"/>
        </w:rPr>
        <w:t>年预算未安排政府性基金收支预算</w:t>
      </w:r>
      <w:r>
        <w:rPr>
          <w:rFonts w:hint="eastAsia" w:eastAsia="仿宋_GB2312"/>
          <w:color w:val="auto"/>
          <w:sz w:val="32"/>
          <w:szCs w:val="32"/>
          <w:lang w:eastAsia="zh-CN"/>
        </w:rPr>
        <w:t>、国有资本经营预算、财政专户管理资金预算。本单位无门户网站，统一在政府门户网站上公开。</w:t>
      </w:r>
    </w:p>
    <w:p w14:paraId="700AE53F">
      <w:pPr>
        <w:tabs>
          <w:tab w:val="left" w:pos="7560"/>
        </w:tabs>
        <w:adjustRightInd w:val="0"/>
        <w:snapToGrid w:val="0"/>
        <w:spacing w:line="560" w:lineRule="exact"/>
        <w:ind w:firstLine="640" w:firstLineChars="200"/>
        <w:rPr>
          <w:rFonts w:eastAsia="黑体"/>
          <w:bCs/>
          <w:color w:val="auto"/>
          <w:sz w:val="32"/>
          <w:szCs w:val="32"/>
        </w:rPr>
      </w:pPr>
      <w:r>
        <w:rPr>
          <w:rFonts w:hAnsi="黑体" w:eastAsia="黑体"/>
          <w:bCs/>
          <w:color w:val="auto"/>
          <w:sz w:val="32"/>
          <w:szCs w:val="32"/>
        </w:rPr>
        <w:t>八、名词解释</w:t>
      </w:r>
    </w:p>
    <w:p w14:paraId="3712CB19">
      <w:pPr>
        <w:tabs>
          <w:tab w:val="left" w:pos="7560"/>
        </w:tabs>
        <w:adjustRightInd w:val="0"/>
        <w:snapToGrid w:val="0"/>
        <w:spacing w:line="560" w:lineRule="exact"/>
        <w:ind w:firstLine="643" w:firstLineChars="200"/>
        <w:rPr>
          <w:rFonts w:eastAsia="仿宋_GB2312"/>
          <w:color w:val="auto"/>
          <w:sz w:val="32"/>
          <w:szCs w:val="32"/>
        </w:rPr>
      </w:pPr>
      <w:r>
        <w:rPr>
          <w:rFonts w:eastAsia="仿宋_GB2312"/>
          <w:b/>
          <w:color w:val="auto"/>
          <w:sz w:val="32"/>
          <w:szCs w:val="32"/>
        </w:rPr>
        <w:t>（一）一般公共预算:</w:t>
      </w:r>
      <w:r>
        <w:rPr>
          <w:rFonts w:eastAsia="仿宋_GB2312"/>
          <w:color w:val="auto"/>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7B728B7A">
      <w:pPr>
        <w:tabs>
          <w:tab w:val="left" w:pos="7560"/>
        </w:tabs>
        <w:adjustRightInd w:val="0"/>
        <w:snapToGrid w:val="0"/>
        <w:spacing w:line="560" w:lineRule="exact"/>
        <w:ind w:firstLine="643" w:firstLineChars="200"/>
        <w:rPr>
          <w:rFonts w:eastAsia="仿宋_GB2312"/>
          <w:color w:val="auto"/>
          <w:sz w:val="32"/>
          <w:szCs w:val="32"/>
        </w:rPr>
      </w:pPr>
      <w:r>
        <w:rPr>
          <w:rFonts w:eastAsia="仿宋_GB2312"/>
          <w:b/>
          <w:color w:val="auto"/>
          <w:sz w:val="32"/>
          <w:szCs w:val="32"/>
        </w:rPr>
        <w:t>（二）政府性基金预算:</w:t>
      </w:r>
      <w:r>
        <w:rPr>
          <w:rFonts w:eastAsia="仿宋_GB2312"/>
          <w:color w:val="auto"/>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2FBCF1C8">
      <w:pPr>
        <w:tabs>
          <w:tab w:val="left" w:pos="7560"/>
        </w:tabs>
        <w:adjustRightInd w:val="0"/>
        <w:snapToGrid w:val="0"/>
        <w:spacing w:line="560" w:lineRule="exact"/>
        <w:ind w:firstLine="643" w:firstLineChars="200"/>
        <w:rPr>
          <w:rFonts w:eastAsia="仿宋_GB2312"/>
          <w:color w:val="auto"/>
          <w:sz w:val="32"/>
          <w:szCs w:val="32"/>
        </w:rPr>
      </w:pPr>
      <w:r>
        <w:rPr>
          <w:rFonts w:eastAsia="仿宋_GB2312"/>
          <w:b/>
          <w:color w:val="auto"/>
          <w:sz w:val="32"/>
          <w:szCs w:val="32"/>
        </w:rPr>
        <w:t xml:space="preserve">（三）国有资本经营预算: </w:t>
      </w:r>
      <w:r>
        <w:rPr>
          <w:rFonts w:eastAsia="仿宋_GB2312"/>
          <w:color w:val="auto"/>
          <w:sz w:val="32"/>
          <w:szCs w:val="32"/>
        </w:rPr>
        <w:t>是对国有资本收益作出支出安排的收支预算。应当按照收支平衡的原则编制，不列赤字，并安排资金调入一般公共预算。</w:t>
      </w:r>
    </w:p>
    <w:p w14:paraId="385B4560">
      <w:pPr>
        <w:tabs>
          <w:tab w:val="left" w:pos="7560"/>
        </w:tabs>
        <w:adjustRightInd w:val="0"/>
        <w:snapToGrid w:val="0"/>
        <w:spacing w:line="560" w:lineRule="exact"/>
        <w:ind w:firstLine="643" w:firstLineChars="200"/>
        <w:rPr>
          <w:rFonts w:eastAsia="仿宋_GB2312"/>
          <w:color w:val="auto"/>
          <w:sz w:val="32"/>
          <w:szCs w:val="32"/>
        </w:rPr>
      </w:pPr>
      <w:r>
        <w:rPr>
          <w:rFonts w:eastAsia="仿宋_GB2312"/>
          <w:b/>
          <w:color w:val="auto"/>
          <w:sz w:val="32"/>
          <w:szCs w:val="32"/>
        </w:rPr>
        <w:t>（四）社会保险基金预算:</w:t>
      </w:r>
      <w:r>
        <w:rPr>
          <w:rFonts w:eastAsia="仿宋_GB2312"/>
          <w:color w:val="auto"/>
          <w:sz w:val="32"/>
          <w:szCs w:val="32"/>
        </w:rPr>
        <w:t xml:space="preserve"> 是对社会保险缴款、一般公共预算安排和其他方式筹集的资金，专项用于社会保险的收支预算。应当按照统筹层次和社会保险项目分别编制，做到收支平衡。</w:t>
      </w:r>
    </w:p>
    <w:p w14:paraId="4C0E657F">
      <w:pPr>
        <w:tabs>
          <w:tab w:val="left" w:pos="7560"/>
        </w:tabs>
        <w:adjustRightInd w:val="0"/>
        <w:snapToGrid w:val="0"/>
        <w:spacing w:line="560" w:lineRule="exact"/>
        <w:ind w:firstLine="643" w:firstLineChars="200"/>
        <w:rPr>
          <w:rFonts w:eastAsia="仿宋_GB2312"/>
          <w:color w:val="auto"/>
          <w:sz w:val="32"/>
          <w:szCs w:val="32"/>
        </w:rPr>
      </w:pPr>
      <w:r>
        <w:rPr>
          <w:rFonts w:eastAsia="仿宋_GB2312"/>
          <w:b/>
          <w:color w:val="auto"/>
          <w:sz w:val="32"/>
          <w:szCs w:val="32"/>
        </w:rPr>
        <w:t>（五）“三公”经费：</w:t>
      </w:r>
      <w:r>
        <w:rPr>
          <w:rFonts w:eastAsia="仿宋_GB2312"/>
          <w:color w:val="auto"/>
          <w:sz w:val="32"/>
          <w:szCs w:val="32"/>
        </w:rPr>
        <w:t>是指商品和服务支出中的因公出国（境）费用、公务用车购置及运行维护费和公务接待费。</w:t>
      </w:r>
      <w:r>
        <w:rPr>
          <w:rFonts w:eastAsia="仿宋_GB2312"/>
          <w:color w:val="auto"/>
          <w:sz w:val="32"/>
          <w:szCs w:val="32"/>
        </w:rPr>
        <w:br w:type="textWrapping"/>
      </w:r>
      <w:r>
        <w:rPr>
          <w:rFonts w:eastAsia="仿宋_GB2312"/>
          <w:b/>
          <w:color w:val="auto"/>
          <w:sz w:val="32"/>
          <w:szCs w:val="32"/>
        </w:rPr>
        <w:t xml:space="preserve">    （六）机关运行经费：</w:t>
      </w:r>
      <w:r>
        <w:rPr>
          <w:rFonts w:eastAsia="仿宋_GB2312"/>
          <w:color w:val="auto"/>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E303">
    <w:pPr>
      <w:pStyle w:val="11"/>
      <w:framePr w:wrap="around" w:vAnchor="text" w:hAnchor="margin" w:xAlign="outside" w:y="1"/>
      <w:rPr>
        <w:rStyle w:val="15"/>
        <w:rFonts w:ascii="宋体"/>
        <w:sz w:val="28"/>
        <w:szCs w:val="28"/>
      </w:rPr>
    </w:pPr>
    <w:r>
      <w:rPr>
        <w:rStyle w:val="15"/>
        <w:rFonts w:hint="eastAsia" w:ascii="宋体"/>
        <w:color w:val="FFFFFF"/>
        <w:sz w:val="28"/>
        <w:szCs w:val="28"/>
      </w:rPr>
      <w:t>—</w:t>
    </w:r>
    <w:r>
      <w:rPr>
        <w:rStyle w:val="15"/>
        <w:rFonts w:hint="eastAsia" w:ascii="宋体"/>
        <w:sz w:val="28"/>
        <w:szCs w:val="28"/>
      </w:rPr>
      <w:t xml:space="preserve">— </w:t>
    </w:r>
    <w:r>
      <w:rPr>
        <w:rFonts w:hint="eastAsia" w:ascii="宋体"/>
        <w:sz w:val="28"/>
        <w:szCs w:val="28"/>
      </w:rPr>
      <w:fldChar w:fldCharType="begin"/>
    </w:r>
    <w:r>
      <w:rPr>
        <w:rStyle w:val="15"/>
        <w:rFonts w:hint="eastAsia" w:ascii="宋体"/>
        <w:sz w:val="28"/>
        <w:szCs w:val="28"/>
      </w:rPr>
      <w:instrText xml:space="preserve">PAGE  </w:instrText>
    </w:r>
    <w:r>
      <w:rPr>
        <w:rFonts w:hint="eastAsia" w:ascii="宋体"/>
        <w:sz w:val="28"/>
        <w:szCs w:val="28"/>
      </w:rPr>
      <w:fldChar w:fldCharType="separate"/>
    </w:r>
    <w:r>
      <w:rPr>
        <w:rStyle w:val="15"/>
        <w:rFonts w:ascii="宋体"/>
        <w:sz w:val="28"/>
        <w:szCs w:val="28"/>
      </w:rPr>
      <w:t>2</w:t>
    </w:r>
    <w:r>
      <w:rPr>
        <w:rFonts w:hint="eastAsia" w:ascii="宋体"/>
        <w:sz w:val="28"/>
        <w:szCs w:val="28"/>
      </w:rPr>
      <w:fldChar w:fldCharType="end"/>
    </w:r>
    <w:r>
      <w:rPr>
        <w:rStyle w:val="15"/>
        <w:rFonts w:hint="eastAsia" w:ascii="宋体"/>
        <w:sz w:val="28"/>
        <w:szCs w:val="28"/>
      </w:rPr>
      <w:t xml:space="preserve"> —</w:t>
    </w:r>
    <w:r>
      <w:rPr>
        <w:rStyle w:val="15"/>
        <w:rFonts w:hint="eastAsia" w:ascii="宋体"/>
        <w:color w:val="FFFFFF"/>
        <w:sz w:val="28"/>
        <w:szCs w:val="28"/>
      </w:rPr>
      <w:t>—</w:t>
    </w:r>
  </w:p>
  <w:p w14:paraId="7D401D66">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3ACF">
    <w:pPr>
      <w:pStyle w:val="11"/>
      <w:framePr w:wrap="around" w:vAnchor="text" w:hAnchor="margin" w:xAlign="outside" w:y="1"/>
      <w:rPr>
        <w:rStyle w:val="15"/>
      </w:rPr>
    </w:pPr>
    <w:r>
      <w:fldChar w:fldCharType="begin"/>
    </w:r>
    <w:r>
      <w:rPr>
        <w:rStyle w:val="15"/>
      </w:rPr>
      <w:instrText xml:space="preserve">PAGE  </w:instrText>
    </w:r>
    <w:r>
      <w:fldChar w:fldCharType="separate"/>
    </w:r>
    <w:r>
      <w:rPr>
        <w:rStyle w:val="15"/>
      </w:rPr>
      <w:t xml:space="preserve"> </w:t>
    </w:r>
    <w:r>
      <w:fldChar w:fldCharType="end"/>
    </w:r>
  </w:p>
  <w:p w14:paraId="5E2E340F">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41E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6303D"/>
    <w:multiLevelType w:val="singleLevel"/>
    <w:tmpl w:val="A696303D"/>
    <w:lvl w:ilvl="0" w:tentative="0">
      <w:start w:val="1"/>
      <w:numFmt w:val="chineseCounting"/>
      <w:suff w:val="space"/>
      <w:lvlText w:val="%1、"/>
      <w:lvlJc w:val="left"/>
      <w:rPr>
        <w:rFonts w:hint="eastAsia"/>
      </w:rPr>
    </w:lvl>
  </w:abstractNum>
  <w:abstractNum w:abstractNumId="1">
    <w:nsid w:val="25F7C275"/>
    <w:multiLevelType w:val="singleLevel"/>
    <w:tmpl w:val="25F7C27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59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mNGE0MGZmMzMzY2Q4ZTRjOTk1OGJmNDY3Y2M2OTI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A089A"/>
    <w:rsid w:val="001D3B4D"/>
    <w:rsid w:val="001F5ACF"/>
    <w:rsid w:val="00206F1B"/>
    <w:rsid w:val="0022719A"/>
    <w:rsid w:val="00231C79"/>
    <w:rsid w:val="002370E4"/>
    <w:rsid w:val="002466AF"/>
    <w:rsid w:val="00260D91"/>
    <w:rsid w:val="00265785"/>
    <w:rsid w:val="002714D1"/>
    <w:rsid w:val="002A26A6"/>
    <w:rsid w:val="002C3689"/>
    <w:rsid w:val="002D3CE8"/>
    <w:rsid w:val="002E2B1B"/>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4F5A"/>
    <w:rsid w:val="004A03B1"/>
    <w:rsid w:val="004A19BD"/>
    <w:rsid w:val="004D786C"/>
    <w:rsid w:val="00500044"/>
    <w:rsid w:val="005010F2"/>
    <w:rsid w:val="005039CF"/>
    <w:rsid w:val="00503F68"/>
    <w:rsid w:val="005132D3"/>
    <w:rsid w:val="005534D4"/>
    <w:rsid w:val="005642F6"/>
    <w:rsid w:val="00567389"/>
    <w:rsid w:val="00570537"/>
    <w:rsid w:val="005E5CA5"/>
    <w:rsid w:val="00607E1C"/>
    <w:rsid w:val="006169B1"/>
    <w:rsid w:val="006403BA"/>
    <w:rsid w:val="00644971"/>
    <w:rsid w:val="00650E5E"/>
    <w:rsid w:val="006C039F"/>
    <w:rsid w:val="006E40CD"/>
    <w:rsid w:val="006E6B10"/>
    <w:rsid w:val="006F4B30"/>
    <w:rsid w:val="00705275"/>
    <w:rsid w:val="00720A77"/>
    <w:rsid w:val="0072241A"/>
    <w:rsid w:val="00724ADC"/>
    <w:rsid w:val="007257DA"/>
    <w:rsid w:val="00732E06"/>
    <w:rsid w:val="007A25E3"/>
    <w:rsid w:val="007C73B3"/>
    <w:rsid w:val="007E1371"/>
    <w:rsid w:val="007E32B0"/>
    <w:rsid w:val="007F1129"/>
    <w:rsid w:val="008B57F4"/>
    <w:rsid w:val="008C209B"/>
    <w:rsid w:val="008E5844"/>
    <w:rsid w:val="008F6F39"/>
    <w:rsid w:val="0090015B"/>
    <w:rsid w:val="00913329"/>
    <w:rsid w:val="00921151"/>
    <w:rsid w:val="00964BEA"/>
    <w:rsid w:val="009B79D0"/>
    <w:rsid w:val="009E3264"/>
    <w:rsid w:val="009F6947"/>
    <w:rsid w:val="00A00F31"/>
    <w:rsid w:val="00A01ED1"/>
    <w:rsid w:val="00A10BFD"/>
    <w:rsid w:val="00A31AFB"/>
    <w:rsid w:val="00A60651"/>
    <w:rsid w:val="00AA17FE"/>
    <w:rsid w:val="00AE4D18"/>
    <w:rsid w:val="00AE7532"/>
    <w:rsid w:val="00AF5641"/>
    <w:rsid w:val="00B10628"/>
    <w:rsid w:val="00B23E06"/>
    <w:rsid w:val="00B52BE1"/>
    <w:rsid w:val="00B8481D"/>
    <w:rsid w:val="00BB5CCB"/>
    <w:rsid w:val="00BC1507"/>
    <w:rsid w:val="00BE3036"/>
    <w:rsid w:val="00C16E6F"/>
    <w:rsid w:val="00C351AF"/>
    <w:rsid w:val="00C759D0"/>
    <w:rsid w:val="00C810D3"/>
    <w:rsid w:val="00CA61A9"/>
    <w:rsid w:val="00CE7D68"/>
    <w:rsid w:val="00CF238D"/>
    <w:rsid w:val="00D11D99"/>
    <w:rsid w:val="00D2296D"/>
    <w:rsid w:val="00D22A06"/>
    <w:rsid w:val="00D72B4C"/>
    <w:rsid w:val="00DA3F1E"/>
    <w:rsid w:val="00DA73AF"/>
    <w:rsid w:val="00DC3353"/>
    <w:rsid w:val="00DC3EE3"/>
    <w:rsid w:val="00E15E55"/>
    <w:rsid w:val="00E471F8"/>
    <w:rsid w:val="00E511F6"/>
    <w:rsid w:val="00E526F2"/>
    <w:rsid w:val="00E62B3D"/>
    <w:rsid w:val="00E70DF0"/>
    <w:rsid w:val="00E85D67"/>
    <w:rsid w:val="00EA4C52"/>
    <w:rsid w:val="00EC7158"/>
    <w:rsid w:val="00ED1218"/>
    <w:rsid w:val="00EF3194"/>
    <w:rsid w:val="00F9083D"/>
    <w:rsid w:val="00FA3895"/>
    <w:rsid w:val="00FB5286"/>
    <w:rsid w:val="00FB7A2D"/>
    <w:rsid w:val="01046419"/>
    <w:rsid w:val="01C2214E"/>
    <w:rsid w:val="020D6941"/>
    <w:rsid w:val="06C238BB"/>
    <w:rsid w:val="0E597CAB"/>
    <w:rsid w:val="13947AD3"/>
    <w:rsid w:val="158A2658"/>
    <w:rsid w:val="16A13CA8"/>
    <w:rsid w:val="16B14386"/>
    <w:rsid w:val="1871248E"/>
    <w:rsid w:val="1AFD5B77"/>
    <w:rsid w:val="1C1C77F0"/>
    <w:rsid w:val="1D35335A"/>
    <w:rsid w:val="1D7F02EE"/>
    <w:rsid w:val="1D8F3C53"/>
    <w:rsid w:val="1E5932A8"/>
    <w:rsid w:val="2165505F"/>
    <w:rsid w:val="24227894"/>
    <w:rsid w:val="2BA030C2"/>
    <w:rsid w:val="2BD433D6"/>
    <w:rsid w:val="2C5E246E"/>
    <w:rsid w:val="2E904FBF"/>
    <w:rsid w:val="308662AD"/>
    <w:rsid w:val="32A9256B"/>
    <w:rsid w:val="32AE6AA0"/>
    <w:rsid w:val="3330097C"/>
    <w:rsid w:val="36952654"/>
    <w:rsid w:val="36BB1984"/>
    <w:rsid w:val="373D18D0"/>
    <w:rsid w:val="37DA1C37"/>
    <w:rsid w:val="39E529B5"/>
    <w:rsid w:val="3A5510BC"/>
    <w:rsid w:val="3A55415D"/>
    <w:rsid w:val="3CF864FD"/>
    <w:rsid w:val="3D823F0E"/>
    <w:rsid w:val="3E1C4D32"/>
    <w:rsid w:val="40426D63"/>
    <w:rsid w:val="4060496F"/>
    <w:rsid w:val="40EE5FF6"/>
    <w:rsid w:val="42C4798B"/>
    <w:rsid w:val="4496707C"/>
    <w:rsid w:val="47A77C3A"/>
    <w:rsid w:val="4BAD15EE"/>
    <w:rsid w:val="4C1F1C7B"/>
    <w:rsid w:val="4CF55F1E"/>
    <w:rsid w:val="4E3F2145"/>
    <w:rsid w:val="51593E0B"/>
    <w:rsid w:val="519B63B5"/>
    <w:rsid w:val="541A704A"/>
    <w:rsid w:val="54846CD3"/>
    <w:rsid w:val="58F2629D"/>
    <w:rsid w:val="5C3F77E0"/>
    <w:rsid w:val="5C4200CE"/>
    <w:rsid w:val="5C79326A"/>
    <w:rsid w:val="5DFB707D"/>
    <w:rsid w:val="612A51A9"/>
    <w:rsid w:val="680E1037"/>
    <w:rsid w:val="68416B09"/>
    <w:rsid w:val="691F2659"/>
    <w:rsid w:val="6AF66E49"/>
    <w:rsid w:val="6C8864D9"/>
    <w:rsid w:val="6DE273CB"/>
    <w:rsid w:val="74824FCD"/>
    <w:rsid w:val="7627167B"/>
    <w:rsid w:val="76E316D1"/>
    <w:rsid w:val="791752BB"/>
    <w:rsid w:val="7BD80ACC"/>
    <w:rsid w:val="7C4C19A1"/>
    <w:rsid w:val="7E69341C"/>
    <w:rsid w:val="7E97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qFormat/>
    <w:uiPriority w:val="0"/>
    <w:pPr>
      <w:spacing w:line="400" w:lineRule="atLeast"/>
    </w:pPr>
    <w:rPr>
      <w:rFonts w:ascii="楷体_GB2312" w:eastAsia="楷体_GB2312"/>
      <w:sz w:val="32"/>
    </w:rPr>
  </w:style>
  <w:style w:type="paragraph" w:styleId="4">
    <w:name w:val="Body Text Indent"/>
    <w:basedOn w:val="1"/>
    <w:qFormat/>
    <w:uiPriority w:val="0"/>
    <w:pPr>
      <w:spacing w:line="360" w:lineRule="auto"/>
      <w:ind w:firstLine="200" w:firstLineChars="200"/>
    </w:pPr>
    <w:rPr>
      <w:rFonts w:ascii="方正仿宋_GBK" w:eastAsia="方正仿宋_GBK"/>
      <w:sz w:val="30"/>
    </w:rPr>
  </w:style>
  <w:style w:type="paragraph" w:styleId="5">
    <w:name w:val="Plain Text"/>
    <w:basedOn w:val="1"/>
    <w:qFormat/>
    <w:uiPriority w:val="0"/>
    <w:rPr>
      <w:rFonts w:ascii="宋体" w:hAnsi="Courier New"/>
    </w:rPr>
  </w:style>
  <w:style w:type="paragraph" w:styleId="6">
    <w:name w:val="Date"/>
    <w:basedOn w:val="1"/>
    <w:next w:val="1"/>
    <w:link w:val="16"/>
    <w:qFormat/>
    <w:uiPriority w:val="0"/>
    <w:pPr>
      <w:ind w:left="100" w:leftChars="2500"/>
    </w:pPr>
  </w:style>
  <w:style w:type="paragraph" w:styleId="7">
    <w:name w:val="Body Text Indent 2"/>
    <w:basedOn w:val="1"/>
    <w:next w:val="8"/>
    <w:qFormat/>
    <w:uiPriority w:val="0"/>
    <w:pPr>
      <w:adjustRightInd/>
      <w:spacing w:line="360" w:lineRule="auto"/>
      <w:ind w:firstLine="200" w:firstLineChars="200"/>
      <w:jc w:val="both"/>
    </w:pPr>
    <w:rPr>
      <w:rFonts w:ascii="Times New Roman" w:hAnsi="Times New Roman" w:eastAsia="宋体" w:cs="Times New Roman"/>
      <w:color w:val="auto"/>
      <w:kern w:val="2"/>
      <w:sz w:val="30"/>
      <w:szCs w:val="30"/>
    </w:rPr>
  </w:style>
  <w:style w:type="paragraph" w:customStyle="1" w:styleId="8">
    <w:name w:val="p0"/>
    <w:next w:val="9"/>
    <w:qFormat/>
    <w:uiPriority w:val="0"/>
    <w:pPr>
      <w:spacing w:line="365" w:lineRule="atLeast"/>
      <w:ind w:left="1"/>
    </w:pPr>
    <w:rPr>
      <w:rFonts w:ascii="Times New Roman" w:hAnsi="Times New Roman" w:eastAsia="宋体" w:cs="Times New Roman"/>
      <w:sz w:val="24"/>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5">
    <w:name w:val="page number"/>
    <w:basedOn w:val="14"/>
    <w:qFormat/>
    <w:uiPriority w:val="0"/>
  </w:style>
  <w:style w:type="character" w:customStyle="1" w:styleId="16">
    <w:name w:val="日期 字符"/>
    <w:basedOn w:val="14"/>
    <w:link w:val="6"/>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13</Pages>
  <Words>3973</Words>
  <Characters>4257</Characters>
  <Lines>25</Lines>
  <Paragraphs>7</Paragraphs>
  <TotalTime>0</TotalTime>
  <ScaleCrop>false</ScaleCrop>
  <LinksUpToDate>false</LinksUpToDate>
  <CharactersWithSpaces>4275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2023-02-15T01:06:00Z</dcterms:created>
  <dc:creator>lzlyc</dc:creator>
  <cp:lastModifiedBy>Administrator</cp:lastModifiedBy>
  <cp:lastPrinted>2023-02-06T09:18:00Z</cp:lastPrinted>
  <dcterms:modified xsi:type="dcterms:W3CDTF">2024-11-21T03:51:08Z</dcterms:modified>
  <dc:title>此件拟比照国务院办公厅发文由省政府办公厅转发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7E5FCE35458442B09F3775ECA54F239E_13</vt:lpwstr>
  </property>
</Properties>
</file>