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6DEDE">
      <w:pPr>
        <w:tabs>
          <w:tab w:val="left" w:pos="7560"/>
        </w:tabs>
        <w:adjustRightInd w:val="0"/>
        <w:snapToGrid w:val="0"/>
        <w:spacing w:line="560" w:lineRule="exact"/>
        <w:jc w:val="center"/>
        <w:rPr>
          <w:rFonts w:eastAsia="方正小标宋简体"/>
          <w:bCs/>
          <w:sz w:val="44"/>
          <w:szCs w:val="44"/>
          <w:highlight w:val="none"/>
        </w:rPr>
      </w:pPr>
    </w:p>
    <w:p w14:paraId="1692B72B">
      <w:pPr>
        <w:tabs>
          <w:tab w:val="left" w:pos="7560"/>
        </w:tabs>
        <w:adjustRightInd w:val="0"/>
        <w:snapToGrid w:val="0"/>
        <w:spacing w:line="560" w:lineRule="exact"/>
        <w:jc w:val="center"/>
        <w:rPr>
          <w:rFonts w:eastAsia="方正小标宋简体"/>
          <w:bCs/>
          <w:sz w:val="44"/>
          <w:szCs w:val="44"/>
          <w:highlight w:val="none"/>
        </w:rPr>
      </w:pPr>
    </w:p>
    <w:p w14:paraId="503F07C7">
      <w:pPr>
        <w:tabs>
          <w:tab w:val="left" w:pos="7560"/>
        </w:tabs>
        <w:adjustRightInd w:val="0"/>
        <w:snapToGrid w:val="0"/>
        <w:spacing w:line="560" w:lineRule="exact"/>
        <w:jc w:val="center"/>
        <w:rPr>
          <w:rFonts w:eastAsia="方正小标宋简体"/>
          <w:bCs/>
          <w:sz w:val="44"/>
          <w:szCs w:val="44"/>
          <w:highlight w:val="none"/>
        </w:rPr>
      </w:pPr>
    </w:p>
    <w:p w14:paraId="4FF16E9C">
      <w:pPr>
        <w:tabs>
          <w:tab w:val="left" w:pos="7560"/>
        </w:tabs>
        <w:adjustRightInd w:val="0"/>
        <w:snapToGrid w:val="0"/>
        <w:spacing w:line="560" w:lineRule="exact"/>
        <w:jc w:val="center"/>
        <w:rPr>
          <w:rFonts w:eastAsia="方正小标宋简体"/>
          <w:bCs/>
          <w:sz w:val="44"/>
          <w:szCs w:val="44"/>
          <w:highlight w:val="none"/>
        </w:rPr>
      </w:pPr>
    </w:p>
    <w:p w14:paraId="28D6C0AF">
      <w:pPr>
        <w:tabs>
          <w:tab w:val="left" w:pos="7560"/>
        </w:tabs>
        <w:adjustRightInd w:val="0"/>
        <w:snapToGrid w:val="0"/>
        <w:jc w:val="center"/>
        <w:rPr>
          <w:rFonts w:eastAsia="方正小标宋简体"/>
          <w:bCs/>
          <w:sz w:val="84"/>
          <w:szCs w:val="84"/>
          <w:highlight w:val="none"/>
        </w:rPr>
      </w:pPr>
      <w:r>
        <w:rPr>
          <w:rFonts w:hint="eastAsia" w:eastAsia="方正小标宋简体"/>
          <w:bCs/>
          <w:sz w:val="84"/>
          <w:szCs w:val="84"/>
          <w:highlight w:val="none"/>
        </w:rPr>
        <w:t>醴陵市住房保障服务中心</w:t>
      </w:r>
      <w:r>
        <w:rPr>
          <w:rFonts w:eastAsia="方正小标宋简体"/>
          <w:bCs/>
          <w:sz w:val="84"/>
          <w:szCs w:val="84"/>
          <w:highlight w:val="none"/>
        </w:rPr>
        <w:t>2023年部门预算</w:t>
      </w:r>
    </w:p>
    <w:p w14:paraId="23C312FD">
      <w:pPr>
        <w:tabs>
          <w:tab w:val="left" w:pos="7560"/>
        </w:tabs>
        <w:adjustRightInd w:val="0"/>
        <w:snapToGrid w:val="0"/>
        <w:jc w:val="center"/>
        <w:rPr>
          <w:rFonts w:eastAsia="楷体_GB2312"/>
          <w:bCs/>
          <w:sz w:val="32"/>
          <w:szCs w:val="32"/>
          <w:highlight w:val="none"/>
        </w:rPr>
      </w:pPr>
    </w:p>
    <w:p w14:paraId="40D3D657">
      <w:pPr>
        <w:tabs>
          <w:tab w:val="left" w:pos="7560"/>
        </w:tabs>
        <w:adjustRightInd w:val="0"/>
        <w:snapToGrid w:val="0"/>
        <w:spacing w:line="560" w:lineRule="exact"/>
        <w:jc w:val="left"/>
        <w:rPr>
          <w:rFonts w:eastAsia="仿宋_GB2312"/>
          <w:bCs/>
          <w:sz w:val="32"/>
          <w:szCs w:val="32"/>
          <w:highlight w:val="none"/>
        </w:rPr>
      </w:pPr>
    </w:p>
    <w:p w14:paraId="6FB51ED8">
      <w:pPr>
        <w:tabs>
          <w:tab w:val="left" w:pos="7560"/>
        </w:tabs>
        <w:adjustRightInd w:val="0"/>
        <w:snapToGrid w:val="0"/>
        <w:spacing w:line="560" w:lineRule="exact"/>
        <w:jc w:val="left"/>
        <w:rPr>
          <w:rFonts w:eastAsia="仿宋_GB2312"/>
          <w:bCs/>
          <w:sz w:val="32"/>
          <w:szCs w:val="32"/>
          <w:highlight w:val="none"/>
        </w:rPr>
      </w:pPr>
    </w:p>
    <w:p w14:paraId="3647E0D0">
      <w:pPr>
        <w:tabs>
          <w:tab w:val="left" w:pos="7560"/>
        </w:tabs>
        <w:adjustRightInd w:val="0"/>
        <w:snapToGrid w:val="0"/>
        <w:spacing w:line="560" w:lineRule="exact"/>
        <w:jc w:val="left"/>
        <w:rPr>
          <w:rFonts w:eastAsia="仿宋_GB2312"/>
          <w:bCs/>
          <w:sz w:val="32"/>
          <w:szCs w:val="32"/>
          <w:highlight w:val="none"/>
        </w:rPr>
      </w:pPr>
    </w:p>
    <w:p w14:paraId="404C745E">
      <w:pPr>
        <w:tabs>
          <w:tab w:val="left" w:pos="7560"/>
        </w:tabs>
        <w:adjustRightInd w:val="0"/>
        <w:snapToGrid w:val="0"/>
        <w:spacing w:line="560" w:lineRule="exact"/>
        <w:jc w:val="left"/>
        <w:rPr>
          <w:rFonts w:eastAsia="仿宋_GB2312"/>
          <w:bCs/>
          <w:sz w:val="32"/>
          <w:szCs w:val="32"/>
          <w:highlight w:val="none"/>
        </w:rPr>
      </w:pPr>
    </w:p>
    <w:p w14:paraId="2C078665">
      <w:pPr>
        <w:tabs>
          <w:tab w:val="left" w:pos="7560"/>
        </w:tabs>
        <w:adjustRightInd w:val="0"/>
        <w:snapToGrid w:val="0"/>
        <w:spacing w:line="560" w:lineRule="exact"/>
        <w:jc w:val="left"/>
        <w:rPr>
          <w:rFonts w:eastAsia="仿宋_GB2312"/>
          <w:bCs/>
          <w:sz w:val="32"/>
          <w:szCs w:val="32"/>
          <w:highlight w:val="none"/>
        </w:rPr>
      </w:pPr>
    </w:p>
    <w:p w14:paraId="0A7CCAB2">
      <w:pPr>
        <w:tabs>
          <w:tab w:val="left" w:pos="7560"/>
        </w:tabs>
        <w:adjustRightInd w:val="0"/>
        <w:snapToGrid w:val="0"/>
        <w:spacing w:line="560" w:lineRule="exact"/>
        <w:jc w:val="left"/>
        <w:rPr>
          <w:rFonts w:eastAsia="仿宋_GB2312"/>
          <w:bCs/>
          <w:sz w:val="32"/>
          <w:szCs w:val="32"/>
          <w:highlight w:val="none"/>
        </w:rPr>
      </w:pPr>
    </w:p>
    <w:p w14:paraId="29520B0F">
      <w:pPr>
        <w:tabs>
          <w:tab w:val="left" w:pos="7560"/>
        </w:tabs>
        <w:adjustRightInd w:val="0"/>
        <w:snapToGrid w:val="0"/>
        <w:spacing w:line="560" w:lineRule="exact"/>
        <w:jc w:val="left"/>
        <w:rPr>
          <w:rFonts w:eastAsia="仿宋_GB2312"/>
          <w:bCs/>
          <w:sz w:val="32"/>
          <w:szCs w:val="32"/>
          <w:highlight w:val="none"/>
        </w:rPr>
      </w:pPr>
    </w:p>
    <w:p w14:paraId="418D5DFC">
      <w:pPr>
        <w:tabs>
          <w:tab w:val="left" w:pos="7560"/>
        </w:tabs>
        <w:adjustRightInd w:val="0"/>
        <w:snapToGrid w:val="0"/>
        <w:spacing w:line="560" w:lineRule="exact"/>
        <w:jc w:val="left"/>
        <w:rPr>
          <w:rFonts w:eastAsia="仿宋_GB2312"/>
          <w:bCs/>
          <w:sz w:val="32"/>
          <w:szCs w:val="32"/>
          <w:highlight w:val="none"/>
        </w:rPr>
      </w:pPr>
    </w:p>
    <w:p w14:paraId="1528438A">
      <w:pPr>
        <w:tabs>
          <w:tab w:val="left" w:pos="7560"/>
        </w:tabs>
        <w:adjustRightInd w:val="0"/>
        <w:snapToGrid w:val="0"/>
        <w:spacing w:line="560" w:lineRule="exact"/>
        <w:jc w:val="left"/>
        <w:rPr>
          <w:rFonts w:eastAsia="仿宋_GB2312"/>
          <w:bCs/>
          <w:sz w:val="32"/>
          <w:szCs w:val="32"/>
          <w:highlight w:val="none"/>
        </w:rPr>
      </w:pPr>
    </w:p>
    <w:p w14:paraId="01EE270C">
      <w:pPr>
        <w:tabs>
          <w:tab w:val="left" w:pos="7560"/>
        </w:tabs>
        <w:adjustRightInd w:val="0"/>
        <w:snapToGrid w:val="0"/>
        <w:spacing w:line="560" w:lineRule="exact"/>
        <w:jc w:val="left"/>
        <w:rPr>
          <w:rFonts w:eastAsia="仿宋_GB2312"/>
          <w:bCs/>
          <w:sz w:val="32"/>
          <w:szCs w:val="32"/>
          <w:highlight w:val="none"/>
        </w:rPr>
      </w:pPr>
    </w:p>
    <w:p w14:paraId="4B778073">
      <w:pPr>
        <w:tabs>
          <w:tab w:val="left" w:pos="7560"/>
        </w:tabs>
        <w:adjustRightInd w:val="0"/>
        <w:snapToGrid w:val="0"/>
        <w:spacing w:line="560" w:lineRule="exact"/>
        <w:jc w:val="left"/>
        <w:rPr>
          <w:rFonts w:eastAsia="仿宋_GB2312"/>
          <w:bCs/>
          <w:sz w:val="32"/>
          <w:szCs w:val="32"/>
          <w:highlight w:val="none"/>
        </w:rPr>
      </w:pPr>
    </w:p>
    <w:p w14:paraId="475DE9C8">
      <w:pPr>
        <w:tabs>
          <w:tab w:val="left" w:pos="7560"/>
        </w:tabs>
        <w:adjustRightInd w:val="0"/>
        <w:snapToGrid w:val="0"/>
        <w:spacing w:line="560" w:lineRule="exact"/>
        <w:jc w:val="left"/>
        <w:rPr>
          <w:rFonts w:eastAsia="仿宋_GB2312"/>
          <w:bCs/>
          <w:sz w:val="32"/>
          <w:szCs w:val="32"/>
          <w:highlight w:val="none"/>
        </w:rPr>
      </w:pPr>
    </w:p>
    <w:p w14:paraId="5F64EF0A">
      <w:pPr>
        <w:tabs>
          <w:tab w:val="left" w:pos="7560"/>
        </w:tabs>
        <w:adjustRightInd w:val="0"/>
        <w:snapToGrid w:val="0"/>
        <w:spacing w:line="560" w:lineRule="exact"/>
        <w:jc w:val="left"/>
        <w:rPr>
          <w:rFonts w:eastAsia="仿宋_GB2312"/>
          <w:bCs/>
          <w:sz w:val="32"/>
          <w:szCs w:val="32"/>
          <w:highlight w:val="none"/>
        </w:rPr>
      </w:pPr>
    </w:p>
    <w:p w14:paraId="4C75FD68">
      <w:pPr>
        <w:tabs>
          <w:tab w:val="left" w:pos="7560"/>
        </w:tabs>
        <w:adjustRightInd w:val="0"/>
        <w:snapToGrid w:val="0"/>
        <w:spacing w:line="560" w:lineRule="exact"/>
        <w:jc w:val="center"/>
        <w:rPr>
          <w:rFonts w:eastAsia="黑体"/>
          <w:bCs/>
          <w:sz w:val="32"/>
          <w:szCs w:val="32"/>
          <w:highlight w:val="none"/>
        </w:rPr>
      </w:pPr>
      <w:r>
        <w:rPr>
          <w:rFonts w:eastAsia="黑体"/>
          <w:bCs/>
          <w:sz w:val="32"/>
          <w:szCs w:val="32"/>
          <w:highlight w:val="none"/>
        </w:rPr>
        <w:t>目  录</w:t>
      </w:r>
    </w:p>
    <w:p w14:paraId="326228FB">
      <w:pPr>
        <w:tabs>
          <w:tab w:val="left" w:pos="7560"/>
        </w:tabs>
        <w:adjustRightInd w:val="0"/>
        <w:snapToGrid w:val="0"/>
        <w:spacing w:line="560" w:lineRule="exact"/>
        <w:ind w:firstLine="643" w:firstLineChars="200"/>
        <w:rPr>
          <w:rFonts w:eastAsia="仿宋_GB2312"/>
          <w:sz w:val="32"/>
          <w:szCs w:val="32"/>
          <w:highlight w:val="none"/>
        </w:rPr>
      </w:pPr>
      <w:r>
        <w:rPr>
          <w:rFonts w:eastAsia="仿宋_GB2312"/>
          <w:b/>
          <w:bCs/>
          <w:sz w:val="32"/>
          <w:szCs w:val="32"/>
          <w:highlight w:val="none"/>
        </w:rPr>
        <w:t>第一部分 部门预算公开说明</w:t>
      </w:r>
    </w:p>
    <w:p w14:paraId="4D359305">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一、部门职能职责</w:t>
      </w:r>
    </w:p>
    <w:p w14:paraId="0579C17F">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二、机构设置</w:t>
      </w:r>
    </w:p>
    <w:p w14:paraId="7A3D1AB8">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三、部门预算单位构成</w:t>
      </w:r>
    </w:p>
    <w:p w14:paraId="14ECF845">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四、部门收支总体情况</w:t>
      </w:r>
    </w:p>
    <w:p w14:paraId="18ACE73C">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（一）收入预算</w:t>
      </w:r>
    </w:p>
    <w:p w14:paraId="5E32D210">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（二）支出预算</w:t>
      </w:r>
    </w:p>
    <w:p w14:paraId="397B3D55">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（三）预算收支增减变化情况说明</w:t>
      </w:r>
    </w:p>
    <w:p w14:paraId="3AEF6DB1">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五、一般公共预算拨款支出预算</w:t>
      </w:r>
    </w:p>
    <w:p w14:paraId="2CAD3DE1">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（一）基本支出</w:t>
      </w:r>
    </w:p>
    <w:p w14:paraId="438CF71C">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（二）项目支出</w:t>
      </w:r>
    </w:p>
    <w:p w14:paraId="0890A037">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六、政府性基金预算支出</w:t>
      </w:r>
    </w:p>
    <w:p w14:paraId="14465657">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七、其他重要事项情况说明</w:t>
      </w:r>
    </w:p>
    <w:p w14:paraId="16339E25">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（一）机关运行经费</w:t>
      </w:r>
    </w:p>
    <w:p w14:paraId="057CD8B3">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（二）政府采购预算</w:t>
      </w:r>
    </w:p>
    <w:p w14:paraId="4DAAB49D">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（三）国有资产占有情况</w:t>
      </w:r>
    </w:p>
    <w:p w14:paraId="00E97E34">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（四）重点项目预算的绩效目标等情况</w:t>
      </w:r>
    </w:p>
    <w:p w14:paraId="6ECE8EB6">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（五）一般公共预算“三公”经费预算</w:t>
      </w:r>
    </w:p>
    <w:p w14:paraId="627D908D">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（六）会议费、培训费</w:t>
      </w:r>
    </w:p>
    <w:p w14:paraId="646631C5">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（七）其他事项</w:t>
      </w:r>
    </w:p>
    <w:p w14:paraId="4B42409E">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八、名词解释</w:t>
      </w:r>
    </w:p>
    <w:p w14:paraId="2272EE51">
      <w:pPr>
        <w:tabs>
          <w:tab w:val="left" w:pos="7560"/>
        </w:tabs>
        <w:adjustRightInd w:val="0"/>
        <w:snapToGrid w:val="0"/>
        <w:spacing w:line="560" w:lineRule="exact"/>
        <w:ind w:firstLine="643" w:firstLineChars="200"/>
        <w:rPr>
          <w:rFonts w:eastAsia="仿宋_GB2312"/>
          <w:b/>
          <w:bCs/>
          <w:sz w:val="32"/>
          <w:szCs w:val="32"/>
          <w:highlight w:val="none"/>
        </w:rPr>
      </w:pPr>
      <w:r>
        <w:rPr>
          <w:rFonts w:eastAsia="仿宋_GB2312"/>
          <w:b/>
          <w:bCs/>
          <w:sz w:val="32"/>
          <w:szCs w:val="32"/>
          <w:highlight w:val="none"/>
        </w:rPr>
        <w:t>第二部分 部门预算公开表格</w:t>
      </w:r>
    </w:p>
    <w:p w14:paraId="1261827E">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（一）</w:t>
      </w:r>
      <w:r>
        <w:rPr>
          <w:rFonts w:hint="eastAsia" w:hAnsi="仿宋_GB2312" w:eastAsia="仿宋_GB2312"/>
          <w:sz w:val="32"/>
          <w:szCs w:val="32"/>
          <w:highlight w:val="none"/>
        </w:rPr>
        <w:t>部门收支总体情况表</w:t>
      </w:r>
    </w:p>
    <w:p w14:paraId="1D6AC8BD">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（二）</w:t>
      </w:r>
      <w:r>
        <w:rPr>
          <w:rFonts w:hint="eastAsia" w:hAnsi="仿宋_GB2312" w:eastAsia="仿宋_GB2312"/>
          <w:sz w:val="32"/>
          <w:szCs w:val="32"/>
          <w:highlight w:val="none"/>
        </w:rPr>
        <w:t>部门收入总体情况表</w:t>
      </w:r>
    </w:p>
    <w:p w14:paraId="7FB61318">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（三）</w:t>
      </w:r>
      <w:r>
        <w:rPr>
          <w:rFonts w:hint="eastAsia" w:hAnsi="仿宋_GB2312" w:eastAsia="仿宋_GB2312"/>
          <w:sz w:val="32"/>
          <w:szCs w:val="32"/>
          <w:highlight w:val="none"/>
        </w:rPr>
        <w:t>部门支出总体情况表</w:t>
      </w:r>
    </w:p>
    <w:p w14:paraId="1F3AC5E2">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（四）支出分类</w:t>
      </w:r>
      <w:r>
        <w:rPr>
          <w:rFonts w:eastAsia="仿宋_GB2312"/>
          <w:sz w:val="32"/>
          <w:szCs w:val="32"/>
          <w:highlight w:val="none"/>
        </w:rPr>
        <w:t>(</w:t>
      </w:r>
      <w:r>
        <w:rPr>
          <w:rFonts w:hAnsi="仿宋_GB2312" w:eastAsia="仿宋_GB2312"/>
          <w:sz w:val="32"/>
          <w:szCs w:val="32"/>
          <w:highlight w:val="none"/>
        </w:rPr>
        <w:t>政府预算</w:t>
      </w:r>
      <w:r>
        <w:rPr>
          <w:rFonts w:eastAsia="仿宋_GB2312"/>
          <w:sz w:val="32"/>
          <w:szCs w:val="32"/>
          <w:highlight w:val="none"/>
        </w:rPr>
        <w:t>)</w:t>
      </w:r>
    </w:p>
    <w:p w14:paraId="6BD2F6BA">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（五）支出分类</w:t>
      </w:r>
      <w:r>
        <w:rPr>
          <w:rFonts w:eastAsia="仿宋_GB2312"/>
          <w:sz w:val="32"/>
          <w:szCs w:val="32"/>
          <w:highlight w:val="none"/>
        </w:rPr>
        <w:t>(</w:t>
      </w:r>
      <w:r>
        <w:rPr>
          <w:rFonts w:hAnsi="仿宋_GB2312" w:eastAsia="仿宋_GB2312"/>
          <w:sz w:val="32"/>
          <w:szCs w:val="32"/>
          <w:highlight w:val="none"/>
        </w:rPr>
        <w:t>部门预算</w:t>
      </w:r>
      <w:r>
        <w:rPr>
          <w:rFonts w:eastAsia="仿宋_GB2312"/>
          <w:sz w:val="32"/>
          <w:szCs w:val="32"/>
          <w:highlight w:val="none"/>
        </w:rPr>
        <w:t>)</w:t>
      </w:r>
    </w:p>
    <w:p w14:paraId="62400264">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（六）</w:t>
      </w:r>
      <w:r>
        <w:rPr>
          <w:rFonts w:hint="eastAsia" w:hAnsi="仿宋_GB2312" w:eastAsia="仿宋_GB2312"/>
          <w:sz w:val="32"/>
          <w:szCs w:val="32"/>
          <w:highlight w:val="none"/>
        </w:rPr>
        <w:t>财政拨款收支总体情况表</w:t>
      </w:r>
    </w:p>
    <w:p w14:paraId="4D52622F">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（七）</w:t>
      </w:r>
      <w:r>
        <w:rPr>
          <w:rFonts w:hint="eastAsia" w:hAnsi="仿宋_GB2312" w:eastAsia="仿宋_GB2312"/>
          <w:sz w:val="32"/>
          <w:szCs w:val="32"/>
          <w:highlight w:val="none"/>
        </w:rPr>
        <w:t>一般公共预算支出情况表</w:t>
      </w:r>
    </w:p>
    <w:p w14:paraId="4A522DC4">
      <w:pPr>
        <w:tabs>
          <w:tab w:val="left" w:pos="7560"/>
        </w:tabs>
        <w:adjustRightInd w:val="0"/>
        <w:snapToGrid w:val="0"/>
        <w:spacing w:line="560" w:lineRule="exact"/>
        <w:ind w:firstLine="640" w:firstLineChars="200"/>
        <w:jc w:val="left"/>
        <w:rPr>
          <w:rFonts w:hAnsi="仿宋_GB2312" w:eastAsia="仿宋_GB2312"/>
          <w:sz w:val="32"/>
          <w:szCs w:val="32"/>
          <w:highlight w:val="none"/>
        </w:rPr>
      </w:pPr>
      <w:r>
        <w:rPr>
          <w:rFonts w:hAnsi="仿宋_GB2312" w:eastAsia="仿宋_GB2312"/>
          <w:sz w:val="32"/>
          <w:szCs w:val="32"/>
          <w:highlight w:val="none"/>
        </w:rPr>
        <w:t>（八）</w:t>
      </w:r>
      <w:r>
        <w:rPr>
          <w:rFonts w:hint="eastAsia" w:hAnsi="仿宋_GB2312" w:eastAsia="仿宋_GB2312"/>
          <w:sz w:val="32"/>
          <w:szCs w:val="32"/>
          <w:highlight w:val="none"/>
        </w:rPr>
        <w:t>一般公共预算基本支出情况表</w:t>
      </w:r>
    </w:p>
    <w:p w14:paraId="57B98B84">
      <w:pPr>
        <w:tabs>
          <w:tab w:val="left" w:pos="7560"/>
        </w:tabs>
        <w:adjustRightInd w:val="0"/>
        <w:snapToGrid w:val="0"/>
        <w:spacing w:line="560" w:lineRule="exact"/>
        <w:ind w:firstLine="640" w:firstLineChars="200"/>
        <w:jc w:val="left"/>
        <w:rPr>
          <w:rFonts w:eastAsia="仿宋_GB2312"/>
          <w:sz w:val="32"/>
          <w:szCs w:val="32"/>
          <w:highlight w:val="none"/>
        </w:rPr>
      </w:pPr>
      <w:r>
        <w:rPr>
          <w:rFonts w:hint="eastAsia" w:hAnsi="仿宋_GB2312" w:eastAsia="仿宋_GB2312"/>
          <w:sz w:val="32"/>
          <w:szCs w:val="32"/>
          <w:highlight w:val="none"/>
          <w:lang w:eastAsia="zh-CN"/>
        </w:rPr>
        <w:t>（</w:t>
      </w:r>
      <w:r>
        <w:rPr>
          <w:rFonts w:hint="eastAsia" w:hAnsi="仿宋_GB2312" w:eastAsia="仿宋_GB2312"/>
          <w:sz w:val="32"/>
          <w:szCs w:val="32"/>
          <w:highlight w:val="none"/>
          <w:lang w:val="en-US" w:eastAsia="zh-CN"/>
        </w:rPr>
        <w:t>九</w:t>
      </w:r>
      <w:r>
        <w:rPr>
          <w:rFonts w:hint="eastAsia" w:hAnsi="仿宋_GB2312" w:eastAsia="仿宋_GB2312"/>
          <w:sz w:val="32"/>
          <w:szCs w:val="32"/>
          <w:highlight w:val="none"/>
          <w:lang w:eastAsia="zh-CN"/>
        </w:rPr>
        <w:t>）</w:t>
      </w:r>
      <w:r>
        <w:rPr>
          <w:rFonts w:hAnsi="仿宋_GB2312" w:eastAsia="仿宋_GB2312"/>
          <w:sz w:val="32"/>
          <w:szCs w:val="32"/>
          <w:highlight w:val="none"/>
        </w:rPr>
        <w:t>工资福利（政府预算）</w:t>
      </w:r>
    </w:p>
    <w:p w14:paraId="1E60ECC9">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（十）工资福利</w:t>
      </w:r>
    </w:p>
    <w:p w14:paraId="7675359A">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（十一）个人家庭</w:t>
      </w:r>
      <w:r>
        <w:rPr>
          <w:rFonts w:eastAsia="仿宋_GB2312"/>
          <w:sz w:val="32"/>
          <w:szCs w:val="32"/>
          <w:highlight w:val="none"/>
        </w:rPr>
        <w:t>(</w:t>
      </w:r>
      <w:r>
        <w:rPr>
          <w:rFonts w:hAnsi="仿宋_GB2312" w:eastAsia="仿宋_GB2312"/>
          <w:sz w:val="32"/>
          <w:szCs w:val="32"/>
          <w:highlight w:val="none"/>
        </w:rPr>
        <w:t>政府预算</w:t>
      </w:r>
      <w:r>
        <w:rPr>
          <w:rFonts w:eastAsia="仿宋_GB2312"/>
          <w:sz w:val="32"/>
          <w:szCs w:val="32"/>
          <w:highlight w:val="none"/>
        </w:rPr>
        <w:t>)</w:t>
      </w:r>
    </w:p>
    <w:p w14:paraId="58D73C7D">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（十二）个人家庭</w:t>
      </w:r>
    </w:p>
    <w:p w14:paraId="1049EFE1">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（十三）商品服务</w:t>
      </w:r>
      <w:r>
        <w:rPr>
          <w:rFonts w:eastAsia="仿宋_GB2312"/>
          <w:sz w:val="32"/>
          <w:szCs w:val="32"/>
          <w:highlight w:val="none"/>
        </w:rPr>
        <w:t>(</w:t>
      </w:r>
      <w:r>
        <w:rPr>
          <w:rFonts w:hAnsi="仿宋_GB2312" w:eastAsia="仿宋_GB2312"/>
          <w:sz w:val="32"/>
          <w:szCs w:val="32"/>
          <w:highlight w:val="none"/>
        </w:rPr>
        <w:t>政府预算</w:t>
      </w:r>
      <w:r>
        <w:rPr>
          <w:rFonts w:eastAsia="仿宋_GB2312"/>
          <w:sz w:val="32"/>
          <w:szCs w:val="32"/>
          <w:highlight w:val="none"/>
        </w:rPr>
        <w:t>)</w:t>
      </w:r>
    </w:p>
    <w:p w14:paraId="75061B49">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（十四）商品服务</w:t>
      </w:r>
    </w:p>
    <w:p w14:paraId="49DF47FB">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（十五）</w:t>
      </w:r>
      <w:r>
        <w:rPr>
          <w:rFonts w:hint="eastAsia" w:hAnsi="仿宋_GB2312" w:eastAsia="仿宋_GB2312"/>
          <w:sz w:val="32"/>
          <w:szCs w:val="32"/>
          <w:highlight w:val="none"/>
        </w:rPr>
        <w:t>一般公共预算“三公”经费支出情况表</w:t>
      </w:r>
    </w:p>
    <w:p w14:paraId="5D12B42B">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（十六）</w:t>
      </w:r>
      <w:r>
        <w:rPr>
          <w:rFonts w:hint="eastAsia" w:hAnsi="仿宋_GB2312" w:eastAsia="仿宋_GB2312"/>
          <w:sz w:val="32"/>
          <w:szCs w:val="32"/>
          <w:highlight w:val="none"/>
        </w:rPr>
        <w:t>政府性基金预算支出情况表</w:t>
      </w:r>
    </w:p>
    <w:p w14:paraId="598C8306">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（十七）政府性基金</w:t>
      </w:r>
      <w:r>
        <w:rPr>
          <w:rFonts w:eastAsia="仿宋_GB2312"/>
          <w:sz w:val="32"/>
          <w:szCs w:val="32"/>
          <w:highlight w:val="none"/>
        </w:rPr>
        <w:t>(</w:t>
      </w:r>
      <w:r>
        <w:rPr>
          <w:rFonts w:hAnsi="仿宋_GB2312" w:eastAsia="仿宋_GB2312"/>
          <w:sz w:val="32"/>
          <w:szCs w:val="32"/>
          <w:highlight w:val="none"/>
        </w:rPr>
        <w:t>政府预算</w:t>
      </w:r>
      <w:r>
        <w:rPr>
          <w:rFonts w:eastAsia="仿宋_GB2312"/>
          <w:sz w:val="32"/>
          <w:szCs w:val="32"/>
          <w:highlight w:val="none"/>
        </w:rPr>
        <w:t>)</w:t>
      </w:r>
    </w:p>
    <w:p w14:paraId="2B805ACD">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（十八）政府性基金</w:t>
      </w:r>
      <w:r>
        <w:rPr>
          <w:rFonts w:eastAsia="仿宋_GB2312"/>
          <w:sz w:val="32"/>
          <w:szCs w:val="32"/>
          <w:highlight w:val="none"/>
        </w:rPr>
        <w:t>(</w:t>
      </w:r>
      <w:r>
        <w:rPr>
          <w:rFonts w:hAnsi="仿宋_GB2312" w:eastAsia="仿宋_GB2312"/>
          <w:sz w:val="32"/>
          <w:szCs w:val="32"/>
          <w:highlight w:val="none"/>
        </w:rPr>
        <w:t>部门预算</w:t>
      </w:r>
      <w:r>
        <w:rPr>
          <w:rFonts w:eastAsia="仿宋_GB2312"/>
          <w:sz w:val="32"/>
          <w:szCs w:val="32"/>
          <w:highlight w:val="none"/>
        </w:rPr>
        <w:t>)</w:t>
      </w:r>
    </w:p>
    <w:p w14:paraId="72629989">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（十九）国有资本经营预算</w:t>
      </w:r>
    </w:p>
    <w:p w14:paraId="41543A70">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（二十）财政专户管理资金</w:t>
      </w:r>
    </w:p>
    <w:p w14:paraId="374058B5">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（二十一）专项清单</w:t>
      </w:r>
    </w:p>
    <w:p w14:paraId="785FD7A5">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（二十二）项目支出绩效目标表</w:t>
      </w:r>
    </w:p>
    <w:p w14:paraId="317A6B71">
      <w:pPr>
        <w:tabs>
          <w:tab w:val="left" w:pos="7560"/>
        </w:tabs>
        <w:adjustRightInd w:val="0"/>
        <w:snapToGrid w:val="0"/>
        <w:spacing w:line="560" w:lineRule="exact"/>
        <w:ind w:firstLine="640" w:firstLineChars="200"/>
        <w:jc w:val="left"/>
        <w:rPr>
          <w:rFonts w:eastAsia="仿宋_GB2312"/>
          <w:sz w:val="32"/>
          <w:szCs w:val="32"/>
          <w:highlight w:val="none"/>
        </w:rPr>
      </w:pPr>
      <w:r>
        <w:rPr>
          <w:rFonts w:hAnsi="仿宋_GB2312" w:eastAsia="仿宋_GB2312"/>
          <w:sz w:val="32"/>
          <w:szCs w:val="32"/>
          <w:highlight w:val="none"/>
        </w:rPr>
        <w:t>（二十</w:t>
      </w:r>
      <w:r>
        <w:rPr>
          <w:rFonts w:hint="eastAsia" w:hAnsi="仿宋_GB2312" w:eastAsia="仿宋_GB2312"/>
          <w:sz w:val="32"/>
          <w:szCs w:val="32"/>
          <w:highlight w:val="none"/>
          <w:lang w:val="en-US" w:eastAsia="zh-CN"/>
        </w:rPr>
        <w:t>三</w:t>
      </w:r>
      <w:r>
        <w:rPr>
          <w:rFonts w:hAnsi="仿宋_GB2312" w:eastAsia="仿宋_GB2312"/>
          <w:sz w:val="32"/>
          <w:szCs w:val="32"/>
          <w:highlight w:val="none"/>
        </w:rPr>
        <w:t>）整体支出绩效目标表</w:t>
      </w:r>
      <w:r>
        <w:rPr>
          <w:rFonts w:eastAsia="仿宋_GB2312"/>
          <w:sz w:val="32"/>
          <w:szCs w:val="32"/>
          <w:highlight w:val="none"/>
        </w:rPr>
        <w:t xml:space="preserve"> </w:t>
      </w:r>
    </w:p>
    <w:p w14:paraId="5069B14E">
      <w:pPr>
        <w:tabs>
          <w:tab w:val="left" w:pos="7560"/>
        </w:tabs>
        <w:adjustRightInd w:val="0"/>
        <w:snapToGrid w:val="0"/>
        <w:spacing w:line="560" w:lineRule="exact"/>
        <w:rPr>
          <w:rFonts w:eastAsia="黑体"/>
          <w:sz w:val="32"/>
          <w:szCs w:val="32"/>
          <w:highlight w:val="none"/>
        </w:rPr>
      </w:pPr>
      <w:r>
        <w:rPr>
          <w:rFonts w:hint="eastAsia" w:ascii="仿宋_GB2312" w:hAnsi="Calibri" w:eastAsia="仿宋_GB2312" w:cs="Times New Roman"/>
          <w:kern w:val="2"/>
          <w:sz w:val="32"/>
          <w:szCs w:val="32"/>
          <w:highlight w:val="none"/>
          <w:lang w:val="en-US" w:eastAsia="zh-CN" w:bidi="ar-SA"/>
        </w:rPr>
        <w:t>（注：本套报</w:t>
      </w:r>
      <w:r>
        <w:rPr>
          <w:rFonts w:hint="eastAsia" w:hAnsi="仿宋_GB2312" w:eastAsia="仿宋_GB2312"/>
          <w:sz w:val="32"/>
          <w:szCs w:val="32"/>
          <w:highlight w:val="none"/>
          <w:lang w:val="en-US" w:eastAsia="zh-CN"/>
        </w:rPr>
        <w:t>表金额单位转换时可能存在尾数误差）</w:t>
      </w:r>
    </w:p>
    <w:p w14:paraId="73A2C8C1">
      <w:pPr>
        <w:tabs>
          <w:tab w:val="left" w:pos="7560"/>
        </w:tabs>
        <w:adjustRightInd w:val="0"/>
        <w:snapToGrid w:val="0"/>
        <w:spacing w:line="560" w:lineRule="exact"/>
        <w:rPr>
          <w:rFonts w:eastAsia="黑体"/>
          <w:sz w:val="32"/>
          <w:szCs w:val="32"/>
          <w:highlight w:val="none"/>
        </w:rPr>
      </w:pPr>
    </w:p>
    <w:p w14:paraId="63856BE4">
      <w:pPr>
        <w:tabs>
          <w:tab w:val="left" w:pos="7560"/>
        </w:tabs>
        <w:adjustRightInd w:val="0"/>
        <w:snapToGrid w:val="0"/>
        <w:spacing w:line="560" w:lineRule="exact"/>
        <w:rPr>
          <w:rFonts w:eastAsia="黑体"/>
          <w:sz w:val="32"/>
          <w:szCs w:val="32"/>
          <w:highlight w:val="none"/>
        </w:rPr>
      </w:pPr>
    </w:p>
    <w:p w14:paraId="3392008F">
      <w:pPr>
        <w:tabs>
          <w:tab w:val="left" w:pos="7560"/>
        </w:tabs>
        <w:adjustRightInd w:val="0"/>
        <w:snapToGrid w:val="0"/>
        <w:spacing w:line="560" w:lineRule="exact"/>
        <w:rPr>
          <w:rFonts w:eastAsia="黑体"/>
          <w:sz w:val="32"/>
          <w:szCs w:val="32"/>
          <w:highlight w:val="none"/>
        </w:rPr>
      </w:pPr>
    </w:p>
    <w:p w14:paraId="71AE7888">
      <w:pPr>
        <w:tabs>
          <w:tab w:val="left" w:pos="7560"/>
        </w:tabs>
        <w:adjustRightInd w:val="0"/>
        <w:snapToGrid w:val="0"/>
        <w:spacing w:line="560" w:lineRule="exact"/>
        <w:rPr>
          <w:rFonts w:eastAsia="黑体"/>
          <w:sz w:val="32"/>
          <w:szCs w:val="32"/>
          <w:highlight w:val="none"/>
        </w:rPr>
      </w:pPr>
    </w:p>
    <w:p w14:paraId="3F8385CC">
      <w:pPr>
        <w:tabs>
          <w:tab w:val="left" w:pos="7560"/>
        </w:tabs>
        <w:adjustRightInd w:val="0"/>
        <w:snapToGrid w:val="0"/>
        <w:spacing w:line="560" w:lineRule="exact"/>
        <w:rPr>
          <w:rFonts w:eastAsia="黑体"/>
          <w:sz w:val="32"/>
          <w:szCs w:val="32"/>
          <w:highlight w:val="none"/>
        </w:rPr>
      </w:pPr>
    </w:p>
    <w:p w14:paraId="5E7A5AC4">
      <w:pPr>
        <w:tabs>
          <w:tab w:val="left" w:pos="7560"/>
        </w:tabs>
        <w:adjustRightInd w:val="0"/>
        <w:snapToGrid w:val="0"/>
        <w:spacing w:line="560" w:lineRule="exact"/>
        <w:rPr>
          <w:rFonts w:eastAsia="黑体"/>
          <w:sz w:val="32"/>
          <w:szCs w:val="32"/>
          <w:highlight w:val="none"/>
        </w:rPr>
      </w:pPr>
    </w:p>
    <w:p w14:paraId="7D1A0BC2">
      <w:pPr>
        <w:tabs>
          <w:tab w:val="left" w:pos="7560"/>
        </w:tabs>
        <w:adjustRightInd w:val="0"/>
        <w:snapToGrid w:val="0"/>
        <w:spacing w:line="560" w:lineRule="exact"/>
        <w:rPr>
          <w:rFonts w:eastAsia="黑体"/>
          <w:sz w:val="32"/>
          <w:szCs w:val="32"/>
          <w:highlight w:val="none"/>
        </w:rPr>
      </w:pPr>
    </w:p>
    <w:p w14:paraId="3707A0CF">
      <w:pPr>
        <w:tabs>
          <w:tab w:val="left" w:pos="7560"/>
        </w:tabs>
        <w:adjustRightInd w:val="0"/>
        <w:snapToGrid w:val="0"/>
        <w:spacing w:line="560" w:lineRule="exact"/>
        <w:rPr>
          <w:rFonts w:eastAsia="黑体"/>
          <w:sz w:val="32"/>
          <w:szCs w:val="32"/>
          <w:highlight w:val="none"/>
        </w:rPr>
      </w:pPr>
    </w:p>
    <w:p w14:paraId="6F2EF67A">
      <w:pPr>
        <w:tabs>
          <w:tab w:val="left" w:pos="7560"/>
        </w:tabs>
        <w:adjustRightInd w:val="0"/>
        <w:snapToGrid w:val="0"/>
        <w:spacing w:line="560" w:lineRule="exact"/>
        <w:rPr>
          <w:rFonts w:eastAsia="黑体"/>
          <w:sz w:val="32"/>
          <w:szCs w:val="32"/>
          <w:highlight w:val="none"/>
        </w:rPr>
      </w:pPr>
    </w:p>
    <w:p w14:paraId="2B15A75E">
      <w:pPr>
        <w:tabs>
          <w:tab w:val="left" w:pos="7560"/>
        </w:tabs>
        <w:adjustRightInd w:val="0"/>
        <w:snapToGrid w:val="0"/>
        <w:spacing w:line="560" w:lineRule="exact"/>
        <w:rPr>
          <w:rFonts w:eastAsia="黑体"/>
          <w:sz w:val="32"/>
          <w:szCs w:val="32"/>
          <w:highlight w:val="none"/>
        </w:rPr>
      </w:pPr>
    </w:p>
    <w:p w14:paraId="16B23879">
      <w:pPr>
        <w:tabs>
          <w:tab w:val="left" w:pos="7560"/>
        </w:tabs>
        <w:adjustRightInd w:val="0"/>
        <w:snapToGrid w:val="0"/>
        <w:spacing w:line="560" w:lineRule="exact"/>
        <w:rPr>
          <w:rFonts w:eastAsia="黑体"/>
          <w:sz w:val="32"/>
          <w:szCs w:val="32"/>
          <w:highlight w:val="none"/>
        </w:rPr>
      </w:pPr>
    </w:p>
    <w:p w14:paraId="0EB5E7D0">
      <w:pPr>
        <w:tabs>
          <w:tab w:val="left" w:pos="7560"/>
        </w:tabs>
        <w:adjustRightInd w:val="0"/>
        <w:snapToGrid w:val="0"/>
        <w:spacing w:line="560" w:lineRule="exact"/>
        <w:rPr>
          <w:rFonts w:eastAsia="黑体"/>
          <w:sz w:val="32"/>
          <w:szCs w:val="32"/>
          <w:highlight w:val="none"/>
        </w:rPr>
      </w:pPr>
    </w:p>
    <w:p w14:paraId="1BED68A6">
      <w:pPr>
        <w:tabs>
          <w:tab w:val="left" w:pos="7560"/>
        </w:tabs>
        <w:adjustRightInd w:val="0"/>
        <w:snapToGrid w:val="0"/>
        <w:spacing w:line="560" w:lineRule="exact"/>
        <w:rPr>
          <w:rFonts w:eastAsia="黑体"/>
          <w:sz w:val="32"/>
          <w:szCs w:val="32"/>
          <w:highlight w:val="none"/>
        </w:rPr>
      </w:pPr>
    </w:p>
    <w:p w14:paraId="75A8C61A">
      <w:pPr>
        <w:tabs>
          <w:tab w:val="left" w:pos="7560"/>
        </w:tabs>
        <w:adjustRightInd w:val="0"/>
        <w:snapToGrid w:val="0"/>
        <w:spacing w:line="560" w:lineRule="exact"/>
        <w:rPr>
          <w:rFonts w:eastAsia="黑体"/>
          <w:sz w:val="32"/>
          <w:szCs w:val="32"/>
          <w:highlight w:val="none"/>
        </w:rPr>
      </w:pPr>
    </w:p>
    <w:p w14:paraId="0E670893">
      <w:pPr>
        <w:tabs>
          <w:tab w:val="left" w:pos="7560"/>
        </w:tabs>
        <w:adjustRightInd w:val="0"/>
        <w:snapToGrid w:val="0"/>
        <w:spacing w:line="560" w:lineRule="exact"/>
        <w:rPr>
          <w:rFonts w:eastAsia="黑体"/>
          <w:sz w:val="32"/>
          <w:szCs w:val="32"/>
          <w:highlight w:val="none"/>
        </w:rPr>
      </w:pPr>
    </w:p>
    <w:p w14:paraId="7DD76406">
      <w:pPr>
        <w:tabs>
          <w:tab w:val="left" w:pos="7560"/>
        </w:tabs>
        <w:adjustRightInd w:val="0"/>
        <w:snapToGrid w:val="0"/>
        <w:spacing w:line="560" w:lineRule="exact"/>
        <w:rPr>
          <w:rFonts w:eastAsia="黑体"/>
          <w:sz w:val="32"/>
          <w:szCs w:val="32"/>
          <w:highlight w:val="none"/>
        </w:rPr>
      </w:pPr>
    </w:p>
    <w:p w14:paraId="3040405D">
      <w:pPr>
        <w:tabs>
          <w:tab w:val="left" w:pos="7560"/>
        </w:tabs>
        <w:adjustRightInd w:val="0"/>
        <w:snapToGrid w:val="0"/>
        <w:spacing w:line="560" w:lineRule="exact"/>
        <w:rPr>
          <w:rFonts w:eastAsia="黑体"/>
          <w:sz w:val="32"/>
          <w:szCs w:val="32"/>
          <w:highlight w:val="none"/>
        </w:rPr>
      </w:pPr>
    </w:p>
    <w:p w14:paraId="0BF94118">
      <w:pPr>
        <w:tabs>
          <w:tab w:val="left" w:pos="7560"/>
        </w:tabs>
        <w:adjustRightInd w:val="0"/>
        <w:snapToGrid w:val="0"/>
        <w:spacing w:line="560" w:lineRule="exact"/>
        <w:rPr>
          <w:rFonts w:eastAsia="黑体"/>
          <w:sz w:val="32"/>
          <w:szCs w:val="32"/>
          <w:highlight w:val="none"/>
        </w:rPr>
      </w:pPr>
    </w:p>
    <w:p w14:paraId="21DA1323">
      <w:pPr>
        <w:tabs>
          <w:tab w:val="left" w:pos="7560"/>
        </w:tabs>
        <w:adjustRightInd w:val="0"/>
        <w:snapToGrid w:val="0"/>
        <w:spacing w:line="560" w:lineRule="exact"/>
        <w:rPr>
          <w:rFonts w:eastAsia="黑体"/>
          <w:sz w:val="32"/>
          <w:szCs w:val="32"/>
          <w:highlight w:val="none"/>
        </w:rPr>
      </w:pPr>
    </w:p>
    <w:p w14:paraId="70E94C54">
      <w:pPr>
        <w:tabs>
          <w:tab w:val="left" w:pos="7560"/>
        </w:tabs>
        <w:adjustRightInd w:val="0"/>
        <w:snapToGrid w:val="0"/>
        <w:spacing w:line="560" w:lineRule="exact"/>
        <w:ind w:firstLine="640" w:firstLineChars="200"/>
        <w:rPr>
          <w:rFonts w:eastAsia="黑体"/>
          <w:sz w:val="32"/>
          <w:szCs w:val="32"/>
          <w:highlight w:val="none"/>
        </w:rPr>
      </w:pPr>
      <w:r>
        <w:rPr>
          <w:rFonts w:eastAsia="黑体"/>
          <w:sz w:val="32"/>
          <w:szCs w:val="32"/>
          <w:highlight w:val="none"/>
        </w:rPr>
        <w:t>第一部分：</w:t>
      </w:r>
    </w:p>
    <w:p w14:paraId="0EBC2BDE">
      <w:pPr>
        <w:tabs>
          <w:tab w:val="left" w:pos="7560"/>
        </w:tabs>
        <w:adjustRightInd w:val="0"/>
        <w:snapToGrid w:val="0"/>
        <w:spacing w:line="560" w:lineRule="exact"/>
        <w:rPr>
          <w:rFonts w:eastAsia="方正小标宋简体"/>
          <w:bCs/>
          <w:sz w:val="44"/>
          <w:szCs w:val="44"/>
          <w:highlight w:val="none"/>
        </w:rPr>
      </w:pPr>
    </w:p>
    <w:p w14:paraId="44C2572A">
      <w:pPr>
        <w:tabs>
          <w:tab w:val="left" w:pos="7560"/>
        </w:tabs>
        <w:adjustRightInd w:val="0"/>
        <w:snapToGrid w:val="0"/>
        <w:spacing w:line="560" w:lineRule="exact"/>
        <w:jc w:val="center"/>
        <w:rPr>
          <w:rFonts w:eastAsia="黑体"/>
          <w:sz w:val="32"/>
          <w:szCs w:val="32"/>
          <w:highlight w:val="none"/>
        </w:rPr>
      </w:pPr>
      <w:r>
        <w:rPr>
          <w:rFonts w:hint="eastAsia" w:eastAsia="方正小标宋简体"/>
          <w:bCs/>
          <w:sz w:val="44"/>
          <w:szCs w:val="44"/>
          <w:highlight w:val="none"/>
        </w:rPr>
        <w:t>市住房保障服务中心</w:t>
      </w:r>
      <w:r>
        <w:rPr>
          <w:rFonts w:eastAsia="方正小标宋简体"/>
          <w:bCs/>
          <w:sz w:val="44"/>
          <w:szCs w:val="44"/>
          <w:highlight w:val="none"/>
        </w:rPr>
        <w:t>2023年部门预算说明</w:t>
      </w:r>
    </w:p>
    <w:p w14:paraId="6F82C427">
      <w:pPr>
        <w:tabs>
          <w:tab w:val="left" w:pos="7560"/>
        </w:tabs>
        <w:adjustRightInd w:val="0"/>
        <w:snapToGrid w:val="0"/>
        <w:spacing w:line="560" w:lineRule="exact"/>
        <w:ind w:firstLine="640" w:firstLineChars="200"/>
        <w:rPr>
          <w:rFonts w:eastAsia="黑体"/>
          <w:sz w:val="32"/>
          <w:szCs w:val="32"/>
          <w:highlight w:val="none"/>
        </w:rPr>
      </w:pPr>
    </w:p>
    <w:p w14:paraId="6C965F55">
      <w:pPr>
        <w:tabs>
          <w:tab w:val="left" w:pos="7560"/>
        </w:tabs>
        <w:adjustRightInd w:val="0"/>
        <w:snapToGrid w:val="0"/>
        <w:spacing w:line="560" w:lineRule="exact"/>
        <w:ind w:firstLine="1120" w:firstLineChars="350"/>
        <w:rPr>
          <w:rFonts w:eastAsia="黑体"/>
          <w:sz w:val="32"/>
          <w:szCs w:val="32"/>
          <w:highlight w:val="none"/>
        </w:rPr>
      </w:pPr>
      <w:r>
        <w:rPr>
          <w:rFonts w:eastAsia="黑体"/>
          <w:sz w:val="32"/>
          <w:szCs w:val="32"/>
          <w:highlight w:val="none"/>
        </w:rPr>
        <w:t>一、 部门职能职责</w:t>
      </w:r>
    </w:p>
    <w:p w14:paraId="0A8FF722">
      <w:pPr>
        <w:widowControl/>
        <w:shd w:val="clear" w:color="auto" w:fill="FFFFFF"/>
        <w:spacing w:line="560" w:lineRule="exact"/>
        <w:ind w:firstLine="707" w:firstLineChars="221"/>
        <w:outlineLvl w:val="0"/>
        <w:rPr>
          <w:rFonts w:eastAsia="仿宋_GB2312"/>
          <w:color w:val="000000"/>
          <w:kern w:val="0"/>
          <w:sz w:val="32"/>
          <w:szCs w:val="32"/>
          <w:highlight w:val="none"/>
        </w:rPr>
      </w:pPr>
      <w:r>
        <w:rPr>
          <w:rFonts w:eastAsia="仿宋_GB2312"/>
          <w:color w:val="000000"/>
          <w:kern w:val="0"/>
          <w:sz w:val="32"/>
          <w:szCs w:val="32"/>
          <w:highlight w:val="none"/>
        </w:rPr>
        <w:t>根据</w:t>
      </w:r>
      <w:r>
        <w:rPr>
          <w:rFonts w:hint="eastAsia" w:eastAsia="仿宋_GB2312"/>
          <w:color w:val="000000"/>
          <w:kern w:val="0"/>
          <w:sz w:val="32"/>
          <w:szCs w:val="32"/>
          <w:highlight w:val="none"/>
        </w:rPr>
        <w:t>醴编委【2020】19号</w:t>
      </w:r>
      <w:r>
        <w:rPr>
          <w:rFonts w:eastAsia="仿宋_GB2312"/>
          <w:color w:val="000000"/>
          <w:kern w:val="0"/>
          <w:sz w:val="32"/>
          <w:szCs w:val="32"/>
          <w:highlight w:val="none"/>
        </w:rPr>
        <w:t>文件规定，本部门主要职责是：</w:t>
      </w:r>
    </w:p>
    <w:p w14:paraId="42501C70">
      <w:pPr>
        <w:widowControl/>
        <w:shd w:val="clear" w:color="auto" w:fill="FFFFFF"/>
        <w:spacing w:line="560" w:lineRule="exact"/>
        <w:ind w:firstLine="140" w:firstLineChars="44"/>
        <w:outlineLvl w:val="0"/>
        <w:rPr>
          <w:rFonts w:eastAsia="仿宋_GB2312"/>
          <w:color w:val="000000"/>
          <w:kern w:val="0"/>
          <w:sz w:val="32"/>
          <w:szCs w:val="32"/>
          <w:highlight w:val="none"/>
        </w:rPr>
      </w:pPr>
      <w:r>
        <w:rPr>
          <w:rFonts w:hint="eastAsia" w:eastAsia="仿宋_GB2312"/>
          <w:color w:val="000000"/>
          <w:kern w:val="0"/>
          <w:sz w:val="32"/>
          <w:szCs w:val="32"/>
          <w:highlight w:val="none"/>
        </w:rPr>
        <w:t>　　（一）贯彻执行上级有关住房保障工作的法律、法规和针、政策，对全市住房保障工作发展规划及年度计划提出建议并负责拟定具体实施办法，为住房保障行业提供服务保障。</w:t>
      </w:r>
    </w:p>
    <w:p w14:paraId="4B646896">
      <w:pPr>
        <w:widowControl/>
        <w:shd w:val="clear" w:color="auto" w:fill="FFFFFF"/>
        <w:spacing w:line="560" w:lineRule="exact"/>
        <w:outlineLvl w:val="0"/>
        <w:rPr>
          <w:rFonts w:eastAsia="仿宋_GB2312"/>
          <w:color w:val="000000"/>
          <w:kern w:val="0"/>
          <w:sz w:val="32"/>
          <w:szCs w:val="32"/>
          <w:highlight w:val="none"/>
        </w:rPr>
      </w:pPr>
      <w:r>
        <w:rPr>
          <w:rFonts w:hint="eastAsia" w:eastAsia="仿宋_GB2312"/>
          <w:color w:val="000000"/>
          <w:kern w:val="0"/>
          <w:sz w:val="32"/>
          <w:szCs w:val="32"/>
          <w:highlight w:val="none"/>
        </w:rPr>
        <w:t>　　（二）负责全市廉租房、公共租赁住房、经济适用住房等保障性住房的建设、储备、分配、销售、交易及棚户区改造的事务性工作和后续管理服务工作；负责住房保障对象审批、实施保障性住房货币补贴的事务性工作；负责处理房改售房遗留问题。</w:t>
      </w:r>
    </w:p>
    <w:p w14:paraId="6A0CB981">
      <w:pPr>
        <w:widowControl/>
        <w:shd w:val="clear" w:color="auto" w:fill="FFFFFF"/>
        <w:spacing w:line="560" w:lineRule="exact"/>
        <w:ind w:firstLine="140" w:firstLineChars="44"/>
        <w:outlineLvl w:val="0"/>
        <w:rPr>
          <w:rFonts w:eastAsia="仿宋_GB2312"/>
          <w:color w:val="000000"/>
          <w:kern w:val="0"/>
          <w:sz w:val="32"/>
          <w:szCs w:val="32"/>
          <w:highlight w:val="none"/>
        </w:rPr>
      </w:pPr>
      <w:r>
        <w:rPr>
          <w:rFonts w:hint="eastAsia" w:eastAsia="仿宋_GB2312"/>
          <w:color w:val="000000"/>
          <w:kern w:val="0"/>
          <w:sz w:val="32"/>
          <w:szCs w:val="32"/>
          <w:highlight w:val="none"/>
        </w:rPr>
        <w:t>　 （三）负责全市房屋中介服务和租赁的事务性工作。</w:t>
      </w:r>
    </w:p>
    <w:p w14:paraId="139B4BE6">
      <w:pPr>
        <w:widowControl/>
        <w:shd w:val="clear" w:color="auto" w:fill="FFFFFF"/>
        <w:spacing w:line="560" w:lineRule="exact"/>
        <w:ind w:firstLine="566" w:firstLineChars="177"/>
        <w:outlineLvl w:val="0"/>
        <w:rPr>
          <w:rFonts w:eastAsia="仿宋_GB2312"/>
          <w:color w:val="000000"/>
          <w:kern w:val="0"/>
          <w:sz w:val="32"/>
          <w:szCs w:val="32"/>
          <w:highlight w:val="none"/>
        </w:rPr>
      </w:pPr>
      <w:r>
        <w:rPr>
          <w:rFonts w:hint="eastAsia" w:eastAsia="仿宋_GB2312"/>
          <w:color w:val="000000"/>
          <w:kern w:val="0"/>
          <w:sz w:val="32"/>
          <w:szCs w:val="32"/>
          <w:highlight w:val="none"/>
        </w:rPr>
        <w:t>（四）承担全市城市直管公房的修缮、改造、设施建设、保护经营和租赁的事务性工作；负责全市城市房屋白蚁预防和灭治的事务性工作；负责全市房屋维修资金的相关事务性工作；负责太一综合市场运营和管理的事务性工作。</w:t>
      </w:r>
    </w:p>
    <w:p w14:paraId="2FADCBEA">
      <w:pPr>
        <w:widowControl/>
        <w:shd w:val="clear" w:color="auto" w:fill="FFFFFF"/>
        <w:spacing w:line="560" w:lineRule="exact"/>
        <w:ind w:firstLine="640" w:firstLineChars="200"/>
        <w:outlineLvl w:val="0"/>
        <w:rPr>
          <w:rFonts w:eastAsia="仿宋_GB2312"/>
          <w:color w:val="000000"/>
          <w:kern w:val="0"/>
          <w:sz w:val="32"/>
          <w:szCs w:val="32"/>
          <w:highlight w:val="none"/>
        </w:rPr>
      </w:pPr>
      <w:r>
        <w:rPr>
          <w:rFonts w:hint="eastAsia" w:eastAsia="仿宋_GB2312"/>
          <w:color w:val="000000"/>
          <w:kern w:val="0"/>
          <w:sz w:val="32"/>
          <w:szCs w:val="32"/>
          <w:highlight w:val="none"/>
        </w:rPr>
        <w:t>（五）负责受理和调处涉及住房保障方面的信访、投诉举报工作；承担全市房产测绘及测绘成果审查备案、利用的事务性工作；承担全市住房保障信息汇集工作。</w:t>
      </w:r>
    </w:p>
    <w:p w14:paraId="428899DB">
      <w:pPr>
        <w:tabs>
          <w:tab w:val="left" w:pos="7560"/>
        </w:tabs>
        <w:adjustRightInd w:val="0"/>
        <w:snapToGrid w:val="0"/>
        <w:spacing w:line="560" w:lineRule="exact"/>
        <w:ind w:firstLine="640" w:firstLineChars="200"/>
        <w:rPr>
          <w:rFonts w:eastAsia="仿宋_GB2312"/>
          <w:sz w:val="32"/>
          <w:szCs w:val="32"/>
          <w:highlight w:val="none"/>
        </w:rPr>
      </w:pPr>
      <w:r>
        <w:rPr>
          <w:rFonts w:hint="eastAsia" w:eastAsia="仿宋_GB2312"/>
          <w:color w:val="000000"/>
          <w:kern w:val="0"/>
          <w:sz w:val="32"/>
          <w:szCs w:val="32"/>
          <w:highlight w:val="none"/>
        </w:rPr>
        <w:t>（六）承担市委、市人民政府、市住房和城乡建设局（市人民防空办公室）交办的其他工作</w:t>
      </w:r>
    </w:p>
    <w:p w14:paraId="13FFD054">
      <w:pPr>
        <w:tabs>
          <w:tab w:val="left" w:pos="7560"/>
        </w:tabs>
        <w:adjustRightInd w:val="0"/>
        <w:snapToGrid w:val="0"/>
        <w:spacing w:line="560" w:lineRule="exact"/>
        <w:ind w:firstLine="640" w:firstLineChars="200"/>
        <w:rPr>
          <w:rFonts w:eastAsia="黑体"/>
          <w:sz w:val="32"/>
          <w:szCs w:val="32"/>
          <w:highlight w:val="none"/>
        </w:rPr>
      </w:pPr>
      <w:r>
        <w:rPr>
          <w:rFonts w:eastAsia="黑体"/>
          <w:sz w:val="32"/>
          <w:szCs w:val="32"/>
          <w:highlight w:val="none"/>
        </w:rPr>
        <w:t>二、机构设置</w:t>
      </w:r>
    </w:p>
    <w:p w14:paraId="4061D7D2">
      <w:pPr>
        <w:tabs>
          <w:tab w:val="left" w:pos="7560"/>
        </w:tabs>
        <w:adjustRightInd w:val="0"/>
        <w:snapToGrid w:val="0"/>
        <w:spacing w:line="560" w:lineRule="exact"/>
        <w:ind w:firstLine="640" w:firstLineChars="200"/>
        <w:rPr>
          <w:rFonts w:eastAsia="仿宋_GB2312"/>
          <w:color w:val="000000"/>
          <w:sz w:val="32"/>
          <w:szCs w:val="32"/>
          <w:highlight w:val="none"/>
        </w:rPr>
      </w:pPr>
      <w:r>
        <w:rPr>
          <w:rFonts w:eastAsia="仿宋_GB2312"/>
          <w:bCs/>
          <w:color w:val="FF0000"/>
          <w:sz w:val="32"/>
          <w:szCs w:val="32"/>
          <w:highlight w:val="none"/>
        </w:rPr>
        <w:t> </w:t>
      </w:r>
      <w:r>
        <w:rPr>
          <w:rFonts w:eastAsia="仿宋_GB2312"/>
          <w:sz w:val="32"/>
          <w:szCs w:val="32"/>
          <w:highlight w:val="none"/>
        </w:rPr>
        <w:t xml:space="preserve">本部门共有编制人数 </w:t>
      </w:r>
      <w:r>
        <w:rPr>
          <w:rFonts w:hint="eastAsia" w:eastAsia="仿宋_GB2312"/>
          <w:sz w:val="32"/>
          <w:szCs w:val="32"/>
          <w:highlight w:val="none"/>
        </w:rPr>
        <w:t>60</w:t>
      </w:r>
      <w:r>
        <w:rPr>
          <w:rFonts w:eastAsia="仿宋_GB2312"/>
          <w:sz w:val="32"/>
          <w:szCs w:val="32"/>
          <w:highlight w:val="none"/>
        </w:rPr>
        <w:t xml:space="preserve"> 人，实有人数 </w:t>
      </w:r>
      <w:r>
        <w:rPr>
          <w:rFonts w:hint="eastAsia" w:eastAsia="仿宋_GB2312"/>
          <w:sz w:val="32"/>
          <w:szCs w:val="32"/>
          <w:highlight w:val="none"/>
        </w:rPr>
        <w:t>40</w:t>
      </w:r>
      <w:r>
        <w:rPr>
          <w:rFonts w:eastAsia="仿宋_GB2312"/>
          <w:sz w:val="32"/>
          <w:szCs w:val="32"/>
          <w:highlight w:val="none"/>
        </w:rPr>
        <w:t xml:space="preserve"> 人。内设科室  </w:t>
      </w:r>
      <w:r>
        <w:rPr>
          <w:rFonts w:hint="eastAsia" w:eastAsia="仿宋_GB2312"/>
          <w:sz w:val="32"/>
          <w:szCs w:val="32"/>
          <w:highlight w:val="none"/>
        </w:rPr>
        <w:t>5</w:t>
      </w:r>
      <w:r>
        <w:rPr>
          <w:rFonts w:eastAsia="仿宋_GB2312"/>
          <w:sz w:val="32"/>
          <w:szCs w:val="32"/>
          <w:highlight w:val="none"/>
        </w:rPr>
        <w:t>个，分别为：</w:t>
      </w:r>
      <w:r>
        <w:rPr>
          <w:rFonts w:hint="eastAsia" w:eastAsia="仿宋_GB2312"/>
          <w:sz w:val="32"/>
          <w:szCs w:val="32"/>
          <w:highlight w:val="none"/>
        </w:rPr>
        <w:t>办公室、人事教育股、财务股、房屋中介服务股、工程技术股。</w:t>
      </w:r>
    </w:p>
    <w:p w14:paraId="1A6851E0">
      <w:pPr>
        <w:tabs>
          <w:tab w:val="left" w:pos="7560"/>
        </w:tabs>
        <w:adjustRightInd w:val="0"/>
        <w:snapToGrid w:val="0"/>
        <w:spacing w:line="560" w:lineRule="exact"/>
        <w:ind w:firstLine="640" w:firstLineChars="200"/>
        <w:rPr>
          <w:rFonts w:eastAsia="黑体"/>
          <w:sz w:val="32"/>
          <w:szCs w:val="32"/>
          <w:highlight w:val="none"/>
        </w:rPr>
      </w:pPr>
      <w:r>
        <w:rPr>
          <w:rFonts w:eastAsia="黑体"/>
          <w:sz w:val="32"/>
          <w:szCs w:val="32"/>
          <w:highlight w:val="none"/>
        </w:rPr>
        <w:t>三、部门预算单位构成</w:t>
      </w:r>
    </w:p>
    <w:p w14:paraId="70D76E54">
      <w:pPr>
        <w:tabs>
          <w:tab w:val="left" w:pos="7560"/>
        </w:tabs>
        <w:adjustRightInd w:val="0"/>
        <w:snapToGrid w:val="0"/>
        <w:spacing w:line="560" w:lineRule="exact"/>
        <w:ind w:firstLine="640" w:firstLineChars="200"/>
        <w:rPr>
          <w:rFonts w:eastAsia="仿宋_GB2312"/>
          <w:sz w:val="32"/>
          <w:szCs w:val="32"/>
          <w:highlight w:val="none"/>
        </w:rPr>
      </w:pPr>
      <w:r>
        <w:rPr>
          <w:rFonts w:hint="eastAsia" w:eastAsia="仿宋_GB2312"/>
          <w:sz w:val="32"/>
          <w:szCs w:val="32"/>
          <w:highlight w:val="none"/>
        </w:rPr>
        <w:t>醴陵市住房保障服务中心只有本级，没有其他预算单位，因此纳入2023年部门预算编制范围的只有醴陵市住房保障服务中心本级。</w:t>
      </w:r>
    </w:p>
    <w:p w14:paraId="39BD7BDF">
      <w:pPr>
        <w:tabs>
          <w:tab w:val="left" w:pos="7560"/>
        </w:tabs>
        <w:adjustRightInd w:val="0"/>
        <w:snapToGrid w:val="0"/>
        <w:spacing w:line="560" w:lineRule="exact"/>
        <w:ind w:firstLine="640" w:firstLineChars="200"/>
        <w:rPr>
          <w:rFonts w:eastAsia="黑体"/>
          <w:sz w:val="32"/>
          <w:szCs w:val="32"/>
          <w:highlight w:val="none"/>
        </w:rPr>
      </w:pPr>
      <w:r>
        <w:rPr>
          <w:rFonts w:eastAsia="黑体"/>
          <w:sz w:val="32"/>
          <w:szCs w:val="32"/>
          <w:highlight w:val="none"/>
        </w:rPr>
        <w:t>四、 部门收支总体情况</w:t>
      </w:r>
    </w:p>
    <w:p w14:paraId="32B8AEC6">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2023年</w:t>
      </w:r>
      <w:r>
        <w:rPr>
          <w:rFonts w:hint="eastAsia" w:eastAsia="仿宋_GB2312"/>
          <w:sz w:val="32"/>
          <w:szCs w:val="32"/>
          <w:highlight w:val="none"/>
        </w:rPr>
        <w:t>市住房保障中心</w:t>
      </w:r>
      <w:r>
        <w:rPr>
          <w:rFonts w:eastAsia="仿宋_GB2312"/>
          <w:sz w:val="32"/>
          <w:szCs w:val="32"/>
          <w:highlight w:val="none"/>
        </w:rPr>
        <w:t>公开的部门预算为局机关。收入包括一般公共预算收入、纳入财政专户管理的非税收入拨款收入、上级财政补助等收入；支出既包括保障</w:t>
      </w:r>
      <w:r>
        <w:rPr>
          <w:rFonts w:hint="eastAsia" w:eastAsia="仿宋_GB2312"/>
          <w:sz w:val="32"/>
          <w:szCs w:val="32"/>
          <w:highlight w:val="none"/>
        </w:rPr>
        <w:t>局</w:t>
      </w:r>
      <w:r>
        <w:rPr>
          <w:rFonts w:eastAsia="仿宋_GB2312"/>
          <w:sz w:val="32"/>
          <w:szCs w:val="32"/>
          <w:highlight w:val="none"/>
        </w:rPr>
        <w:t>机关及直属单位基本运行的经费，也包括归口管理、面向全市分配的专项经费。（详见附表）</w:t>
      </w:r>
    </w:p>
    <w:p w14:paraId="3DC98BAF">
      <w:pPr>
        <w:tabs>
          <w:tab w:val="left" w:pos="7560"/>
        </w:tabs>
        <w:adjustRightInd w:val="0"/>
        <w:snapToGrid w:val="0"/>
        <w:spacing w:line="560" w:lineRule="exact"/>
        <w:ind w:firstLine="640" w:firstLineChars="200"/>
        <w:rPr>
          <w:rFonts w:eastAsia="仿宋_GB2312"/>
          <w:sz w:val="32"/>
          <w:szCs w:val="32"/>
          <w:highlight w:val="none"/>
        </w:rPr>
      </w:pPr>
      <w:r>
        <w:rPr>
          <w:rFonts w:eastAsia="楷体_GB2312"/>
          <w:bCs/>
          <w:sz w:val="32"/>
          <w:szCs w:val="32"/>
          <w:highlight w:val="none"/>
        </w:rPr>
        <w:t>（一）收入预算</w:t>
      </w:r>
      <w:r>
        <w:rPr>
          <w:rFonts w:eastAsia="楷体_GB2312"/>
          <w:sz w:val="32"/>
          <w:szCs w:val="32"/>
          <w:highlight w:val="none"/>
        </w:rPr>
        <w:t>：</w:t>
      </w:r>
      <w:r>
        <w:rPr>
          <w:rFonts w:eastAsia="仿宋_GB2312"/>
          <w:sz w:val="32"/>
          <w:szCs w:val="32"/>
          <w:highlight w:val="none"/>
        </w:rPr>
        <w:t>2023年年初预算数</w:t>
      </w:r>
      <w:r>
        <w:rPr>
          <w:rFonts w:hint="eastAsia" w:eastAsia="仿宋_GB2312"/>
          <w:sz w:val="32"/>
          <w:szCs w:val="32"/>
          <w:highlight w:val="none"/>
        </w:rPr>
        <w:t>3549.82</w:t>
      </w:r>
      <w:r>
        <w:rPr>
          <w:rFonts w:eastAsia="仿宋_GB2312"/>
          <w:sz w:val="32"/>
          <w:szCs w:val="32"/>
          <w:highlight w:val="none"/>
        </w:rPr>
        <w:t>万元，其中，一般公共预算拨款</w:t>
      </w:r>
      <w:r>
        <w:rPr>
          <w:rFonts w:hint="eastAsia" w:eastAsia="仿宋_GB2312"/>
          <w:sz w:val="32"/>
          <w:szCs w:val="32"/>
          <w:highlight w:val="none"/>
        </w:rPr>
        <w:t>3549.82</w:t>
      </w:r>
      <w:r>
        <w:rPr>
          <w:rFonts w:eastAsia="仿宋_GB2312"/>
          <w:sz w:val="32"/>
          <w:szCs w:val="32"/>
          <w:highlight w:val="none"/>
        </w:rPr>
        <w:t>万元；上级财政补助收入</w:t>
      </w:r>
      <w:r>
        <w:rPr>
          <w:rFonts w:hint="eastAsia" w:eastAsia="仿宋_GB2312"/>
          <w:sz w:val="32"/>
          <w:szCs w:val="32"/>
          <w:highlight w:val="none"/>
          <w:lang w:val="en-US" w:eastAsia="zh-CN"/>
        </w:rPr>
        <w:t>0</w:t>
      </w:r>
      <w:r>
        <w:rPr>
          <w:rFonts w:eastAsia="仿宋_GB2312"/>
          <w:sz w:val="32"/>
          <w:szCs w:val="32"/>
          <w:highlight w:val="none"/>
        </w:rPr>
        <w:t>万元。因上年结转数暂未最终确定，本年度收支预算中均不含上年结转数字。</w:t>
      </w:r>
    </w:p>
    <w:p w14:paraId="6E67B6B9">
      <w:pPr>
        <w:tabs>
          <w:tab w:val="left" w:pos="7560"/>
        </w:tabs>
        <w:adjustRightInd w:val="0"/>
        <w:snapToGrid w:val="0"/>
        <w:spacing w:line="560" w:lineRule="exact"/>
        <w:ind w:firstLine="640" w:firstLineChars="200"/>
        <w:rPr>
          <w:rFonts w:eastAsia="仿宋_GB2312"/>
          <w:sz w:val="32"/>
          <w:szCs w:val="32"/>
          <w:highlight w:val="none"/>
        </w:rPr>
      </w:pPr>
      <w:r>
        <w:rPr>
          <w:rFonts w:eastAsia="楷体_GB2312"/>
          <w:bCs/>
          <w:sz w:val="32"/>
          <w:szCs w:val="32"/>
          <w:highlight w:val="none"/>
        </w:rPr>
        <w:t>（二）支出预算：</w:t>
      </w:r>
      <w:r>
        <w:rPr>
          <w:rFonts w:eastAsia="仿宋_GB2312"/>
          <w:sz w:val="32"/>
          <w:szCs w:val="32"/>
          <w:highlight w:val="none"/>
        </w:rPr>
        <w:t>2023年年初预算数</w:t>
      </w:r>
      <w:r>
        <w:rPr>
          <w:rFonts w:hint="eastAsia" w:eastAsia="仿宋_GB2312"/>
          <w:sz w:val="32"/>
          <w:szCs w:val="32"/>
          <w:highlight w:val="none"/>
        </w:rPr>
        <w:t>3549.82</w:t>
      </w:r>
      <w:r>
        <w:rPr>
          <w:rFonts w:eastAsia="仿宋_GB2312"/>
          <w:sz w:val="32"/>
          <w:szCs w:val="32"/>
          <w:highlight w:val="none"/>
        </w:rPr>
        <w:t>万元，其中，</w:t>
      </w:r>
      <w:r>
        <w:rPr>
          <w:rFonts w:hint="eastAsia" w:eastAsia="仿宋_GB2312"/>
          <w:sz w:val="32"/>
          <w:szCs w:val="32"/>
          <w:highlight w:val="none"/>
        </w:rPr>
        <w:t>社会保障和就业支出51.16</w:t>
      </w:r>
      <w:r>
        <w:rPr>
          <w:rFonts w:eastAsia="仿宋_GB2312"/>
          <w:sz w:val="32"/>
          <w:szCs w:val="32"/>
          <w:highlight w:val="none"/>
        </w:rPr>
        <w:t>万元，</w:t>
      </w:r>
      <w:r>
        <w:rPr>
          <w:rFonts w:hint="eastAsia" w:eastAsia="仿宋_GB2312"/>
          <w:sz w:val="32"/>
          <w:szCs w:val="32"/>
          <w:highlight w:val="none"/>
        </w:rPr>
        <w:t>卫生健康支出12.84</w:t>
      </w:r>
      <w:r>
        <w:rPr>
          <w:rFonts w:eastAsia="仿宋_GB2312"/>
          <w:sz w:val="32"/>
          <w:szCs w:val="32"/>
          <w:highlight w:val="none"/>
        </w:rPr>
        <w:t>万元，</w:t>
      </w:r>
      <w:r>
        <w:rPr>
          <w:rFonts w:hint="eastAsia" w:eastAsia="仿宋_GB2312"/>
          <w:sz w:val="32"/>
          <w:szCs w:val="32"/>
          <w:highlight w:val="none"/>
        </w:rPr>
        <w:t>住房保障支出</w:t>
      </w:r>
      <w:r>
        <w:rPr>
          <w:rFonts w:eastAsia="仿宋_GB2312"/>
          <w:sz w:val="32"/>
          <w:szCs w:val="32"/>
          <w:highlight w:val="none"/>
        </w:rPr>
        <w:t>3485.8</w:t>
      </w:r>
      <w:r>
        <w:rPr>
          <w:rFonts w:hint="eastAsia" w:eastAsia="仿宋_GB2312"/>
          <w:sz w:val="32"/>
          <w:szCs w:val="32"/>
          <w:highlight w:val="none"/>
        </w:rPr>
        <w:t>3</w:t>
      </w:r>
      <w:r>
        <w:rPr>
          <w:rFonts w:eastAsia="仿宋_GB2312"/>
          <w:sz w:val="32"/>
          <w:szCs w:val="32"/>
          <w:highlight w:val="none"/>
        </w:rPr>
        <w:t>万元</w:t>
      </w:r>
      <w:r>
        <w:rPr>
          <w:rFonts w:hint="eastAsia" w:eastAsia="仿宋_GB2312"/>
          <w:sz w:val="32"/>
          <w:szCs w:val="32"/>
          <w:lang w:eastAsia="zh-CN"/>
        </w:rPr>
        <w:t>，</w:t>
      </w:r>
      <w:r>
        <w:rPr>
          <w:rFonts w:hint="eastAsia" w:ascii="Times New Roman" w:hAnsi="Times New Roman" w:eastAsia="仿宋_GB2312" w:cs="Times New Roman"/>
          <w:sz w:val="32"/>
          <w:szCs w:val="32"/>
          <w:lang w:val="en-US" w:eastAsia="zh-CN"/>
        </w:rPr>
        <w:t>公共安全支出0万元，国防支出0万元，教育支出0万元，科学技术支出0万元，文化旅游体育与传媒支出0万元，社会保险基金支出0万元，节能环保支出0万元，城乡社区支出0万元，农林水支出0万元，交通运输支出0万元，资源勘探信息等支出0万元，商业服务业等支出0万元，金融支出0万元，援助其他地区支出0万元，自然资源海洋气象等支出0万元，粮油物资储备支出0万元，国有资本经营预算支出0万元，灾害防治及应急管理支出0万元，预备费0万元，其他支出0万元，转移性支出0万元，债务还本支出0万元，债务付息支出0万元，债务发行费用支出0万元，抗疫特别国债安排的支出0万元。</w:t>
      </w:r>
    </w:p>
    <w:p w14:paraId="30284C9A">
      <w:pPr>
        <w:tabs>
          <w:tab w:val="left" w:pos="7560"/>
        </w:tabs>
        <w:adjustRightInd w:val="0"/>
        <w:snapToGrid w:val="0"/>
        <w:spacing w:line="560" w:lineRule="exact"/>
        <w:ind w:firstLine="643" w:firstLineChars="200"/>
        <w:jc w:val="left"/>
        <w:rPr>
          <w:rFonts w:eastAsia="仿宋_GB2312"/>
          <w:color w:val="000000"/>
          <w:sz w:val="32"/>
          <w:szCs w:val="32"/>
          <w:highlight w:val="none"/>
        </w:rPr>
      </w:pPr>
      <w:r>
        <w:rPr>
          <w:rFonts w:eastAsia="仿宋_GB2312"/>
          <w:b/>
          <w:color w:val="000000"/>
          <w:sz w:val="32"/>
          <w:szCs w:val="32"/>
          <w:highlight w:val="none"/>
        </w:rPr>
        <w:t>1.基本支出：</w:t>
      </w:r>
      <w:r>
        <w:rPr>
          <w:rFonts w:eastAsia="仿宋_GB2312"/>
          <w:color w:val="000000"/>
          <w:sz w:val="32"/>
          <w:szCs w:val="32"/>
          <w:highlight w:val="none"/>
        </w:rPr>
        <w:t>2023年年初预算数为</w:t>
      </w:r>
      <w:r>
        <w:rPr>
          <w:rFonts w:hint="eastAsia" w:eastAsia="仿宋_GB2312"/>
          <w:color w:val="000000"/>
          <w:sz w:val="32"/>
          <w:szCs w:val="32"/>
          <w:highlight w:val="none"/>
        </w:rPr>
        <w:t>456.42</w:t>
      </w:r>
      <w:r>
        <w:rPr>
          <w:rFonts w:eastAsia="仿宋_GB2312"/>
          <w:color w:val="000000"/>
          <w:sz w:val="32"/>
          <w:szCs w:val="32"/>
          <w:highlight w:val="none"/>
        </w:rPr>
        <w:t>万元，是指为保障单位机构正常运转、完成日常工作任务而发生的各项支出，包括用于基本工资、津贴补贴等人员经费以及日常公用经费、业务性商品和服务支出。其中包括基本工资</w:t>
      </w:r>
      <w:r>
        <w:rPr>
          <w:rFonts w:hint="eastAsia" w:eastAsia="仿宋_GB2312"/>
          <w:color w:val="000000"/>
          <w:sz w:val="32"/>
          <w:szCs w:val="32"/>
          <w:highlight w:val="none"/>
        </w:rPr>
        <w:t>165.88</w:t>
      </w:r>
      <w:r>
        <w:rPr>
          <w:rFonts w:eastAsia="仿宋_GB2312"/>
          <w:color w:val="000000"/>
          <w:sz w:val="32"/>
          <w:szCs w:val="32"/>
          <w:highlight w:val="none"/>
        </w:rPr>
        <w:t>万元、津贴补贴</w:t>
      </w:r>
      <w:r>
        <w:rPr>
          <w:rFonts w:hint="eastAsia" w:eastAsia="仿宋_GB2312"/>
          <w:color w:val="000000"/>
          <w:sz w:val="32"/>
          <w:szCs w:val="32"/>
          <w:highlight w:val="none"/>
        </w:rPr>
        <w:t>79.06</w:t>
      </w:r>
      <w:r>
        <w:rPr>
          <w:rFonts w:eastAsia="仿宋_GB2312"/>
          <w:color w:val="000000"/>
          <w:sz w:val="32"/>
          <w:szCs w:val="32"/>
          <w:highlight w:val="none"/>
        </w:rPr>
        <w:t>万元、奖金</w:t>
      </w:r>
      <w:r>
        <w:rPr>
          <w:rFonts w:hint="eastAsia" w:eastAsia="仿宋_GB2312"/>
          <w:color w:val="000000"/>
          <w:sz w:val="32"/>
          <w:szCs w:val="32"/>
          <w:highlight w:val="none"/>
        </w:rPr>
        <w:t>74.78</w:t>
      </w:r>
      <w:r>
        <w:rPr>
          <w:rFonts w:eastAsia="仿宋_GB2312"/>
          <w:color w:val="000000"/>
          <w:sz w:val="32"/>
          <w:szCs w:val="32"/>
          <w:highlight w:val="none"/>
        </w:rPr>
        <w:t>万元、</w:t>
      </w:r>
      <w:r>
        <w:rPr>
          <w:rFonts w:hint="eastAsia" w:eastAsia="仿宋_GB2312"/>
          <w:color w:val="000000"/>
          <w:sz w:val="32"/>
          <w:szCs w:val="32"/>
          <w:highlight w:val="none"/>
        </w:rPr>
        <w:t>机关事业单位基本养老保险缴费51.1</w:t>
      </w:r>
      <w:r>
        <w:rPr>
          <w:rFonts w:hint="eastAsia" w:eastAsia="仿宋_GB2312"/>
          <w:color w:val="000000"/>
          <w:sz w:val="32"/>
          <w:szCs w:val="32"/>
          <w:highlight w:val="none"/>
          <w:lang w:val="en-US" w:eastAsia="zh-CN"/>
        </w:rPr>
        <w:t>6</w:t>
      </w:r>
      <w:r>
        <w:rPr>
          <w:rFonts w:eastAsia="仿宋_GB2312"/>
          <w:color w:val="000000"/>
          <w:sz w:val="32"/>
          <w:szCs w:val="32"/>
          <w:highlight w:val="none"/>
        </w:rPr>
        <w:t>万元</w:t>
      </w:r>
      <w:r>
        <w:rPr>
          <w:rFonts w:hint="eastAsia" w:eastAsia="仿宋_GB2312"/>
          <w:color w:val="000000"/>
          <w:sz w:val="32"/>
          <w:szCs w:val="32"/>
          <w:highlight w:val="none"/>
          <w:lang w:eastAsia="zh-CN"/>
        </w:rPr>
        <w:t>、职工基本医疗保险缴费12.8</w:t>
      </w:r>
      <w:r>
        <w:rPr>
          <w:rFonts w:hint="eastAsia" w:eastAsia="仿宋_GB2312"/>
          <w:color w:val="000000"/>
          <w:sz w:val="32"/>
          <w:szCs w:val="32"/>
          <w:highlight w:val="none"/>
          <w:lang w:val="en-US" w:eastAsia="zh-CN"/>
        </w:rPr>
        <w:t>4万元</w:t>
      </w:r>
      <w:r>
        <w:rPr>
          <w:rFonts w:eastAsia="仿宋_GB2312"/>
          <w:color w:val="000000"/>
          <w:sz w:val="32"/>
          <w:szCs w:val="32"/>
          <w:highlight w:val="none"/>
        </w:rPr>
        <w:t>、</w:t>
      </w:r>
      <w:r>
        <w:rPr>
          <w:rFonts w:hint="eastAsia" w:eastAsia="仿宋_GB2312"/>
          <w:color w:val="000000"/>
          <w:sz w:val="32"/>
          <w:szCs w:val="32"/>
          <w:highlight w:val="none"/>
        </w:rPr>
        <w:t>住房公积金42.28</w:t>
      </w:r>
      <w:r>
        <w:rPr>
          <w:rFonts w:hint="eastAsia" w:eastAsia="仿宋_GB2312"/>
          <w:color w:val="000000"/>
          <w:sz w:val="32"/>
          <w:szCs w:val="32"/>
          <w:highlight w:val="none"/>
          <w:lang w:val="en-US" w:eastAsia="zh-CN"/>
        </w:rPr>
        <w:t>万元、</w:t>
      </w:r>
      <w:r>
        <w:rPr>
          <w:rFonts w:eastAsia="仿宋_GB2312"/>
          <w:color w:val="000000"/>
          <w:sz w:val="32"/>
          <w:szCs w:val="32"/>
          <w:highlight w:val="none"/>
        </w:rPr>
        <w:t>公用经费</w:t>
      </w:r>
      <w:r>
        <w:rPr>
          <w:rFonts w:hint="eastAsia" w:eastAsia="仿宋_GB2312"/>
          <w:color w:val="000000"/>
          <w:sz w:val="32"/>
          <w:szCs w:val="32"/>
          <w:highlight w:val="none"/>
        </w:rPr>
        <w:t>30.42</w:t>
      </w:r>
      <w:r>
        <w:rPr>
          <w:rFonts w:eastAsia="仿宋_GB2312"/>
          <w:color w:val="000000"/>
          <w:sz w:val="32"/>
          <w:szCs w:val="32"/>
          <w:highlight w:val="none"/>
        </w:rPr>
        <w:t>万元等。</w:t>
      </w:r>
    </w:p>
    <w:p w14:paraId="3BF8E766">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highlight w:val="none"/>
        </w:rPr>
        <w:t>2.项目支出：</w:t>
      </w:r>
      <w:r>
        <w:rPr>
          <w:rFonts w:hint="eastAsia" w:eastAsia="仿宋_GB2312"/>
          <w:color w:val="000000"/>
          <w:sz w:val="32"/>
          <w:szCs w:val="32"/>
          <w:highlight w:val="none"/>
        </w:rPr>
        <w:t>2023</w:t>
      </w:r>
      <w:r>
        <w:rPr>
          <w:rFonts w:eastAsia="仿宋_GB2312"/>
          <w:color w:val="000000"/>
          <w:sz w:val="32"/>
          <w:szCs w:val="32"/>
          <w:highlight w:val="none"/>
        </w:rPr>
        <w:t>年年初预算数为</w:t>
      </w:r>
      <w:r>
        <w:rPr>
          <w:rFonts w:hint="eastAsia" w:eastAsia="仿宋_GB2312"/>
          <w:color w:val="000000"/>
          <w:sz w:val="32"/>
          <w:szCs w:val="32"/>
          <w:highlight w:val="none"/>
        </w:rPr>
        <w:t>3093.4</w:t>
      </w:r>
      <w:r>
        <w:rPr>
          <w:rFonts w:eastAsia="仿宋_GB2312"/>
          <w:color w:val="000000"/>
          <w:sz w:val="32"/>
          <w:szCs w:val="32"/>
          <w:highlight w:val="none"/>
        </w:rPr>
        <w:t>万元，是指单位为完成特定行</w:t>
      </w:r>
      <w:r>
        <w:rPr>
          <w:rFonts w:eastAsia="仿宋_GB2312"/>
          <w:color w:val="000000"/>
          <w:sz w:val="32"/>
          <w:szCs w:val="32"/>
        </w:rPr>
        <w:t>政工作任务或事业发展目标而发生的支出，包括有关事业发展专项、基本建设支出、资本性支出等。其中：</w:t>
      </w:r>
    </w:p>
    <w:p w14:paraId="5814F8CA">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运转经费</w:t>
      </w:r>
      <w:r>
        <w:rPr>
          <w:rFonts w:eastAsia="仿宋_GB2312"/>
          <w:color w:val="000000"/>
          <w:sz w:val="32"/>
          <w:szCs w:val="32"/>
        </w:rPr>
        <w:t xml:space="preserve">专项  </w:t>
      </w:r>
      <w:r>
        <w:rPr>
          <w:rFonts w:hint="eastAsia" w:eastAsia="仿宋_GB2312"/>
          <w:color w:val="000000"/>
          <w:sz w:val="32"/>
          <w:szCs w:val="32"/>
        </w:rPr>
        <w:t>500</w:t>
      </w:r>
      <w:r>
        <w:rPr>
          <w:rFonts w:eastAsia="仿宋_GB2312"/>
          <w:color w:val="000000"/>
          <w:sz w:val="32"/>
          <w:szCs w:val="32"/>
        </w:rPr>
        <w:t>万元。主要用于</w:t>
      </w:r>
      <w:r>
        <w:rPr>
          <w:rFonts w:hint="eastAsia" w:eastAsia="仿宋_GB2312"/>
          <w:color w:val="000000"/>
          <w:sz w:val="32"/>
          <w:szCs w:val="32"/>
        </w:rPr>
        <w:t>机关运转。</w:t>
      </w:r>
    </w:p>
    <w:p w14:paraId="5B1A783D">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争资引项工作经费</w:t>
      </w:r>
      <w:r>
        <w:rPr>
          <w:rFonts w:eastAsia="仿宋_GB2312"/>
          <w:color w:val="000000"/>
          <w:sz w:val="32"/>
          <w:szCs w:val="32"/>
        </w:rPr>
        <w:t xml:space="preserve">专项  </w:t>
      </w:r>
      <w:r>
        <w:rPr>
          <w:rFonts w:hint="eastAsia" w:eastAsia="仿宋_GB2312"/>
          <w:color w:val="000000"/>
          <w:sz w:val="32"/>
          <w:szCs w:val="32"/>
        </w:rPr>
        <w:t>30</w:t>
      </w:r>
      <w:r>
        <w:rPr>
          <w:rFonts w:eastAsia="仿宋_GB2312"/>
          <w:color w:val="000000"/>
          <w:sz w:val="32"/>
          <w:szCs w:val="32"/>
        </w:rPr>
        <w:t>万元。主要用于</w:t>
      </w:r>
      <w:r>
        <w:rPr>
          <w:rFonts w:hint="eastAsia" w:eastAsia="仿宋_GB2312"/>
          <w:color w:val="000000"/>
          <w:sz w:val="32"/>
          <w:szCs w:val="32"/>
        </w:rPr>
        <w:t>争资引项工作支出。</w:t>
      </w:r>
    </w:p>
    <w:p w14:paraId="30319E8F">
      <w:pPr>
        <w:tabs>
          <w:tab w:val="left" w:pos="7560"/>
        </w:tabs>
        <w:adjustRightInd w:val="0"/>
        <w:snapToGrid w:val="0"/>
        <w:spacing w:line="560" w:lineRule="exact"/>
        <w:ind w:firstLine="640" w:firstLineChars="200"/>
        <w:rPr>
          <w:rFonts w:eastAsia="仿宋_GB2312"/>
          <w:sz w:val="32"/>
          <w:szCs w:val="32"/>
        </w:rPr>
      </w:pPr>
      <w:r>
        <w:rPr>
          <w:rFonts w:hint="eastAsia" w:eastAsia="仿宋_GB2312"/>
          <w:color w:val="000000"/>
          <w:sz w:val="32"/>
          <w:szCs w:val="32"/>
        </w:rPr>
        <w:t>（3）</w:t>
      </w:r>
      <w:r>
        <w:rPr>
          <w:rFonts w:hint="eastAsia" w:eastAsia="仿宋_GB2312"/>
          <w:sz w:val="32"/>
          <w:szCs w:val="32"/>
        </w:rPr>
        <w:t>公共租赁住房</w:t>
      </w:r>
      <w:r>
        <w:rPr>
          <w:rFonts w:eastAsia="仿宋_GB2312"/>
          <w:sz w:val="32"/>
          <w:szCs w:val="32"/>
        </w:rPr>
        <w:t xml:space="preserve">专项  </w:t>
      </w:r>
      <w:r>
        <w:rPr>
          <w:rFonts w:hint="eastAsia" w:eastAsia="仿宋_GB2312"/>
          <w:sz w:val="32"/>
          <w:szCs w:val="32"/>
        </w:rPr>
        <w:t>1700</w:t>
      </w:r>
      <w:r>
        <w:rPr>
          <w:rFonts w:eastAsia="仿宋_GB2312"/>
          <w:sz w:val="32"/>
          <w:szCs w:val="32"/>
        </w:rPr>
        <w:t>万元。主要用于</w:t>
      </w:r>
      <w:r>
        <w:rPr>
          <w:rFonts w:hint="eastAsia" w:eastAsia="仿宋_GB2312"/>
          <w:sz w:val="32"/>
          <w:szCs w:val="32"/>
        </w:rPr>
        <w:t>柳家湾保障性租赁住房建设支出</w:t>
      </w:r>
    </w:p>
    <w:p w14:paraId="08551A3F">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4</w:t>
      </w:r>
      <w:r>
        <w:rPr>
          <w:rFonts w:eastAsia="仿宋_GB2312"/>
          <w:sz w:val="32"/>
          <w:szCs w:val="32"/>
        </w:rPr>
        <w:t>）</w:t>
      </w:r>
      <w:r>
        <w:rPr>
          <w:rFonts w:hint="eastAsia" w:eastAsia="仿宋_GB2312"/>
          <w:sz w:val="32"/>
          <w:szCs w:val="32"/>
        </w:rPr>
        <w:t>保障性住房租赁补贴</w:t>
      </w:r>
      <w:r>
        <w:rPr>
          <w:rFonts w:eastAsia="仿宋_GB2312"/>
          <w:sz w:val="32"/>
          <w:szCs w:val="32"/>
        </w:rPr>
        <w:t xml:space="preserve">专项  </w:t>
      </w:r>
      <w:r>
        <w:rPr>
          <w:rFonts w:hint="eastAsia" w:eastAsia="仿宋_GB2312"/>
          <w:sz w:val="32"/>
          <w:szCs w:val="32"/>
        </w:rPr>
        <w:t>48</w:t>
      </w:r>
      <w:r>
        <w:rPr>
          <w:rFonts w:eastAsia="仿宋_GB2312"/>
          <w:sz w:val="32"/>
          <w:szCs w:val="32"/>
        </w:rPr>
        <w:t>万元。主要用于</w:t>
      </w:r>
      <w:r>
        <w:rPr>
          <w:rFonts w:hint="eastAsia" w:eastAsia="仿宋_GB2312"/>
          <w:sz w:val="32"/>
          <w:szCs w:val="32"/>
        </w:rPr>
        <w:t>发放租赁补贴。</w:t>
      </w:r>
    </w:p>
    <w:p w14:paraId="36F4D8A7">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（5）其他保障性安居工程支出521.6万元。主要用于柳家湾保障性住房建设支出。</w:t>
      </w:r>
    </w:p>
    <w:p w14:paraId="1C607688">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（6）金石小区物业管理服务27万元，主要用于金石小区物业管理服务支出。</w:t>
      </w:r>
    </w:p>
    <w:p w14:paraId="3FA6BB25">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（7）李畋路公租房物业管理费25万元，主要用于李畋路公租房物业管理服务支出。</w:t>
      </w:r>
    </w:p>
    <w:p w14:paraId="23AD28A6">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（8）人才公寓管理工作经费70万元，主要用于人才公寓管理工作支出。</w:t>
      </w:r>
    </w:p>
    <w:p w14:paraId="30D86B0F">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（9）白蚁防治工作经费30万元，主要用于白蚁防治工作支出。</w:t>
      </w:r>
    </w:p>
    <w:p w14:paraId="7D70A184">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sz w:val="32"/>
          <w:szCs w:val="32"/>
        </w:rPr>
        <w:t>（10）太一市场管理费用141.8万元，主要用于太一市场管理支出。</w:t>
      </w:r>
    </w:p>
    <w:p w14:paraId="0C48E020">
      <w:pPr>
        <w:tabs>
          <w:tab w:val="left" w:pos="7560"/>
        </w:tabs>
        <w:adjustRightInd w:val="0"/>
        <w:snapToGrid w:val="0"/>
        <w:spacing w:line="560" w:lineRule="exact"/>
        <w:ind w:firstLine="640" w:firstLineChars="200"/>
        <w:rPr>
          <w:rFonts w:eastAsia="仿宋_GB2312"/>
          <w:sz w:val="32"/>
          <w:szCs w:val="32"/>
        </w:rPr>
      </w:pPr>
    </w:p>
    <w:p w14:paraId="578EF8BB">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（三）预算收支增减变化情况说明：</w:t>
      </w:r>
      <w:r>
        <w:rPr>
          <w:rFonts w:eastAsia="仿宋_GB2312"/>
          <w:sz w:val="32"/>
          <w:szCs w:val="32"/>
        </w:rPr>
        <w:t>20</w:t>
      </w:r>
      <w:r>
        <w:rPr>
          <w:rFonts w:hint="eastAsia" w:eastAsia="仿宋_GB2312"/>
          <w:sz w:val="32"/>
          <w:szCs w:val="32"/>
        </w:rPr>
        <w:t>23</w:t>
      </w:r>
      <w:r>
        <w:rPr>
          <w:rFonts w:eastAsia="仿宋_GB2312"/>
          <w:sz w:val="32"/>
          <w:szCs w:val="32"/>
        </w:rPr>
        <w:t>年度本部门年初预算数为</w:t>
      </w:r>
      <w:r>
        <w:rPr>
          <w:rFonts w:hint="eastAsia" w:eastAsia="仿宋_GB2312"/>
          <w:sz w:val="32"/>
          <w:szCs w:val="32"/>
        </w:rPr>
        <w:t>3549.82</w:t>
      </w:r>
      <w:r>
        <w:rPr>
          <w:rFonts w:eastAsia="仿宋_GB2312"/>
          <w:sz w:val="32"/>
          <w:szCs w:val="32"/>
        </w:rPr>
        <w:t>万元，比上年</w:t>
      </w:r>
      <w:r>
        <w:rPr>
          <w:rFonts w:hint="eastAsia" w:eastAsia="仿宋_GB2312"/>
          <w:sz w:val="32"/>
          <w:szCs w:val="32"/>
        </w:rPr>
        <w:t>减少10999.64</w:t>
      </w:r>
      <w:r>
        <w:rPr>
          <w:rFonts w:eastAsia="仿宋_GB2312"/>
          <w:sz w:val="32"/>
          <w:szCs w:val="32"/>
        </w:rPr>
        <w:t>万元，主要原因是</w:t>
      </w:r>
      <w:r>
        <w:rPr>
          <w:rFonts w:hint="eastAsia" w:eastAsia="仿宋_GB2312"/>
          <w:sz w:val="32"/>
          <w:szCs w:val="32"/>
        </w:rPr>
        <w:t>老旧小区项目建设支出减少。</w:t>
      </w:r>
    </w:p>
    <w:p w14:paraId="21BC0DB7">
      <w:pPr>
        <w:tabs>
          <w:tab w:val="left" w:pos="7560"/>
        </w:tabs>
        <w:adjustRightInd w:val="0"/>
        <w:snapToGrid w:val="0"/>
        <w:spacing w:line="560" w:lineRule="exact"/>
        <w:ind w:firstLine="640" w:firstLineChars="200"/>
        <w:rPr>
          <w:rFonts w:eastAsia="黑体"/>
          <w:sz w:val="32"/>
          <w:szCs w:val="32"/>
          <w:highlight w:val="none"/>
        </w:rPr>
      </w:pPr>
      <w:r>
        <w:rPr>
          <w:rFonts w:eastAsia="黑体"/>
          <w:sz w:val="32"/>
          <w:szCs w:val="32"/>
          <w:highlight w:val="none"/>
        </w:rPr>
        <w:t>五、一般公共预算拨款支出预算</w:t>
      </w:r>
    </w:p>
    <w:p w14:paraId="0D1FF6E5">
      <w:pPr>
        <w:tabs>
          <w:tab w:val="left" w:pos="7560"/>
        </w:tabs>
        <w:adjustRightInd w:val="0"/>
        <w:snapToGrid w:val="0"/>
        <w:spacing w:line="560" w:lineRule="exact"/>
        <w:ind w:firstLine="640" w:firstLineChars="200"/>
        <w:rPr>
          <w:rFonts w:hint="eastAsia" w:eastAsia="仿宋_GB2312" w:cs="Times New Roman"/>
          <w:sz w:val="32"/>
          <w:szCs w:val="32"/>
          <w:lang w:val="en-US" w:eastAsia="zh-CN"/>
        </w:rPr>
      </w:pPr>
      <w:r>
        <w:rPr>
          <w:rFonts w:eastAsia="仿宋_GB2312"/>
          <w:sz w:val="32"/>
          <w:szCs w:val="32"/>
          <w:highlight w:val="none"/>
        </w:rPr>
        <w:t>20</w:t>
      </w:r>
      <w:r>
        <w:rPr>
          <w:rFonts w:hint="eastAsia" w:eastAsia="仿宋_GB2312"/>
          <w:sz w:val="32"/>
          <w:szCs w:val="32"/>
          <w:highlight w:val="none"/>
        </w:rPr>
        <w:t>23</w:t>
      </w:r>
      <w:r>
        <w:rPr>
          <w:rFonts w:eastAsia="仿宋_GB2312"/>
          <w:sz w:val="32"/>
          <w:szCs w:val="32"/>
          <w:highlight w:val="none"/>
        </w:rPr>
        <w:t>年本部门一般公共预算拨款支出</w:t>
      </w:r>
      <w:r>
        <w:rPr>
          <w:rFonts w:hint="eastAsia" w:eastAsia="仿宋_GB2312"/>
          <w:sz w:val="32"/>
          <w:szCs w:val="32"/>
          <w:highlight w:val="none"/>
        </w:rPr>
        <w:t>3549.82</w:t>
      </w:r>
      <w:r>
        <w:rPr>
          <w:rFonts w:eastAsia="仿宋_GB2312"/>
          <w:sz w:val="32"/>
          <w:szCs w:val="32"/>
          <w:highlight w:val="none"/>
        </w:rPr>
        <w:t>万元，具体安排如下：</w:t>
      </w:r>
    </w:p>
    <w:p w14:paraId="5809F368">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bidi="ar-SA"/>
        </w:rPr>
        <w:t>1</w:t>
      </w:r>
      <w:r>
        <w:rPr>
          <w:rFonts w:hint="eastAsia" w:ascii="Times New Roman" w:hAnsi="Times New Roman" w:eastAsia="仿宋_GB2312" w:cs="Times New Roman"/>
          <w:sz w:val="32"/>
          <w:szCs w:val="32"/>
          <w:lang w:val="en-US" w:eastAsia="zh-CN" w:bidi="ar-SA"/>
        </w:rPr>
        <w:t>、</w:t>
      </w:r>
      <w:r>
        <w:rPr>
          <w:rFonts w:hint="eastAsia" w:eastAsia="仿宋_GB2312" w:cs="Times New Roman"/>
          <w:sz w:val="32"/>
          <w:szCs w:val="32"/>
          <w:lang w:val="en-US" w:eastAsia="zh-CN"/>
        </w:rPr>
        <w:t>社会保障和就业支出（类）行政事业单位养老支出（款）机关事业单位基本养老保险缴费支出（项）</w:t>
      </w:r>
    </w:p>
    <w:p w14:paraId="1077A55D">
      <w:pPr>
        <w:pStyle w:val="8"/>
        <w:numPr>
          <w:ilvl w:val="0"/>
          <w:numId w:val="0"/>
        </w:numPr>
        <w:ind w:left="-10" w:leftChars="0" w:firstLine="640" w:firstLineChars="0"/>
        <w:rPr>
          <w:rFonts w:hint="default" w:eastAsia="仿宋_GB2312" w:cs="Times New Roman"/>
          <w:sz w:val="32"/>
          <w:szCs w:val="32"/>
          <w:lang w:val="en-US" w:eastAsia="zh-CN"/>
        </w:rPr>
      </w:pPr>
      <w:r>
        <w:rPr>
          <w:rFonts w:hint="eastAsia" w:eastAsia="仿宋_GB2312" w:cs="Times New Roman"/>
          <w:sz w:val="32"/>
          <w:szCs w:val="32"/>
          <w:lang w:val="en-US" w:eastAsia="zh-CN"/>
        </w:rPr>
        <w:t>2023年预算支出51.15万元。</w:t>
      </w:r>
    </w:p>
    <w:p w14:paraId="18105A98">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2、卫生健康支出（类）行政事业单位医疗（款） 事业单位医疗（项）</w:t>
      </w:r>
    </w:p>
    <w:p w14:paraId="6C858343">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2023年预算支出12.84万元。</w:t>
      </w:r>
    </w:p>
    <w:p w14:paraId="2CC8A7BD">
      <w:pPr>
        <w:pStyle w:val="8"/>
        <w:numPr>
          <w:ilvl w:val="0"/>
          <w:numId w:val="0"/>
        </w:numPr>
        <w:ind w:firstLine="640" w:firstLineChars="200"/>
        <w:rPr>
          <w:rFonts w:hint="default" w:eastAsia="仿宋_GB2312" w:cs="Times New Roman"/>
          <w:sz w:val="32"/>
          <w:szCs w:val="32"/>
          <w:lang w:val="en-US" w:eastAsia="zh-CN"/>
        </w:rPr>
      </w:pPr>
      <w:r>
        <w:rPr>
          <w:rFonts w:hint="eastAsia" w:eastAsia="仿宋_GB2312" w:cs="Times New Roman"/>
          <w:sz w:val="32"/>
          <w:szCs w:val="32"/>
          <w:lang w:val="en-US" w:eastAsia="zh-CN"/>
        </w:rPr>
        <w:t>3、住房保障支出（类）保障性安居工程支出（款） 公共租赁住房（项）</w:t>
      </w:r>
    </w:p>
    <w:p w14:paraId="6BCE262A">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2023年预算支出1700万元。</w:t>
      </w:r>
    </w:p>
    <w:p w14:paraId="55399391">
      <w:pPr>
        <w:pStyle w:val="8"/>
        <w:numPr>
          <w:ilvl w:val="0"/>
          <w:numId w:val="0"/>
        </w:numPr>
        <w:ind w:firstLine="640" w:firstLineChars="200"/>
        <w:rPr>
          <w:rFonts w:hint="default" w:eastAsia="仿宋_GB2312" w:cs="Times New Roman"/>
          <w:sz w:val="32"/>
          <w:szCs w:val="32"/>
          <w:lang w:val="en-US" w:eastAsia="zh-CN"/>
        </w:rPr>
      </w:pPr>
      <w:r>
        <w:rPr>
          <w:rFonts w:hint="eastAsia" w:eastAsia="仿宋_GB2312" w:cs="Times New Roman"/>
          <w:sz w:val="32"/>
          <w:szCs w:val="32"/>
          <w:lang w:val="en-US" w:eastAsia="zh-CN"/>
        </w:rPr>
        <w:t>4、住房保障支出（类）保障性安居工程支出（款） 保障性住房租金补贴（项）</w:t>
      </w:r>
    </w:p>
    <w:p w14:paraId="4268D998">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2023年预算支出48万元。</w:t>
      </w:r>
    </w:p>
    <w:p w14:paraId="2B7FA8C7">
      <w:pPr>
        <w:pStyle w:val="8"/>
        <w:numPr>
          <w:ilvl w:val="0"/>
          <w:numId w:val="0"/>
        </w:numPr>
        <w:ind w:firstLine="640" w:firstLineChars="200"/>
        <w:rPr>
          <w:rFonts w:hint="default" w:eastAsia="仿宋_GB2312" w:cs="Times New Roman"/>
          <w:sz w:val="32"/>
          <w:szCs w:val="32"/>
          <w:lang w:val="en-US" w:eastAsia="zh-CN"/>
        </w:rPr>
      </w:pPr>
      <w:r>
        <w:rPr>
          <w:rFonts w:hint="eastAsia" w:eastAsia="仿宋_GB2312" w:cs="Times New Roman"/>
          <w:sz w:val="32"/>
          <w:szCs w:val="32"/>
          <w:lang w:val="en-US" w:eastAsia="zh-CN"/>
        </w:rPr>
        <w:t>3、住房保障支出（类）保障性安居工程支出（款）其他保障性安居工程支出（项）</w:t>
      </w:r>
    </w:p>
    <w:p w14:paraId="30236C4D">
      <w:pPr>
        <w:pStyle w:val="8"/>
        <w:numPr>
          <w:ilvl w:val="0"/>
          <w:numId w:val="0"/>
        </w:numPr>
        <w:ind w:left="-10" w:leftChars="0" w:firstLine="64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2023年预算支出521.6万元。</w:t>
      </w:r>
    </w:p>
    <w:p w14:paraId="716BF7E8">
      <w:pPr>
        <w:pStyle w:val="8"/>
        <w:numPr>
          <w:ilvl w:val="0"/>
          <w:numId w:val="0"/>
        </w:numPr>
        <w:ind w:left="638" w:leftChars="304" w:firstLine="0" w:firstLineChars="0"/>
        <w:rPr>
          <w:rFonts w:hint="default"/>
          <w:lang w:val="en-US" w:eastAsia="zh-CN"/>
        </w:rPr>
      </w:pPr>
      <w:r>
        <w:rPr>
          <w:rFonts w:hint="eastAsia" w:eastAsia="仿宋_GB2312" w:cs="Times New Roman"/>
          <w:sz w:val="32"/>
          <w:szCs w:val="32"/>
          <w:lang w:val="en-US" w:eastAsia="zh-CN"/>
        </w:rPr>
        <w:t>4、住房保障支出（类）住房改革支出（款）住房公积金（项）2023年预算支出42.28万元。</w:t>
      </w:r>
    </w:p>
    <w:p w14:paraId="1B0300BD">
      <w:pPr>
        <w:pStyle w:val="8"/>
        <w:numPr>
          <w:ilvl w:val="0"/>
          <w:numId w:val="0"/>
        </w:numPr>
        <w:ind w:left="638" w:leftChars="304" w:firstLine="0" w:firstLineChars="0"/>
        <w:rPr>
          <w:rFonts w:hint="eastAsia" w:eastAsia="仿宋_GB2312" w:cs="Times New Roman"/>
          <w:sz w:val="32"/>
          <w:szCs w:val="32"/>
          <w:lang w:val="en-US" w:eastAsia="zh-CN"/>
        </w:rPr>
      </w:pPr>
      <w:r>
        <w:rPr>
          <w:rFonts w:hint="eastAsia" w:eastAsia="仿宋_GB2312" w:cs="Times New Roman"/>
          <w:sz w:val="32"/>
          <w:szCs w:val="32"/>
          <w:lang w:val="en-US" w:eastAsia="zh-CN"/>
        </w:rPr>
        <w:t>5、住房保障支出（类）城乡社区住宅（款）其他城乡社区住宅支出（项）</w:t>
      </w:r>
    </w:p>
    <w:p w14:paraId="4B32E507">
      <w:pPr>
        <w:pStyle w:val="8"/>
        <w:numPr>
          <w:ilvl w:val="0"/>
          <w:numId w:val="0"/>
        </w:numPr>
        <w:ind w:left="638" w:leftChars="304" w:firstLine="0" w:firstLineChars="0"/>
        <w:rPr>
          <w:rFonts w:hint="default"/>
          <w:lang w:val="en-US" w:eastAsia="zh-CN"/>
        </w:rPr>
      </w:pPr>
      <w:r>
        <w:rPr>
          <w:rFonts w:hint="eastAsia" w:eastAsia="仿宋_GB2312" w:cs="Times New Roman"/>
          <w:sz w:val="32"/>
          <w:szCs w:val="32"/>
          <w:lang w:val="en-US" w:eastAsia="zh-CN"/>
        </w:rPr>
        <w:t>2023年预算支出1173.95万元。</w:t>
      </w:r>
    </w:p>
    <w:p w14:paraId="74D71A9C">
      <w:pPr>
        <w:tabs>
          <w:tab w:val="left" w:pos="7560"/>
        </w:tabs>
        <w:adjustRightInd w:val="0"/>
        <w:snapToGrid w:val="0"/>
        <w:spacing w:line="560" w:lineRule="exact"/>
        <w:ind w:firstLine="640" w:firstLineChars="200"/>
        <w:rPr>
          <w:rFonts w:eastAsia="仿宋_GB2312"/>
          <w:sz w:val="32"/>
          <w:szCs w:val="32"/>
          <w:highlight w:val="none"/>
        </w:rPr>
      </w:pPr>
    </w:p>
    <w:p w14:paraId="7141DB2C">
      <w:pPr>
        <w:tabs>
          <w:tab w:val="left" w:pos="7560"/>
        </w:tabs>
        <w:adjustRightInd w:val="0"/>
        <w:snapToGrid w:val="0"/>
        <w:spacing w:line="560" w:lineRule="exact"/>
        <w:ind w:firstLine="640" w:firstLineChars="200"/>
        <w:rPr>
          <w:rFonts w:eastAsia="楷体_GB2312"/>
          <w:bCs/>
          <w:sz w:val="32"/>
          <w:szCs w:val="32"/>
          <w:highlight w:val="none"/>
        </w:rPr>
      </w:pPr>
      <w:r>
        <w:rPr>
          <w:rFonts w:eastAsia="楷体_GB2312"/>
          <w:bCs/>
          <w:sz w:val="32"/>
          <w:szCs w:val="32"/>
          <w:highlight w:val="none"/>
        </w:rPr>
        <w:t>（一）基本支出</w:t>
      </w:r>
    </w:p>
    <w:p w14:paraId="3C8157D3">
      <w:pPr>
        <w:tabs>
          <w:tab w:val="left" w:pos="7560"/>
        </w:tabs>
        <w:adjustRightInd w:val="0"/>
        <w:snapToGrid w:val="0"/>
        <w:spacing w:line="560" w:lineRule="exact"/>
        <w:ind w:firstLine="640" w:firstLineChars="200"/>
        <w:rPr>
          <w:rFonts w:eastAsia="仿宋_GB2312"/>
          <w:sz w:val="32"/>
          <w:szCs w:val="32"/>
          <w:highlight w:val="none"/>
        </w:rPr>
      </w:pPr>
      <w:r>
        <w:rPr>
          <w:rFonts w:hint="eastAsia" w:eastAsia="仿宋_GB2312"/>
          <w:sz w:val="32"/>
          <w:szCs w:val="32"/>
          <w:highlight w:val="none"/>
        </w:rPr>
        <w:t>1、人员类支出。2023</w:t>
      </w:r>
      <w:r>
        <w:rPr>
          <w:rFonts w:eastAsia="仿宋_GB2312"/>
          <w:sz w:val="32"/>
          <w:szCs w:val="32"/>
          <w:highlight w:val="none"/>
        </w:rPr>
        <w:t>年年初预算数为</w:t>
      </w:r>
      <w:r>
        <w:rPr>
          <w:rFonts w:hint="eastAsia" w:eastAsia="仿宋_GB2312"/>
          <w:sz w:val="32"/>
          <w:szCs w:val="32"/>
          <w:highlight w:val="none"/>
        </w:rPr>
        <w:t>426</w:t>
      </w:r>
      <w:r>
        <w:rPr>
          <w:rFonts w:eastAsia="仿宋_GB2312"/>
          <w:sz w:val="32"/>
          <w:szCs w:val="32"/>
          <w:highlight w:val="none"/>
        </w:rPr>
        <w:t>万元。其中包括基本工资</w:t>
      </w:r>
      <w:r>
        <w:rPr>
          <w:rFonts w:hint="eastAsia" w:eastAsia="仿宋_GB2312"/>
          <w:sz w:val="32"/>
          <w:szCs w:val="32"/>
          <w:highlight w:val="none"/>
        </w:rPr>
        <w:t>165.88</w:t>
      </w:r>
      <w:r>
        <w:rPr>
          <w:rFonts w:eastAsia="仿宋_GB2312"/>
          <w:sz w:val="32"/>
          <w:szCs w:val="32"/>
          <w:highlight w:val="none"/>
        </w:rPr>
        <w:t>万元、津贴补贴</w:t>
      </w:r>
      <w:r>
        <w:rPr>
          <w:rFonts w:hint="eastAsia" w:eastAsia="仿宋_GB2312"/>
          <w:sz w:val="32"/>
          <w:szCs w:val="32"/>
          <w:highlight w:val="none"/>
        </w:rPr>
        <w:t>79.06</w:t>
      </w:r>
      <w:r>
        <w:rPr>
          <w:rFonts w:eastAsia="仿宋_GB2312"/>
          <w:sz w:val="32"/>
          <w:szCs w:val="32"/>
          <w:highlight w:val="none"/>
        </w:rPr>
        <w:t>万元、奖金</w:t>
      </w:r>
      <w:r>
        <w:rPr>
          <w:rFonts w:hint="eastAsia" w:eastAsia="仿宋_GB2312"/>
          <w:sz w:val="32"/>
          <w:szCs w:val="32"/>
          <w:highlight w:val="none"/>
        </w:rPr>
        <w:t>74.79</w:t>
      </w:r>
      <w:r>
        <w:rPr>
          <w:rFonts w:eastAsia="仿宋_GB2312"/>
          <w:sz w:val="32"/>
          <w:szCs w:val="32"/>
          <w:highlight w:val="none"/>
        </w:rPr>
        <w:t>万元、</w:t>
      </w:r>
      <w:r>
        <w:rPr>
          <w:rFonts w:hint="eastAsia" w:eastAsia="仿宋_GB2312"/>
          <w:color w:val="000000"/>
          <w:sz w:val="32"/>
          <w:szCs w:val="32"/>
          <w:highlight w:val="none"/>
        </w:rPr>
        <w:t>机关事业单位基本养老保险缴费51.1</w:t>
      </w:r>
      <w:r>
        <w:rPr>
          <w:rFonts w:hint="eastAsia" w:eastAsia="仿宋_GB2312"/>
          <w:color w:val="000000"/>
          <w:sz w:val="32"/>
          <w:szCs w:val="32"/>
          <w:highlight w:val="none"/>
          <w:lang w:val="en-US" w:eastAsia="zh-CN"/>
        </w:rPr>
        <w:t>6</w:t>
      </w:r>
      <w:r>
        <w:rPr>
          <w:rFonts w:eastAsia="仿宋_GB2312"/>
          <w:color w:val="000000"/>
          <w:sz w:val="32"/>
          <w:szCs w:val="32"/>
          <w:highlight w:val="none"/>
        </w:rPr>
        <w:t>万元</w:t>
      </w:r>
      <w:r>
        <w:rPr>
          <w:rFonts w:hint="eastAsia" w:eastAsia="仿宋_GB2312"/>
          <w:color w:val="000000"/>
          <w:sz w:val="32"/>
          <w:szCs w:val="32"/>
          <w:highlight w:val="none"/>
          <w:lang w:eastAsia="zh-CN"/>
        </w:rPr>
        <w:t>、职工基本医疗保险缴费12.8</w:t>
      </w:r>
      <w:r>
        <w:rPr>
          <w:rFonts w:hint="eastAsia" w:eastAsia="仿宋_GB2312"/>
          <w:color w:val="000000"/>
          <w:sz w:val="32"/>
          <w:szCs w:val="32"/>
          <w:highlight w:val="none"/>
          <w:lang w:val="en-US" w:eastAsia="zh-CN"/>
        </w:rPr>
        <w:t>4万元</w:t>
      </w:r>
      <w:r>
        <w:rPr>
          <w:rFonts w:eastAsia="仿宋_GB2312"/>
          <w:color w:val="000000"/>
          <w:sz w:val="32"/>
          <w:szCs w:val="32"/>
          <w:highlight w:val="none"/>
        </w:rPr>
        <w:t>、</w:t>
      </w:r>
      <w:r>
        <w:rPr>
          <w:rFonts w:hint="eastAsia" w:eastAsia="仿宋_GB2312"/>
          <w:color w:val="000000"/>
          <w:sz w:val="32"/>
          <w:szCs w:val="32"/>
          <w:highlight w:val="none"/>
        </w:rPr>
        <w:t>住房公积金42.28</w:t>
      </w:r>
      <w:r>
        <w:rPr>
          <w:rFonts w:hint="eastAsia" w:eastAsia="仿宋_GB2312"/>
          <w:color w:val="000000"/>
          <w:sz w:val="32"/>
          <w:szCs w:val="32"/>
          <w:highlight w:val="none"/>
          <w:lang w:val="en-US" w:eastAsia="zh-CN"/>
        </w:rPr>
        <w:t>万元</w:t>
      </w:r>
      <w:r>
        <w:rPr>
          <w:rFonts w:eastAsia="仿宋_GB2312"/>
          <w:sz w:val="32"/>
          <w:szCs w:val="32"/>
          <w:highlight w:val="none"/>
        </w:rPr>
        <w:t>。</w:t>
      </w:r>
    </w:p>
    <w:p w14:paraId="03D75C23">
      <w:pPr>
        <w:tabs>
          <w:tab w:val="left" w:pos="7560"/>
        </w:tabs>
        <w:adjustRightInd w:val="0"/>
        <w:snapToGrid w:val="0"/>
        <w:spacing w:line="560" w:lineRule="exact"/>
        <w:ind w:firstLine="640" w:firstLineChars="200"/>
        <w:rPr>
          <w:rFonts w:eastAsia="仿宋_GB2312"/>
          <w:sz w:val="32"/>
          <w:szCs w:val="32"/>
          <w:highlight w:val="none"/>
        </w:rPr>
      </w:pPr>
      <w:r>
        <w:rPr>
          <w:rFonts w:hint="eastAsia" w:eastAsia="仿宋_GB2312"/>
          <w:sz w:val="32"/>
          <w:szCs w:val="32"/>
          <w:highlight w:val="none"/>
        </w:rPr>
        <w:t>2、公用类支出。2023年年初预算数为30.42万元。其中：办公经费28.42万元，公务用车运行维护费2万元。</w:t>
      </w:r>
    </w:p>
    <w:p w14:paraId="610FC32D">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highlight w:val="none"/>
        </w:rPr>
        <w:t>（二）项目支</w:t>
      </w:r>
      <w:r>
        <w:rPr>
          <w:rFonts w:eastAsia="楷体_GB2312"/>
          <w:bCs/>
          <w:sz w:val="32"/>
          <w:szCs w:val="32"/>
        </w:rPr>
        <w:t>出</w:t>
      </w:r>
    </w:p>
    <w:p w14:paraId="6E8DECCA">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1、其他运转类支出。2023年年初预算数为530万元。其中：运转经费500万元，争资引项工作经费30万元。</w:t>
      </w:r>
    </w:p>
    <w:p w14:paraId="2E06215B">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2、特定目标类支出2563.4万元</w:t>
      </w:r>
    </w:p>
    <w:p w14:paraId="3AF41D8B">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公共租赁住房</w:t>
      </w:r>
      <w:r>
        <w:rPr>
          <w:rFonts w:eastAsia="仿宋_GB2312"/>
          <w:sz w:val="32"/>
          <w:szCs w:val="32"/>
        </w:rPr>
        <w:t xml:space="preserve">专项  </w:t>
      </w:r>
      <w:r>
        <w:rPr>
          <w:rFonts w:hint="eastAsia" w:eastAsia="仿宋_GB2312"/>
          <w:sz w:val="32"/>
          <w:szCs w:val="32"/>
        </w:rPr>
        <w:t>1700</w:t>
      </w:r>
      <w:r>
        <w:rPr>
          <w:rFonts w:eastAsia="仿宋_GB2312"/>
          <w:sz w:val="32"/>
          <w:szCs w:val="32"/>
        </w:rPr>
        <w:t>万元。主要用于</w:t>
      </w:r>
      <w:r>
        <w:rPr>
          <w:rFonts w:hint="eastAsia" w:eastAsia="仿宋_GB2312"/>
          <w:sz w:val="32"/>
          <w:szCs w:val="32"/>
        </w:rPr>
        <w:t>柳家湾保障性租赁住房建设支出</w:t>
      </w:r>
    </w:p>
    <w:p w14:paraId="74F06ED7">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保障性住房租赁补贴</w:t>
      </w:r>
      <w:r>
        <w:rPr>
          <w:rFonts w:eastAsia="仿宋_GB2312"/>
          <w:sz w:val="32"/>
          <w:szCs w:val="32"/>
        </w:rPr>
        <w:t xml:space="preserve">专项  </w:t>
      </w:r>
      <w:r>
        <w:rPr>
          <w:rFonts w:hint="eastAsia" w:eastAsia="仿宋_GB2312"/>
          <w:sz w:val="32"/>
          <w:szCs w:val="32"/>
        </w:rPr>
        <w:t>48</w:t>
      </w:r>
      <w:r>
        <w:rPr>
          <w:rFonts w:eastAsia="仿宋_GB2312"/>
          <w:sz w:val="32"/>
          <w:szCs w:val="32"/>
        </w:rPr>
        <w:t>万元。主要用于</w:t>
      </w:r>
      <w:r>
        <w:rPr>
          <w:rFonts w:hint="eastAsia" w:eastAsia="仿宋_GB2312"/>
          <w:sz w:val="32"/>
          <w:szCs w:val="32"/>
        </w:rPr>
        <w:t>发放租赁补贴。</w:t>
      </w:r>
    </w:p>
    <w:p w14:paraId="7179BA98">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（3）其他保障性安居工程支出521.6万元。主要用于柳家湾保障性住房建设支出。</w:t>
      </w:r>
    </w:p>
    <w:p w14:paraId="6237C667">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（4）金石小区物业管理服务27万元，主要用于金石小区物业管理服务支出。</w:t>
      </w:r>
    </w:p>
    <w:p w14:paraId="21FA0093">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（5）李畋路公租房物业管理费25万元，主要用于李畋路公租房物业管理服务支出。</w:t>
      </w:r>
    </w:p>
    <w:p w14:paraId="1E37399B">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（6）人才公寓管理工作经费70万元，主要用于人才公寓管理工作支出。</w:t>
      </w:r>
    </w:p>
    <w:p w14:paraId="23BFFE58">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（7）白蚁防治工作经费30万元，主要用于白蚁防治工作支出。</w:t>
      </w:r>
    </w:p>
    <w:p w14:paraId="7CC4F416">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（8）太一市场管理费用141.8万元，主要用于太一市场管理支出。</w:t>
      </w:r>
    </w:p>
    <w:p w14:paraId="404B3294">
      <w:pPr>
        <w:numPr>
          <w:ilvl w:val="0"/>
          <w:numId w:val="1"/>
        </w:numPr>
        <w:tabs>
          <w:tab w:val="left" w:pos="7560"/>
        </w:tabs>
        <w:adjustRightInd w:val="0"/>
        <w:snapToGrid w:val="0"/>
        <w:spacing w:line="560" w:lineRule="exact"/>
        <w:ind w:firstLine="640" w:firstLineChars="200"/>
        <w:rPr>
          <w:rFonts w:eastAsia="黑体"/>
          <w:sz w:val="32"/>
          <w:szCs w:val="32"/>
        </w:rPr>
      </w:pPr>
      <w:r>
        <w:rPr>
          <w:rFonts w:eastAsia="黑体"/>
          <w:sz w:val="32"/>
          <w:szCs w:val="32"/>
        </w:rPr>
        <w:t>政府性基金预算支出</w:t>
      </w:r>
    </w:p>
    <w:p w14:paraId="09F9426A">
      <w:pPr>
        <w:tabs>
          <w:tab w:val="left" w:pos="7560"/>
        </w:tabs>
        <w:adjustRightInd w:val="0"/>
        <w:snapToGrid w:val="0"/>
        <w:spacing w:line="560" w:lineRule="exact"/>
        <w:ind w:firstLine="640" w:firstLineChars="200"/>
        <w:rPr>
          <w:rFonts w:eastAsia="仿宋_GB2312"/>
          <w:bCs/>
          <w:sz w:val="32"/>
          <w:szCs w:val="32"/>
        </w:rPr>
      </w:pPr>
      <w:r>
        <w:rPr>
          <w:rFonts w:eastAsia="仿宋_GB2312"/>
          <w:bCs/>
          <w:sz w:val="32"/>
          <w:szCs w:val="32"/>
        </w:rPr>
        <w:t>20</w:t>
      </w:r>
      <w:r>
        <w:rPr>
          <w:rFonts w:hint="eastAsia" w:eastAsia="仿宋_GB2312"/>
          <w:bCs/>
          <w:sz w:val="32"/>
          <w:szCs w:val="32"/>
        </w:rPr>
        <w:t>23</w:t>
      </w:r>
      <w:r>
        <w:rPr>
          <w:rFonts w:eastAsia="仿宋_GB2312"/>
          <w:bCs/>
          <w:sz w:val="32"/>
          <w:szCs w:val="32"/>
        </w:rPr>
        <w:t>年度本部门无政府性基金预算安排的支出</w:t>
      </w:r>
      <w:r>
        <w:rPr>
          <w:rFonts w:hint="eastAsia" w:eastAsia="仿宋_GB2312"/>
          <w:bCs/>
          <w:sz w:val="32"/>
          <w:szCs w:val="32"/>
        </w:rPr>
        <w:t>。</w:t>
      </w:r>
    </w:p>
    <w:p w14:paraId="0D28911F">
      <w:pPr>
        <w:tabs>
          <w:tab w:val="left" w:pos="7560"/>
        </w:tabs>
        <w:adjustRightInd w:val="0"/>
        <w:snapToGrid w:val="0"/>
        <w:spacing w:line="560" w:lineRule="exact"/>
        <w:ind w:firstLine="640" w:firstLineChars="200"/>
        <w:rPr>
          <w:rFonts w:eastAsia="黑体"/>
          <w:sz w:val="32"/>
          <w:szCs w:val="32"/>
        </w:rPr>
      </w:pPr>
      <w:r>
        <w:rPr>
          <w:rFonts w:eastAsia="黑体"/>
          <w:sz w:val="32"/>
          <w:szCs w:val="32"/>
        </w:rPr>
        <w:t>七、其他重要事项情况说明</w:t>
      </w:r>
    </w:p>
    <w:p w14:paraId="19A14B35">
      <w:pPr>
        <w:tabs>
          <w:tab w:val="left" w:pos="7560"/>
        </w:tabs>
        <w:adjustRightInd w:val="0"/>
        <w:snapToGrid w:val="0"/>
        <w:spacing w:line="560" w:lineRule="exact"/>
        <w:ind w:firstLine="640" w:firstLineChars="200"/>
        <w:rPr>
          <w:rFonts w:eastAsia="仿宋_GB2312"/>
          <w:color w:val="FF0000"/>
          <w:sz w:val="32"/>
          <w:szCs w:val="32"/>
        </w:rPr>
      </w:pPr>
      <w:r>
        <w:rPr>
          <w:rFonts w:eastAsia="楷体_GB2312"/>
          <w:bCs/>
          <w:sz w:val="32"/>
          <w:szCs w:val="32"/>
        </w:rPr>
        <w:t>（一）机关运行经费：</w:t>
      </w:r>
      <w:r>
        <w:rPr>
          <w:rFonts w:eastAsia="仿宋_GB2312"/>
          <w:sz w:val="32"/>
          <w:szCs w:val="32"/>
        </w:rPr>
        <w:t>本部门</w:t>
      </w:r>
      <w:r>
        <w:rPr>
          <w:rFonts w:hint="eastAsia" w:eastAsia="仿宋_GB2312"/>
          <w:sz w:val="32"/>
          <w:szCs w:val="32"/>
        </w:rPr>
        <w:t>不属行政部门单位，无此项经费</w:t>
      </w:r>
      <w:r>
        <w:rPr>
          <w:rFonts w:hint="eastAsia" w:eastAsia="仿宋_GB2312"/>
          <w:bCs/>
          <w:sz w:val="32"/>
          <w:szCs w:val="32"/>
        </w:rPr>
        <w:t>。</w:t>
      </w:r>
    </w:p>
    <w:p w14:paraId="1DBB5844">
      <w:pPr>
        <w:adjustRightInd w:val="0"/>
        <w:snapToGrid w:val="0"/>
        <w:spacing w:line="560" w:lineRule="exact"/>
        <w:ind w:firstLine="640" w:firstLineChars="200"/>
        <w:rPr>
          <w:rFonts w:eastAsia="仿宋_GB2312"/>
          <w:sz w:val="32"/>
          <w:szCs w:val="32"/>
        </w:rPr>
      </w:pPr>
      <w:r>
        <w:rPr>
          <w:rFonts w:eastAsia="楷体_GB2312"/>
          <w:bCs/>
          <w:sz w:val="32"/>
          <w:szCs w:val="32"/>
        </w:rPr>
        <w:t>（二) 政府采购预算</w:t>
      </w:r>
      <w:r>
        <w:rPr>
          <w:rFonts w:hAnsi="华文楷体" w:eastAsia="华文楷体"/>
          <w:sz w:val="32"/>
          <w:szCs w:val="32"/>
        </w:rPr>
        <w:t>：</w:t>
      </w:r>
      <w:r>
        <w:rPr>
          <w:rFonts w:eastAsia="仿宋_GB2312"/>
          <w:sz w:val="32"/>
          <w:szCs w:val="32"/>
        </w:rPr>
        <w:t>本部门2023年年初预算数为</w:t>
      </w:r>
      <w:r>
        <w:rPr>
          <w:rFonts w:hint="eastAsia" w:eastAsia="仿宋_GB2312"/>
          <w:sz w:val="32"/>
          <w:szCs w:val="32"/>
        </w:rPr>
        <w:t>3848</w:t>
      </w:r>
      <w:r>
        <w:rPr>
          <w:rFonts w:eastAsia="仿宋_GB2312"/>
          <w:sz w:val="32"/>
          <w:szCs w:val="32"/>
        </w:rPr>
        <w:t>万元。包含：</w:t>
      </w:r>
      <w:r>
        <w:rPr>
          <w:rFonts w:hint="eastAsia" w:eastAsia="仿宋_GB2312"/>
          <w:sz w:val="32"/>
          <w:szCs w:val="32"/>
        </w:rPr>
        <w:t>政府采购货物类36</w:t>
      </w:r>
      <w:r>
        <w:rPr>
          <w:rFonts w:eastAsia="仿宋_GB2312"/>
          <w:sz w:val="32"/>
          <w:szCs w:val="32"/>
        </w:rPr>
        <w:t>万元、</w:t>
      </w:r>
      <w:r>
        <w:rPr>
          <w:rFonts w:hint="eastAsia" w:eastAsia="仿宋_GB2312"/>
          <w:sz w:val="32"/>
          <w:szCs w:val="32"/>
        </w:rPr>
        <w:t>政府采购工程类3700</w:t>
      </w:r>
      <w:r>
        <w:rPr>
          <w:rFonts w:eastAsia="仿宋_GB2312"/>
          <w:sz w:val="32"/>
          <w:szCs w:val="32"/>
        </w:rPr>
        <w:t>万元</w:t>
      </w:r>
      <w:r>
        <w:rPr>
          <w:rFonts w:hint="eastAsia" w:eastAsia="仿宋_GB2312"/>
          <w:sz w:val="32"/>
          <w:szCs w:val="32"/>
        </w:rPr>
        <w:t>，政府采购服务类112万元</w:t>
      </w:r>
      <w:r>
        <w:rPr>
          <w:rFonts w:eastAsia="仿宋_GB2312"/>
          <w:sz w:val="32"/>
          <w:szCs w:val="32"/>
        </w:rPr>
        <w:t>。</w:t>
      </w:r>
    </w:p>
    <w:p w14:paraId="787B69D5">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（三）国有资产占有情况：</w:t>
      </w:r>
      <w:r>
        <w:rPr>
          <w:rFonts w:eastAsia="仿宋_GB2312"/>
          <w:sz w:val="32"/>
          <w:szCs w:val="32"/>
        </w:rPr>
        <w:t>截止20</w:t>
      </w:r>
      <w:r>
        <w:rPr>
          <w:rFonts w:hint="eastAsia" w:eastAsia="仿宋_GB2312"/>
          <w:sz w:val="32"/>
          <w:szCs w:val="32"/>
        </w:rPr>
        <w:t>22</w:t>
      </w:r>
      <w:r>
        <w:rPr>
          <w:rFonts w:eastAsia="仿宋_GB2312"/>
          <w:sz w:val="32"/>
          <w:szCs w:val="32"/>
        </w:rPr>
        <w:t>年12月31日，本部门共有办公及业</w:t>
      </w:r>
      <w:r>
        <w:rPr>
          <w:rFonts w:eastAsia="仿宋_GB2312"/>
          <w:sz w:val="32"/>
          <w:szCs w:val="32"/>
          <w:highlight w:val="none"/>
        </w:rPr>
        <w:t>务用房</w:t>
      </w:r>
      <w:r>
        <w:rPr>
          <w:rFonts w:hint="eastAsia" w:eastAsia="仿宋_GB2312"/>
          <w:sz w:val="32"/>
          <w:szCs w:val="32"/>
          <w:highlight w:val="none"/>
        </w:rPr>
        <w:t>136119</w:t>
      </w:r>
      <w:r>
        <w:rPr>
          <w:rFonts w:eastAsia="仿宋_GB2312"/>
          <w:sz w:val="32"/>
          <w:szCs w:val="32"/>
          <w:highlight w:val="none"/>
        </w:rPr>
        <w:t xml:space="preserve">平方米；车辆 </w:t>
      </w:r>
      <w:r>
        <w:rPr>
          <w:rFonts w:hint="eastAsia" w:eastAsia="仿宋_GB2312"/>
          <w:sz w:val="32"/>
          <w:szCs w:val="32"/>
          <w:highlight w:val="none"/>
        </w:rPr>
        <w:t>1</w:t>
      </w:r>
      <w:r>
        <w:rPr>
          <w:rFonts w:eastAsia="仿宋_GB2312"/>
          <w:sz w:val="32"/>
          <w:szCs w:val="32"/>
          <w:highlight w:val="none"/>
        </w:rPr>
        <w:t xml:space="preserve"> 辆，其中一般公务用车</w:t>
      </w:r>
      <w:r>
        <w:rPr>
          <w:rFonts w:hint="eastAsia" w:eastAsia="仿宋_GB2312"/>
          <w:sz w:val="32"/>
          <w:szCs w:val="32"/>
          <w:highlight w:val="none"/>
        </w:rPr>
        <w:t>1</w:t>
      </w:r>
      <w:r>
        <w:rPr>
          <w:rFonts w:eastAsia="仿宋_GB2312"/>
          <w:sz w:val="32"/>
          <w:szCs w:val="32"/>
          <w:highlight w:val="none"/>
        </w:rPr>
        <w:t>辆、一般执法执勤用车</w:t>
      </w:r>
      <w:r>
        <w:rPr>
          <w:rFonts w:hint="eastAsia" w:eastAsia="仿宋_GB2312"/>
          <w:sz w:val="32"/>
          <w:szCs w:val="32"/>
          <w:highlight w:val="none"/>
        </w:rPr>
        <w:t>0</w:t>
      </w:r>
      <w:r>
        <w:rPr>
          <w:rFonts w:eastAsia="仿宋_GB2312"/>
          <w:sz w:val="32"/>
          <w:szCs w:val="32"/>
          <w:highlight w:val="none"/>
        </w:rPr>
        <w:t>辆、货币化用车</w:t>
      </w:r>
      <w:r>
        <w:rPr>
          <w:rFonts w:hint="eastAsia" w:eastAsia="仿宋_GB2312"/>
          <w:sz w:val="32"/>
          <w:szCs w:val="32"/>
          <w:highlight w:val="none"/>
        </w:rPr>
        <w:t>0</w:t>
      </w:r>
      <w:r>
        <w:rPr>
          <w:rFonts w:eastAsia="仿宋_GB2312"/>
          <w:sz w:val="32"/>
          <w:szCs w:val="32"/>
          <w:highlight w:val="none"/>
        </w:rPr>
        <w:t xml:space="preserve">辆；单位价值200万以上大型设备  </w:t>
      </w:r>
      <w:r>
        <w:rPr>
          <w:rFonts w:hint="eastAsia" w:eastAsia="仿宋_GB2312"/>
          <w:sz w:val="32"/>
          <w:szCs w:val="32"/>
          <w:highlight w:val="none"/>
        </w:rPr>
        <w:t>0</w:t>
      </w:r>
      <w:r>
        <w:rPr>
          <w:rFonts w:eastAsia="仿宋_GB2312"/>
          <w:sz w:val="32"/>
          <w:szCs w:val="32"/>
          <w:highlight w:val="none"/>
        </w:rPr>
        <w:t>套。20</w:t>
      </w:r>
      <w:r>
        <w:rPr>
          <w:rFonts w:hint="eastAsia" w:eastAsia="仿宋_GB2312"/>
          <w:sz w:val="32"/>
          <w:szCs w:val="32"/>
          <w:highlight w:val="none"/>
        </w:rPr>
        <w:t>23</w:t>
      </w:r>
      <w:r>
        <w:rPr>
          <w:rFonts w:eastAsia="仿宋_GB2312"/>
          <w:sz w:val="32"/>
          <w:szCs w:val="32"/>
          <w:highlight w:val="none"/>
        </w:rPr>
        <w:t>年部门预算安排购置车辆</w:t>
      </w:r>
      <w:r>
        <w:rPr>
          <w:rFonts w:hint="eastAsia" w:eastAsia="仿宋_GB2312"/>
          <w:sz w:val="32"/>
          <w:szCs w:val="32"/>
          <w:highlight w:val="none"/>
          <w:lang w:val="en-US" w:eastAsia="zh-CN"/>
        </w:rPr>
        <w:t>0</w:t>
      </w:r>
      <w:r>
        <w:rPr>
          <w:rFonts w:eastAsia="仿宋_GB2312"/>
          <w:sz w:val="32"/>
          <w:szCs w:val="32"/>
          <w:highlight w:val="none"/>
        </w:rPr>
        <w:t>辆，预算安排购置价值200万以</w:t>
      </w:r>
      <w:r>
        <w:rPr>
          <w:rFonts w:eastAsia="仿宋_GB2312"/>
          <w:sz w:val="32"/>
          <w:szCs w:val="32"/>
        </w:rPr>
        <w:t xml:space="preserve">上大型设备 </w:t>
      </w:r>
      <w:r>
        <w:rPr>
          <w:rFonts w:hint="eastAsia" w:eastAsia="仿宋_GB2312"/>
          <w:sz w:val="32"/>
          <w:szCs w:val="32"/>
        </w:rPr>
        <w:t>0</w:t>
      </w:r>
      <w:r>
        <w:rPr>
          <w:rFonts w:eastAsia="仿宋_GB2312"/>
          <w:sz w:val="32"/>
          <w:szCs w:val="32"/>
        </w:rPr>
        <w:t>套。</w:t>
      </w:r>
    </w:p>
    <w:p w14:paraId="76CEC3A6">
      <w:pPr>
        <w:tabs>
          <w:tab w:val="left" w:pos="7560"/>
        </w:tabs>
        <w:adjustRightInd w:val="0"/>
        <w:snapToGrid w:val="0"/>
        <w:spacing w:line="560" w:lineRule="exact"/>
        <w:ind w:firstLine="640" w:firstLineChars="200"/>
        <w:rPr>
          <w:rFonts w:eastAsia="仿宋_GB2312"/>
          <w:b/>
          <w:bCs/>
          <w:sz w:val="32"/>
          <w:szCs w:val="32"/>
        </w:rPr>
      </w:pPr>
      <w:r>
        <w:rPr>
          <w:rFonts w:eastAsia="楷体_GB2312"/>
          <w:bCs/>
          <w:sz w:val="32"/>
          <w:szCs w:val="32"/>
        </w:rPr>
        <w:t>（四）重点项目预算的绩效目标等情况：</w:t>
      </w:r>
      <w:r>
        <w:rPr>
          <w:rFonts w:eastAsia="仿宋_GB2312"/>
          <w:sz w:val="32"/>
          <w:szCs w:val="32"/>
        </w:rPr>
        <w:t>本部门整体支出和项目支出实行绩效目标管理，纳入20</w:t>
      </w:r>
      <w:r>
        <w:rPr>
          <w:rFonts w:hint="eastAsia" w:eastAsia="仿宋_GB2312"/>
          <w:sz w:val="32"/>
          <w:szCs w:val="32"/>
        </w:rPr>
        <w:t>23</w:t>
      </w:r>
      <w:r>
        <w:rPr>
          <w:rFonts w:eastAsia="仿宋_GB2312"/>
          <w:sz w:val="32"/>
          <w:szCs w:val="32"/>
        </w:rPr>
        <w:t>年部门整体支出绩效目标的金额</w:t>
      </w:r>
      <w:r>
        <w:rPr>
          <w:rFonts w:hint="eastAsia" w:eastAsia="仿宋_GB2312"/>
          <w:sz w:val="32"/>
          <w:szCs w:val="32"/>
        </w:rPr>
        <w:t>为3549.82</w:t>
      </w:r>
      <w:r>
        <w:rPr>
          <w:rFonts w:eastAsia="仿宋_GB2312"/>
          <w:sz w:val="32"/>
          <w:szCs w:val="32"/>
        </w:rPr>
        <w:t>万元，其中，基本支出</w:t>
      </w:r>
      <w:r>
        <w:rPr>
          <w:rFonts w:hint="eastAsia" w:eastAsia="仿宋_GB2312"/>
          <w:sz w:val="32"/>
          <w:szCs w:val="32"/>
        </w:rPr>
        <w:t>456.42</w:t>
      </w:r>
      <w:r>
        <w:rPr>
          <w:rFonts w:eastAsia="仿宋_GB2312"/>
          <w:sz w:val="32"/>
          <w:szCs w:val="32"/>
        </w:rPr>
        <w:t>万元，项目支出</w:t>
      </w:r>
      <w:r>
        <w:rPr>
          <w:rFonts w:hint="eastAsia" w:eastAsia="仿宋_GB2312"/>
          <w:sz w:val="32"/>
          <w:szCs w:val="32"/>
        </w:rPr>
        <w:t>3093.4</w:t>
      </w:r>
      <w:r>
        <w:rPr>
          <w:rFonts w:eastAsia="仿宋_GB2312"/>
          <w:sz w:val="32"/>
          <w:szCs w:val="32"/>
        </w:rPr>
        <w:t>万元（详见附表）。 </w:t>
      </w:r>
    </w:p>
    <w:p w14:paraId="16640159">
      <w:pPr>
        <w:tabs>
          <w:tab w:val="left" w:pos="7560"/>
        </w:tabs>
        <w:adjustRightInd w:val="0"/>
        <w:snapToGrid w:val="0"/>
        <w:spacing w:line="560" w:lineRule="exact"/>
        <w:ind w:firstLine="640" w:firstLineChars="200"/>
        <w:rPr>
          <w:rFonts w:eastAsia="楷体_GB2312"/>
          <w:bCs/>
          <w:sz w:val="32"/>
          <w:szCs w:val="32"/>
          <w:highlight w:val="none"/>
        </w:rPr>
      </w:pPr>
      <w:r>
        <w:rPr>
          <w:rFonts w:eastAsia="楷体_GB2312"/>
          <w:bCs/>
          <w:sz w:val="32"/>
          <w:szCs w:val="32"/>
        </w:rPr>
        <w:t>（五）一般公共预算“三公”经费情况：</w:t>
      </w:r>
      <w:r>
        <w:rPr>
          <w:rFonts w:eastAsia="仿宋_GB2312"/>
          <w:sz w:val="32"/>
          <w:szCs w:val="32"/>
        </w:rPr>
        <w:t>2023年“三公”经费预算数</w:t>
      </w:r>
      <w:r>
        <w:rPr>
          <w:rFonts w:hint="eastAsia" w:eastAsia="仿宋_GB2312"/>
          <w:sz w:val="32"/>
          <w:szCs w:val="32"/>
        </w:rPr>
        <w:t>2.82</w:t>
      </w:r>
      <w:r>
        <w:rPr>
          <w:rFonts w:eastAsia="仿宋_GB2312"/>
          <w:sz w:val="32"/>
          <w:szCs w:val="32"/>
        </w:rPr>
        <w:t>万元，其中：“因公出国（境）费”</w:t>
      </w:r>
      <w:r>
        <w:rPr>
          <w:rFonts w:hint="eastAsia" w:eastAsia="仿宋_GB2312"/>
          <w:sz w:val="32"/>
          <w:szCs w:val="32"/>
        </w:rPr>
        <w:t>0</w:t>
      </w:r>
      <w:r>
        <w:rPr>
          <w:rFonts w:eastAsia="仿宋_GB2312"/>
          <w:sz w:val="32"/>
          <w:szCs w:val="32"/>
        </w:rPr>
        <w:t>万元、“公务用车购置及运行费”</w:t>
      </w:r>
      <w:r>
        <w:rPr>
          <w:rFonts w:hint="eastAsia" w:eastAsia="仿宋_GB2312"/>
          <w:sz w:val="32"/>
          <w:szCs w:val="32"/>
        </w:rPr>
        <w:t>2.82</w:t>
      </w:r>
      <w:r>
        <w:rPr>
          <w:rFonts w:eastAsia="仿宋_GB2312"/>
          <w:sz w:val="32"/>
          <w:szCs w:val="32"/>
        </w:rPr>
        <w:t>万</w:t>
      </w:r>
      <w:r>
        <w:rPr>
          <w:rFonts w:eastAsia="仿宋_GB2312"/>
          <w:sz w:val="32"/>
          <w:szCs w:val="32"/>
          <w:highlight w:val="none"/>
        </w:rPr>
        <w:t>元（公务用车购置费</w:t>
      </w:r>
      <w:r>
        <w:rPr>
          <w:rFonts w:hint="eastAsia" w:eastAsia="仿宋_GB2312"/>
          <w:sz w:val="32"/>
          <w:szCs w:val="32"/>
          <w:highlight w:val="none"/>
        </w:rPr>
        <w:t>0</w:t>
      </w:r>
      <w:r>
        <w:rPr>
          <w:rFonts w:eastAsia="仿宋_GB2312"/>
          <w:sz w:val="32"/>
          <w:szCs w:val="32"/>
          <w:highlight w:val="none"/>
        </w:rPr>
        <w:t>万元、公务用车运行费</w:t>
      </w:r>
      <w:r>
        <w:rPr>
          <w:rFonts w:hint="eastAsia" w:eastAsia="仿宋_GB2312"/>
          <w:sz w:val="32"/>
          <w:szCs w:val="32"/>
          <w:highlight w:val="none"/>
        </w:rPr>
        <w:t>2.82</w:t>
      </w:r>
      <w:r>
        <w:rPr>
          <w:rFonts w:eastAsia="仿宋_GB2312"/>
          <w:sz w:val="32"/>
          <w:szCs w:val="32"/>
          <w:highlight w:val="none"/>
        </w:rPr>
        <w:t>万元）、“公务</w:t>
      </w:r>
      <w:r>
        <w:rPr>
          <w:rFonts w:eastAsia="仿宋_GB2312"/>
          <w:sz w:val="32"/>
          <w:szCs w:val="32"/>
        </w:rPr>
        <w:t>接待费”</w:t>
      </w:r>
      <w:r>
        <w:rPr>
          <w:rFonts w:hint="eastAsia" w:eastAsia="仿宋_GB2312"/>
          <w:sz w:val="32"/>
          <w:szCs w:val="32"/>
        </w:rPr>
        <w:t>0</w:t>
      </w:r>
      <w:r>
        <w:rPr>
          <w:rFonts w:eastAsia="仿宋_GB2312"/>
          <w:sz w:val="32"/>
          <w:szCs w:val="32"/>
        </w:rPr>
        <w:t>万元。</w:t>
      </w:r>
    </w:p>
    <w:p w14:paraId="1E80EF42">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年“三公”经费预算数比2022年增加</w:t>
      </w:r>
      <w:r>
        <w:rPr>
          <w:rFonts w:hint="eastAsia" w:eastAsia="仿宋_GB2312"/>
          <w:sz w:val="32"/>
          <w:szCs w:val="32"/>
        </w:rPr>
        <w:t>2</w:t>
      </w:r>
      <w:r>
        <w:rPr>
          <w:rFonts w:eastAsia="仿宋_GB2312"/>
          <w:sz w:val="32"/>
          <w:szCs w:val="32"/>
        </w:rPr>
        <w:t>万元，主要是因为</w:t>
      </w:r>
      <w:r>
        <w:rPr>
          <w:rFonts w:hint="eastAsia" w:eastAsia="仿宋_GB2312"/>
          <w:sz w:val="32"/>
          <w:szCs w:val="32"/>
        </w:rPr>
        <w:t>白蚁防治业务量增大，车辆使用数量增加</w:t>
      </w:r>
      <w:r>
        <w:rPr>
          <w:rFonts w:eastAsia="仿宋_GB2312"/>
          <w:sz w:val="32"/>
          <w:szCs w:val="32"/>
        </w:rPr>
        <w:t>。</w:t>
      </w:r>
    </w:p>
    <w:p w14:paraId="68671372">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（六）会议费、培训费预算：</w:t>
      </w:r>
    </w:p>
    <w:p w14:paraId="7FC0D33C">
      <w:pPr>
        <w:tabs>
          <w:tab w:val="left" w:pos="7560"/>
        </w:tabs>
        <w:adjustRightInd w:val="0"/>
        <w:snapToGrid w:val="0"/>
        <w:spacing w:line="560" w:lineRule="exact"/>
        <w:ind w:firstLine="640" w:firstLineChars="200"/>
        <w:rPr>
          <w:rFonts w:eastAsia="仿宋_GB2312"/>
          <w:color w:val="FF0000"/>
          <w:sz w:val="32"/>
          <w:szCs w:val="32"/>
        </w:rPr>
      </w:pPr>
      <w:r>
        <w:rPr>
          <w:rFonts w:eastAsia="仿宋_GB2312"/>
          <w:sz w:val="32"/>
          <w:szCs w:val="32"/>
        </w:rPr>
        <w:t>20</w:t>
      </w:r>
      <w:r>
        <w:rPr>
          <w:rFonts w:hint="eastAsia" w:eastAsia="仿宋_GB2312"/>
          <w:sz w:val="32"/>
          <w:szCs w:val="32"/>
        </w:rPr>
        <w:t>23</w:t>
      </w:r>
      <w:r>
        <w:rPr>
          <w:rFonts w:eastAsia="仿宋_GB2312"/>
          <w:sz w:val="32"/>
          <w:szCs w:val="32"/>
        </w:rPr>
        <w:t>年预算安排会议费</w:t>
      </w:r>
      <w:r>
        <w:rPr>
          <w:rFonts w:hint="eastAsia" w:eastAsia="仿宋_GB2312"/>
          <w:sz w:val="32"/>
          <w:szCs w:val="32"/>
        </w:rPr>
        <w:t>0</w:t>
      </w:r>
      <w:r>
        <w:rPr>
          <w:rFonts w:eastAsia="仿宋_GB2312"/>
          <w:sz w:val="32"/>
          <w:szCs w:val="32"/>
        </w:rPr>
        <w:t>万</w:t>
      </w:r>
      <w:r>
        <w:rPr>
          <w:rFonts w:hint="eastAsia" w:eastAsia="仿宋_GB2312"/>
          <w:sz w:val="32"/>
          <w:szCs w:val="32"/>
        </w:rPr>
        <w:t>元。</w:t>
      </w:r>
    </w:p>
    <w:p w14:paraId="2B46AB6A">
      <w:pPr>
        <w:tabs>
          <w:tab w:val="left" w:pos="7560"/>
        </w:tabs>
        <w:adjustRightInd w:val="0"/>
        <w:snapToGrid w:val="0"/>
        <w:spacing w:line="560" w:lineRule="exact"/>
        <w:ind w:firstLine="640" w:firstLineChars="200"/>
        <w:rPr>
          <w:rFonts w:hint="eastAsia" w:eastAsia="仿宋_GB2312"/>
          <w:sz w:val="32"/>
          <w:szCs w:val="32"/>
          <w:lang w:eastAsia="zh-CN"/>
        </w:rPr>
      </w:pPr>
      <w:r>
        <w:rPr>
          <w:rFonts w:eastAsia="仿宋_GB2312"/>
          <w:sz w:val="32"/>
          <w:szCs w:val="32"/>
        </w:rPr>
        <w:t>20</w:t>
      </w:r>
      <w:r>
        <w:rPr>
          <w:rFonts w:hint="eastAsia" w:eastAsia="仿宋_GB2312"/>
          <w:sz w:val="32"/>
          <w:szCs w:val="32"/>
        </w:rPr>
        <w:t>23</w:t>
      </w:r>
      <w:r>
        <w:rPr>
          <w:rFonts w:eastAsia="仿宋_GB2312"/>
          <w:sz w:val="32"/>
          <w:szCs w:val="32"/>
        </w:rPr>
        <w:t>年预算安排培训费</w:t>
      </w:r>
      <w:r>
        <w:rPr>
          <w:rFonts w:hint="eastAsia" w:eastAsia="仿宋_GB2312"/>
          <w:sz w:val="32"/>
          <w:szCs w:val="32"/>
          <w:lang w:val="en-US" w:eastAsia="zh-CN"/>
        </w:rPr>
        <w:t>0</w:t>
      </w:r>
      <w:r>
        <w:rPr>
          <w:rFonts w:hint="eastAsia" w:eastAsia="仿宋_GB2312"/>
          <w:sz w:val="32"/>
          <w:szCs w:val="32"/>
        </w:rPr>
        <w:t>万元</w:t>
      </w:r>
      <w:r>
        <w:rPr>
          <w:rFonts w:hint="eastAsia" w:eastAsia="仿宋_GB2312"/>
          <w:sz w:val="32"/>
          <w:szCs w:val="32"/>
          <w:lang w:eastAsia="zh-CN"/>
        </w:rPr>
        <w:t>。</w:t>
      </w:r>
    </w:p>
    <w:p w14:paraId="2A9CD72C">
      <w:pPr>
        <w:tabs>
          <w:tab w:val="left" w:pos="7560"/>
        </w:tabs>
        <w:adjustRightInd w:val="0"/>
        <w:snapToGrid w:val="0"/>
        <w:spacing w:line="560" w:lineRule="exact"/>
        <w:ind w:firstLine="640" w:firstLineChars="200"/>
        <w:rPr>
          <w:rFonts w:eastAsia="仿宋_GB2312"/>
          <w:color w:val="FF0000"/>
          <w:sz w:val="32"/>
          <w:szCs w:val="32"/>
        </w:rPr>
      </w:pPr>
      <w:r>
        <w:rPr>
          <w:rFonts w:hint="eastAsia" w:ascii="Times New Roman" w:hAnsi="Times New Roman" w:eastAsia="仿宋_GB2312" w:cs="Times New Roman"/>
          <w:sz w:val="32"/>
          <w:szCs w:val="32"/>
        </w:rPr>
        <w:t>未计划举办节庆、晚会、论坛、赛事活动。</w:t>
      </w:r>
      <w:bookmarkStart w:id="0" w:name="_GoBack"/>
      <w:bookmarkEnd w:id="0"/>
    </w:p>
    <w:p w14:paraId="438E04D1">
      <w:pPr>
        <w:tabs>
          <w:tab w:val="left" w:pos="7560"/>
        </w:tabs>
        <w:adjustRightInd w:val="0"/>
        <w:snapToGrid w:val="0"/>
        <w:spacing w:line="560" w:lineRule="exact"/>
        <w:ind w:firstLine="640" w:firstLineChars="200"/>
        <w:rPr>
          <w:rFonts w:eastAsia="仿宋_GB2312"/>
          <w:b/>
          <w:bCs/>
          <w:sz w:val="32"/>
          <w:szCs w:val="32"/>
        </w:rPr>
      </w:pPr>
      <w:r>
        <w:rPr>
          <w:rFonts w:eastAsia="楷体_GB2312"/>
          <w:bCs/>
          <w:sz w:val="32"/>
          <w:szCs w:val="32"/>
        </w:rPr>
        <w:t>（七）其他事项。</w:t>
      </w:r>
      <w:r>
        <w:rPr>
          <w:rFonts w:eastAsia="仿宋_GB2312"/>
          <w:sz w:val="32"/>
          <w:szCs w:val="32"/>
        </w:rPr>
        <w:t>本单位20</w:t>
      </w:r>
      <w:r>
        <w:rPr>
          <w:rFonts w:hint="eastAsia" w:eastAsia="仿宋_GB2312"/>
          <w:sz w:val="32"/>
          <w:szCs w:val="32"/>
        </w:rPr>
        <w:t>23</w:t>
      </w:r>
      <w:r>
        <w:rPr>
          <w:rFonts w:eastAsia="仿宋_GB2312"/>
          <w:sz w:val="32"/>
          <w:szCs w:val="32"/>
        </w:rPr>
        <w:t>年预算未安排政府性基金收支预算</w:t>
      </w:r>
      <w:r>
        <w:rPr>
          <w:rFonts w:hint="eastAsia" w:eastAsia="仿宋_GB2312"/>
          <w:sz w:val="32"/>
          <w:szCs w:val="32"/>
        </w:rPr>
        <w:t>，</w:t>
      </w:r>
      <w:r>
        <w:rPr>
          <w:rFonts w:eastAsia="仿宋_GB2312"/>
          <w:sz w:val="32"/>
          <w:szCs w:val="32"/>
        </w:rPr>
        <w:t>本单位20</w:t>
      </w:r>
      <w:r>
        <w:rPr>
          <w:rFonts w:hint="eastAsia" w:eastAsia="仿宋_GB2312"/>
          <w:sz w:val="32"/>
          <w:szCs w:val="32"/>
        </w:rPr>
        <w:t>23</w:t>
      </w:r>
      <w:r>
        <w:rPr>
          <w:rFonts w:eastAsia="仿宋_GB2312"/>
          <w:sz w:val="32"/>
          <w:szCs w:val="32"/>
        </w:rPr>
        <w:t>年预算未</w:t>
      </w:r>
      <w:r>
        <w:rPr>
          <w:rFonts w:hint="eastAsia" w:eastAsia="仿宋_GB2312"/>
          <w:sz w:val="32"/>
          <w:szCs w:val="32"/>
        </w:rPr>
        <w:t>安排对个人和家庭的补助，</w:t>
      </w:r>
      <w:r>
        <w:rPr>
          <w:rFonts w:eastAsia="仿宋_GB2312"/>
          <w:sz w:val="32"/>
          <w:szCs w:val="32"/>
        </w:rPr>
        <w:t>本单位20</w:t>
      </w:r>
      <w:r>
        <w:rPr>
          <w:rFonts w:hint="eastAsia" w:eastAsia="仿宋_GB2312"/>
          <w:sz w:val="32"/>
          <w:szCs w:val="32"/>
        </w:rPr>
        <w:t>23</w:t>
      </w:r>
      <w:r>
        <w:rPr>
          <w:rFonts w:eastAsia="仿宋_GB2312"/>
          <w:sz w:val="32"/>
          <w:szCs w:val="32"/>
        </w:rPr>
        <w:t>年预算未</w:t>
      </w:r>
      <w:r>
        <w:rPr>
          <w:rFonts w:hint="eastAsia" w:eastAsia="仿宋_GB2312"/>
          <w:sz w:val="32"/>
          <w:szCs w:val="32"/>
        </w:rPr>
        <w:t>安排国有资本经营预算支出，</w:t>
      </w:r>
      <w:r>
        <w:rPr>
          <w:rFonts w:eastAsia="仿宋_GB2312"/>
          <w:sz w:val="32"/>
          <w:szCs w:val="32"/>
        </w:rPr>
        <w:t>本单位20</w:t>
      </w:r>
      <w:r>
        <w:rPr>
          <w:rFonts w:hint="eastAsia" w:eastAsia="仿宋_GB2312"/>
          <w:sz w:val="32"/>
          <w:szCs w:val="32"/>
        </w:rPr>
        <w:t>23</w:t>
      </w:r>
      <w:r>
        <w:rPr>
          <w:rFonts w:eastAsia="仿宋_GB2312"/>
          <w:sz w:val="32"/>
          <w:szCs w:val="32"/>
        </w:rPr>
        <w:t>年预算未</w:t>
      </w:r>
      <w:r>
        <w:rPr>
          <w:rFonts w:hint="eastAsia" w:eastAsia="仿宋_GB2312"/>
          <w:sz w:val="32"/>
          <w:szCs w:val="32"/>
        </w:rPr>
        <w:t>安排财政专户管理资金预算支出。本单位无门户网站，统一在政府门户网站上公开。</w:t>
      </w:r>
    </w:p>
    <w:p w14:paraId="0A1CDE44">
      <w:pPr>
        <w:tabs>
          <w:tab w:val="left" w:pos="7560"/>
        </w:tabs>
        <w:adjustRightInd w:val="0"/>
        <w:snapToGrid w:val="0"/>
        <w:spacing w:line="560" w:lineRule="exact"/>
        <w:ind w:firstLine="640" w:firstLineChars="200"/>
        <w:rPr>
          <w:rFonts w:eastAsia="黑体"/>
          <w:bCs/>
          <w:sz w:val="32"/>
          <w:szCs w:val="32"/>
        </w:rPr>
      </w:pPr>
      <w:r>
        <w:rPr>
          <w:rFonts w:hAnsi="黑体" w:eastAsia="黑体"/>
          <w:bCs/>
          <w:sz w:val="32"/>
          <w:szCs w:val="32"/>
        </w:rPr>
        <w:t>八、名词解释</w:t>
      </w:r>
    </w:p>
    <w:p w14:paraId="5402FB1C">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（一）一般公共预算: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14:paraId="0B2C3415">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（二）政府性基金预算: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53C4F3B0">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（三）国有资本经营预算: </w:t>
      </w:r>
      <w:r>
        <w:rPr>
          <w:rFonts w:eastAsia="仿宋_GB2312"/>
          <w:sz w:val="32"/>
          <w:szCs w:val="32"/>
        </w:rPr>
        <w:t>是对国有资本收益作出支出安排的收支预算。应当按照收支平衡的原则编制，不列赤字，并安排资金调入一般公共预算。</w:t>
      </w:r>
    </w:p>
    <w:p w14:paraId="118284F2">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（四）社会保险基金预算: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14:paraId="4A6D0FB8">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（五）“三公”经费：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eastAsia="仿宋_GB2312"/>
          <w:b/>
          <w:sz w:val="32"/>
          <w:szCs w:val="32"/>
        </w:rPr>
        <w:t xml:space="preserve">    （六）机关运行经费：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14:paraId="335F6F9C">
      <w:pPr>
        <w:tabs>
          <w:tab w:val="left" w:pos="7560"/>
        </w:tabs>
        <w:adjustRightInd w:val="0"/>
        <w:snapToGrid w:val="0"/>
        <w:spacing w:line="560" w:lineRule="exact"/>
        <w:ind w:firstLine="640" w:firstLineChars="200"/>
        <w:rPr>
          <w:rFonts w:eastAsia="仿宋_GB2312"/>
          <w:sz w:val="32"/>
          <w:szCs w:val="32"/>
        </w:rPr>
      </w:pPr>
    </w:p>
    <w:sectPr>
      <w:headerReference r:id="rId3" w:type="default"/>
      <w:footerReference r:id="rId4" w:type="default"/>
      <w:footerReference r:id="rId5" w:type="even"/>
      <w:pgSz w:w="11906" w:h="16838"/>
      <w:pgMar w:top="2098" w:right="1531" w:bottom="1985" w:left="1531"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F6272">
    <w:pPr>
      <w:pStyle w:val="11"/>
      <w:framePr w:wrap="around" w:vAnchor="text" w:hAnchor="margin" w:xAlign="outside" w:y="1"/>
      <w:rPr>
        <w:rStyle w:val="15"/>
        <w:rFonts w:ascii="宋体"/>
        <w:sz w:val="28"/>
        <w:szCs w:val="28"/>
      </w:rPr>
    </w:pPr>
    <w:r>
      <w:rPr>
        <w:rStyle w:val="15"/>
        <w:rFonts w:hint="eastAsia" w:ascii="宋体"/>
        <w:color w:val="FFFFFF"/>
        <w:sz w:val="28"/>
        <w:szCs w:val="28"/>
      </w:rPr>
      <w:t>—</w:t>
    </w:r>
    <w:r>
      <w:rPr>
        <w:rStyle w:val="15"/>
        <w:rFonts w:hint="eastAsia" w:ascii="宋体"/>
        <w:sz w:val="28"/>
        <w:szCs w:val="28"/>
      </w:rPr>
      <w:t xml:space="preserve">— </w:t>
    </w:r>
    <w:r>
      <w:rPr>
        <w:rFonts w:hint="eastAsia" w:ascii="宋体"/>
        <w:sz w:val="28"/>
        <w:szCs w:val="28"/>
      </w:rPr>
      <w:fldChar w:fldCharType="begin"/>
    </w:r>
    <w:r>
      <w:rPr>
        <w:rStyle w:val="15"/>
        <w:rFonts w:hint="eastAsia" w:ascii="宋体"/>
        <w:sz w:val="28"/>
        <w:szCs w:val="28"/>
      </w:rPr>
      <w:instrText xml:space="preserve">PAGE  </w:instrText>
    </w:r>
    <w:r>
      <w:rPr>
        <w:rFonts w:hint="eastAsia" w:ascii="宋体"/>
        <w:sz w:val="28"/>
        <w:szCs w:val="28"/>
      </w:rPr>
      <w:fldChar w:fldCharType="separate"/>
    </w:r>
    <w:r>
      <w:rPr>
        <w:rStyle w:val="15"/>
        <w:rFonts w:ascii="宋体"/>
        <w:sz w:val="28"/>
        <w:szCs w:val="28"/>
      </w:rPr>
      <w:t>9</w:t>
    </w:r>
    <w:r>
      <w:rPr>
        <w:rFonts w:hint="eastAsia" w:ascii="宋体"/>
        <w:sz w:val="28"/>
        <w:szCs w:val="28"/>
      </w:rPr>
      <w:fldChar w:fldCharType="end"/>
    </w:r>
    <w:r>
      <w:rPr>
        <w:rStyle w:val="15"/>
        <w:rFonts w:hint="eastAsia" w:ascii="宋体"/>
        <w:sz w:val="28"/>
        <w:szCs w:val="28"/>
      </w:rPr>
      <w:t xml:space="preserve"> —</w:t>
    </w:r>
    <w:r>
      <w:rPr>
        <w:rStyle w:val="15"/>
        <w:rFonts w:hint="eastAsia" w:ascii="宋体"/>
        <w:color w:val="FFFFFF"/>
        <w:sz w:val="28"/>
        <w:szCs w:val="28"/>
      </w:rPr>
      <w:t>—</w:t>
    </w:r>
  </w:p>
  <w:p w14:paraId="29834D01">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06AE8">
    <w:pPr>
      <w:pStyle w:val="11"/>
      <w:framePr w:wrap="around" w:vAnchor="text" w:hAnchor="margin" w:xAlign="outside" w:y="1"/>
      <w:rPr>
        <w:rStyle w:val="15"/>
      </w:rPr>
    </w:pPr>
    <w:r>
      <w:fldChar w:fldCharType="begin"/>
    </w:r>
    <w:r>
      <w:rPr>
        <w:rStyle w:val="15"/>
      </w:rPr>
      <w:instrText xml:space="preserve">PAGE  </w:instrText>
    </w:r>
    <w:r>
      <w:fldChar w:fldCharType="end"/>
    </w:r>
  </w:p>
  <w:p w14:paraId="6CD42DAE">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7C36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9387F8"/>
    <w:multiLevelType w:val="singleLevel"/>
    <w:tmpl w:val="609387F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59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MwNGI4NDY0YmE5ZWFiMzRkMjI2YWYxMWM5ZjliZjcifQ=="/>
  </w:docVars>
  <w:rsids>
    <w:rsidRoot w:val="002E2B1B"/>
    <w:rsid w:val="0000195D"/>
    <w:rsid w:val="00010812"/>
    <w:rsid w:val="00030000"/>
    <w:rsid w:val="00031DF4"/>
    <w:rsid w:val="00037F1B"/>
    <w:rsid w:val="0004493F"/>
    <w:rsid w:val="00066A5A"/>
    <w:rsid w:val="0008151E"/>
    <w:rsid w:val="000D06F4"/>
    <w:rsid w:val="000D45A1"/>
    <w:rsid w:val="00113607"/>
    <w:rsid w:val="0013739C"/>
    <w:rsid w:val="001457D5"/>
    <w:rsid w:val="001772EC"/>
    <w:rsid w:val="0018099E"/>
    <w:rsid w:val="0018669C"/>
    <w:rsid w:val="001A089A"/>
    <w:rsid w:val="001D3B4D"/>
    <w:rsid w:val="001F5ACF"/>
    <w:rsid w:val="00206F1B"/>
    <w:rsid w:val="0022719A"/>
    <w:rsid w:val="00231C79"/>
    <w:rsid w:val="002370E4"/>
    <w:rsid w:val="002466AF"/>
    <w:rsid w:val="00260D91"/>
    <w:rsid w:val="00265785"/>
    <w:rsid w:val="002714D1"/>
    <w:rsid w:val="002A26A6"/>
    <w:rsid w:val="002C3689"/>
    <w:rsid w:val="002D3CE8"/>
    <w:rsid w:val="002E2B1B"/>
    <w:rsid w:val="002F7AA3"/>
    <w:rsid w:val="003501B5"/>
    <w:rsid w:val="003504E8"/>
    <w:rsid w:val="00363614"/>
    <w:rsid w:val="00373BE7"/>
    <w:rsid w:val="003A1BB9"/>
    <w:rsid w:val="003C2973"/>
    <w:rsid w:val="00401FB6"/>
    <w:rsid w:val="00430A9C"/>
    <w:rsid w:val="00433ED6"/>
    <w:rsid w:val="00435B70"/>
    <w:rsid w:val="00445518"/>
    <w:rsid w:val="0045726B"/>
    <w:rsid w:val="004670F6"/>
    <w:rsid w:val="00473D43"/>
    <w:rsid w:val="00474F5A"/>
    <w:rsid w:val="004A19BD"/>
    <w:rsid w:val="004D786C"/>
    <w:rsid w:val="00500044"/>
    <w:rsid w:val="005010F2"/>
    <w:rsid w:val="005039CF"/>
    <w:rsid w:val="00503F68"/>
    <w:rsid w:val="005132D3"/>
    <w:rsid w:val="005534D4"/>
    <w:rsid w:val="005642F6"/>
    <w:rsid w:val="00567389"/>
    <w:rsid w:val="00570537"/>
    <w:rsid w:val="005E5CA5"/>
    <w:rsid w:val="00607E1C"/>
    <w:rsid w:val="006169B1"/>
    <w:rsid w:val="006403BA"/>
    <w:rsid w:val="00644971"/>
    <w:rsid w:val="00650E5E"/>
    <w:rsid w:val="00686BC9"/>
    <w:rsid w:val="006C039F"/>
    <w:rsid w:val="006E40CD"/>
    <w:rsid w:val="006E6B10"/>
    <w:rsid w:val="006F220F"/>
    <w:rsid w:val="006F4B30"/>
    <w:rsid w:val="006F5769"/>
    <w:rsid w:val="00705275"/>
    <w:rsid w:val="00720A77"/>
    <w:rsid w:val="00724ADC"/>
    <w:rsid w:val="007257DA"/>
    <w:rsid w:val="00732E06"/>
    <w:rsid w:val="007A25E3"/>
    <w:rsid w:val="007C73B3"/>
    <w:rsid w:val="007E1371"/>
    <w:rsid w:val="007E32B0"/>
    <w:rsid w:val="007F1129"/>
    <w:rsid w:val="008B57F4"/>
    <w:rsid w:val="008C209B"/>
    <w:rsid w:val="008D1F39"/>
    <w:rsid w:val="008E5844"/>
    <w:rsid w:val="008F6F39"/>
    <w:rsid w:val="0090015B"/>
    <w:rsid w:val="00921151"/>
    <w:rsid w:val="009228C9"/>
    <w:rsid w:val="00964BEA"/>
    <w:rsid w:val="009B79D0"/>
    <w:rsid w:val="009E3264"/>
    <w:rsid w:val="009F6947"/>
    <w:rsid w:val="00A00F31"/>
    <w:rsid w:val="00A01ED1"/>
    <w:rsid w:val="00A31AFB"/>
    <w:rsid w:val="00A60651"/>
    <w:rsid w:val="00AA17FE"/>
    <w:rsid w:val="00AE4D18"/>
    <w:rsid w:val="00AE7532"/>
    <w:rsid w:val="00AF5641"/>
    <w:rsid w:val="00B10628"/>
    <w:rsid w:val="00B23E06"/>
    <w:rsid w:val="00B52BE1"/>
    <w:rsid w:val="00B8481D"/>
    <w:rsid w:val="00B93B4E"/>
    <w:rsid w:val="00BB5CCB"/>
    <w:rsid w:val="00BC1507"/>
    <w:rsid w:val="00BE3036"/>
    <w:rsid w:val="00C16E6F"/>
    <w:rsid w:val="00C351AF"/>
    <w:rsid w:val="00C759D0"/>
    <w:rsid w:val="00C810D3"/>
    <w:rsid w:val="00CA61A9"/>
    <w:rsid w:val="00CE7D68"/>
    <w:rsid w:val="00CF238D"/>
    <w:rsid w:val="00D11D99"/>
    <w:rsid w:val="00D2296D"/>
    <w:rsid w:val="00D22A06"/>
    <w:rsid w:val="00D72B4C"/>
    <w:rsid w:val="00DA3F1E"/>
    <w:rsid w:val="00DA73AF"/>
    <w:rsid w:val="00DC3353"/>
    <w:rsid w:val="00DC3EE3"/>
    <w:rsid w:val="00E15E55"/>
    <w:rsid w:val="00E471F8"/>
    <w:rsid w:val="00E526F2"/>
    <w:rsid w:val="00E62B3D"/>
    <w:rsid w:val="00E70DF0"/>
    <w:rsid w:val="00E85D67"/>
    <w:rsid w:val="00EA33FF"/>
    <w:rsid w:val="00EA4C52"/>
    <w:rsid w:val="00EC6DAA"/>
    <w:rsid w:val="00EC7158"/>
    <w:rsid w:val="00ED1218"/>
    <w:rsid w:val="00EE5063"/>
    <w:rsid w:val="00EF3194"/>
    <w:rsid w:val="00F9083D"/>
    <w:rsid w:val="00FA3895"/>
    <w:rsid w:val="00FB5286"/>
    <w:rsid w:val="00FB7A2D"/>
    <w:rsid w:val="01046419"/>
    <w:rsid w:val="020D6941"/>
    <w:rsid w:val="028F6BE0"/>
    <w:rsid w:val="034C2F52"/>
    <w:rsid w:val="04E92477"/>
    <w:rsid w:val="060A011A"/>
    <w:rsid w:val="080E2BAF"/>
    <w:rsid w:val="0ABE495C"/>
    <w:rsid w:val="0B7328FD"/>
    <w:rsid w:val="0BCB1F0A"/>
    <w:rsid w:val="0C9F4A0B"/>
    <w:rsid w:val="0E273E6C"/>
    <w:rsid w:val="11082436"/>
    <w:rsid w:val="13947AD3"/>
    <w:rsid w:val="158A2658"/>
    <w:rsid w:val="158E72E0"/>
    <w:rsid w:val="16B14386"/>
    <w:rsid w:val="178562F6"/>
    <w:rsid w:val="18171409"/>
    <w:rsid w:val="1871248E"/>
    <w:rsid w:val="1AFD5B77"/>
    <w:rsid w:val="1B18764C"/>
    <w:rsid w:val="1C1C77F0"/>
    <w:rsid w:val="1D35335A"/>
    <w:rsid w:val="1D7F02EE"/>
    <w:rsid w:val="1D8F3C53"/>
    <w:rsid w:val="1E5932A8"/>
    <w:rsid w:val="2165505F"/>
    <w:rsid w:val="21722E7F"/>
    <w:rsid w:val="220E0DFA"/>
    <w:rsid w:val="22F60BFD"/>
    <w:rsid w:val="24227894"/>
    <w:rsid w:val="24262314"/>
    <w:rsid w:val="24CC0119"/>
    <w:rsid w:val="271F6F83"/>
    <w:rsid w:val="29C25353"/>
    <w:rsid w:val="29E631D7"/>
    <w:rsid w:val="2A221E49"/>
    <w:rsid w:val="2BA030C2"/>
    <w:rsid w:val="2BC02996"/>
    <w:rsid w:val="2BD433D6"/>
    <w:rsid w:val="2F0D3CF0"/>
    <w:rsid w:val="2F5C4542"/>
    <w:rsid w:val="32A9256B"/>
    <w:rsid w:val="32AE6AA0"/>
    <w:rsid w:val="3330097C"/>
    <w:rsid w:val="36952654"/>
    <w:rsid w:val="36BB1984"/>
    <w:rsid w:val="37DA1C37"/>
    <w:rsid w:val="39636D05"/>
    <w:rsid w:val="39E529B5"/>
    <w:rsid w:val="3A5510BC"/>
    <w:rsid w:val="3A55415D"/>
    <w:rsid w:val="3CDD09B4"/>
    <w:rsid w:val="3CF864FD"/>
    <w:rsid w:val="3D823F0E"/>
    <w:rsid w:val="3D8F3625"/>
    <w:rsid w:val="3E1C4D32"/>
    <w:rsid w:val="3E300685"/>
    <w:rsid w:val="3F165ACD"/>
    <w:rsid w:val="40426D63"/>
    <w:rsid w:val="4060496F"/>
    <w:rsid w:val="42C4798B"/>
    <w:rsid w:val="42D261AF"/>
    <w:rsid w:val="43C2407B"/>
    <w:rsid w:val="43E257B4"/>
    <w:rsid w:val="4496707C"/>
    <w:rsid w:val="4523628B"/>
    <w:rsid w:val="484C6A03"/>
    <w:rsid w:val="4BAD15EE"/>
    <w:rsid w:val="4BDE7972"/>
    <w:rsid w:val="4C1F1C7B"/>
    <w:rsid w:val="4CF55F1E"/>
    <w:rsid w:val="4E1E20C7"/>
    <w:rsid w:val="4E3F2145"/>
    <w:rsid w:val="4F9A3B43"/>
    <w:rsid w:val="51593E0B"/>
    <w:rsid w:val="519B63B5"/>
    <w:rsid w:val="51BE12F8"/>
    <w:rsid w:val="541A704A"/>
    <w:rsid w:val="54846CD3"/>
    <w:rsid w:val="58A67112"/>
    <w:rsid w:val="58F2629D"/>
    <w:rsid w:val="58F4280F"/>
    <w:rsid w:val="598B38F0"/>
    <w:rsid w:val="5BDE751B"/>
    <w:rsid w:val="5C3F77E0"/>
    <w:rsid w:val="5C4200CE"/>
    <w:rsid w:val="5C79326A"/>
    <w:rsid w:val="5C955D82"/>
    <w:rsid w:val="5D610403"/>
    <w:rsid w:val="5DFB707D"/>
    <w:rsid w:val="5F9A3EA5"/>
    <w:rsid w:val="60343BAD"/>
    <w:rsid w:val="60494A50"/>
    <w:rsid w:val="612A51A9"/>
    <w:rsid w:val="64023F47"/>
    <w:rsid w:val="64552344"/>
    <w:rsid w:val="651942F4"/>
    <w:rsid w:val="65404DA2"/>
    <w:rsid w:val="66233B3A"/>
    <w:rsid w:val="67EB36EB"/>
    <w:rsid w:val="680E1037"/>
    <w:rsid w:val="68BB5A9D"/>
    <w:rsid w:val="691F2659"/>
    <w:rsid w:val="6AF66E49"/>
    <w:rsid w:val="6C741005"/>
    <w:rsid w:val="6DE273CB"/>
    <w:rsid w:val="71916214"/>
    <w:rsid w:val="728F6877"/>
    <w:rsid w:val="7349787D"/>
    <w:rsid w:val="74824FCD"/>
    <w:rsid w:val="748922C2"/>
    <w:rsid w:val="74C212DC"/>
    <w:rsid w:val="7627167B"/>
    <w:rsid w:val="76A70EDB"/>
    <w:rsid w:val="76E316D1"/>
    <w:rsid w:val="774C5829"/>
    <w:rsid w:val="77C94BDA"/>
    <w:rsid w:val="791752BB"/>
    <w:rsid w:val="79B25E17"/>
    <w:rsid w:val="7BD80ACC"/>
    <w:rsid w:val="7C4C19A1"/>
    <w:rsid w:val="7E69341C"/>
    <w:rsid w:val="7E9755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Calibri" w:hAnsi="Calibri"/>
      <w:szCs w:val="20"/>
    </w:rPr>
  </w:style>
  <w:style w:type="paragraph" w:styleId="3">
    <w:name w:val="Body Text"/>
    <w:basedOn w:val="1"/>
    <w:autoRedefine/>
    <w:qFormat/>
    <w:uiPriority w:val="0"/>
    <w:pPr>
      <w:spacing w:line="400" w:lineRule="atLeast"/>
    </w:pPr>
    <w:rPr>
      <w:rFonts w:ascii="楷体_GB2312" w:eastAsia="楷体_GB2312"/>
      <w:sz w:val="32"/>
    </w:rPr>
  </w:style>
  <w:style w:type="paragraph" w:styleId="4">
    <w:name w:val="Body Text Indent"/>
    <w:basedOn w:val="1"/>
    <w:autoRedefine/>
    <w:qFormat/>
    <w:uiPriority w:val="0"/>
    <w:pPr>
      <w:spacing w:line="360" w:lineRule="auto"/>
      <w:ind w:firstLine="200" w:firstLineChars="200"/>
    </w:pPr>
    <w:rPr>
      <w:rFonts w:ascii="方正仿宋_GBK" w:eastAsia="方正仿宋_GBK"/>
      <w:sz w:val="30"/>
    </w:rPr>
  </w:style>
  <w:style w:type="paragraph" w:styleId="5">
    <w:name w:val="Plain Text"/>
    <w:basedOn w:val="1"/>
    <w:autoRedefine/>
    <w:qFormat/>
    <w:uiPriority w:val="0"/>
    <w:rPr>
      <w:rFonts w:ascii="宋体" w:hAnsi="Courier New"/>
    </w:rPr>
  </w:style>
  <w:style w:type="paragraph" w:styleId="6">
    <w:name w:val="Date"/>
    <w:basedOn w:val="1"/>
    <w:next w:val="1"/>
    <w:link w:val="16"/>
    <w:autoRedefine/>
    <w:qFormat/>
    <w:uiPriority w:val="0"/>
    <w:pPr>
      <w:ind w:left="100" w:leftChars="2500"/>
    </w:pPr>
  </w:style>
  <w:style w:type="paragraph" w:styleId="7">
    <w:name w:val="Body Text Indent 2"/>
    <w:basedOn w:val="1"/>
    <w:next w:val="8"/>
    <w:qFormat/>
    <w:uiPriority w:val="0"/>
    <w:pPr>
      <w:adjustRightInd/>
      <w:spacing w:line="360" w:lineRule="auto"/>
      <w:ind w:firstLine="200" w:firstLineChars="200"/>
      <w:jc w:val="both"/>
    </w:pPr>
    <w:rPr>
      <w:rFonts w:ascii="Times New Roman" w:hAnsi="Times New Roman" w:eastAsia="宋体" w:cs="Times New Roman"/>
      <w:color w:val="auto"/>
      <w:kern w:val="2"/>
      <w:sz w:val="30"/>
      <w:szCs w:val="30"/>
    </w:rPr>
  </w:style>
  <w:style w:type="paragraph" w:customStyle="1" w:styleId="8">
    <w:name w:val="p0"/>
    <w:next w:val="9"/>
    <w:qFormat/>
    <w:uiPriority w:val="0"/>
    <w:pPr>
      <w:spacing w:line="365" w:lineRule="atLeast"/>
      <w:ind w:left="1"/>
    </w:pPr>
    <w:rPr>
      <w:rFonts w:ascii="Times New Roman" w:hAnsi="Times New Roman" w:eastAsia="宋体" w:cs="Times New Roman"/>
      <w:sz w:val="24"/>
      <w:lang w:val="en-US" w:eastAsia="zh-CN" w:bidi="ar-SA"/>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alloon Text"/>
    <w:basedOn w:val="1"/>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Normal (Web)"/>
    <w:basedOn w:val="1"/>
    <w:autoRedefine/>
    <w:qFormat/>
    <w:uiPriority w:val="0"/>
    <w:pPr>
      <w:widowControl/>
      <w:spacing w:before="100" w:beforeAutospacing="1" w:after="100" w:afterAutospacing="1"/>
      <w:jc w:val="left"/>
    </w:pPr>
    <w:rPr>
      <w:rFonts w:ascii="宋体"/>
      <w:color w:val="000000"/>
      <w:kern w:val="0"/>
      <w:sz w:val="24"/>
    </w:rPr>
  </w:style>
  <w:style w:type="character" w:styleId="15">
    <w:name w:val="page number"/>
    <w:basedOn w:val="14"/>
    <w:autoRedefine/>
    <w:qFormat/>
    <w:uiPriority w:val="0"/>
  </w:style>
  <w:style w:type="character" w:customStyle="1" w:styleId="16">
    <w:name w:val="日期 Char"/>
    <w:basedOn w:val="14"/>
    <w:link w:val="6"/>
    <w:autoRedefine/>
    <w:qFormat/>
    <w:uiPriority w:val="0"/>
    <w:rPr>
      <w:rFonts w:eastAsia="宋体"/>
      <w:kern w:val="2"/>
      <w:sz w:val="21"/>
      <w:szCs w:val="24"/>
    </w:rPr>
  </w:style>
  <w:style w:type="paragraph" w:customStyle="1" w:styleId="17">
    <w:name w:val="正文文字"/>
    <w:basedOn w:val="1"/>
    <w:next w:val="1"/>
    <w:autoRedefine/>
    <w:qFormat/>
    <w:uiPriority w:val="99"/>
    <w:pPr>
      <w:spacing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Company>
  <Pages>13</Pages>
  <Words>4400</Words>
  <Characters>4761</Characters>
  <Lines>30</Lines>
  <Paragraphs>8</Paragraphs>
  <TotalTime>2</TotalTime>
  <ScaleCrop>false</ScaleCrop>
  <LinksUpToDate>false</LinksUpToDate>
  <CharactersWithSpaces>4811</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2023-02-20T00:29:00Z</dcterms:created>
  <dc:creator>lzlyc</dc:creator>
  <cp:lastModifiedBy>Oen  person</cp:lastModifiedBy>
  <cp:lastPrinted>2023-02-06T09:18:00Z</cp:lastPrinted>
  <dcterms:modified xsi:type="dcterms:W3CDTF">2024-11-27T09:06:43Z</dcterms:modified>
  <dc:title>此件拟比照国务院办公厅发文由省政府办公厅转发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3EC8E4F5062F4CA599939CC74CD3EE64</vt:lpwstr>
  </property>
</Properties>
</file>