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67C1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9B80EB9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F9A50E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682EB0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01400299">
      <w:pPr>
        <w:tabs>
          <w:tab w:val="left" w:pos="7560"/>
        </w:tabs>
        <w:adjustRightInd w:val="0"/>
        <w:snapToGrid w:val="0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方正小标宋简体"/>
          <w:bCs/>
          <w:sz w:val="84"/>
          <w:szCs w:val="84"/>
          <w:lang w:val="en-US" w:eastAsia="zh-CN"/>
        </w:rPr>
        <w:t>驻醴株洲市国有企业改革事务中心</w:t>
      </w:r>
      <w:r>
        <w:rPr>
          <w:rFonts w:eastAsia="方正小标宋简体"/>
          <w:bCs/>
          <w:sz w:val="84"/>
          <w:szCs w:val="84"/>
        </w:rPr>
        <w:t>2023年</w:t>
      </w:r>
      <w:r>
        <w:rPr>
          <w:rFonts w:hint="eastAsia" w:eastAsia="方正小标宋简体"/>
          <w:bCs/>
          <w:sz w:val="84"/>
          <w:szCs w:val="84"/>
          <w:lang w:val="en-US" w:eastAsia="zh-CN"/>
        </w:rPr>
        <w:t xml:space="preserve">            </w:t>
      </w:r>
      <w:r>
        <w:rPr>
          <w:rFonts w:eastAsia="方正小标宋简体"/>
          <w:bCs/>
          <w:sz w:val="84"/>
          <w:szCs w:val="84"/>
        </w:rPr>
        <w:t>部门预算</w:t>
      </w:r>
    </w:p>
    <w:p w14:paraId="0AF3728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3580D4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E30F43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4D2ED2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2FD86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25F8D5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6B7531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3CD5C9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A95750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1C727F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744F4B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120172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0027A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0F5AD1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B27DE7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55B0C5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1BF6AC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F040EA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46AD493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258CB88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1EC8DF7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7BA0EE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2E6FC51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48C3839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769D2F8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568A47A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1B49FDC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105076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135AFE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31FD1B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050CCB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0F6BCFF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2A45FB0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4F5B60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4F205EE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556F7C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5544F2D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480C1FB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2CDBC6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5B50CE4A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33A6A4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部门收支总体情况表</w:t>
      </w:r>
    </w:p>
    <w:p w14:paraId="27DA97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部门收入总体情况表</w:t>
      </w:r>
    </w:p>
    <w:p w14:paraId="03DC235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</w:t>
      </w:r>
      <w:r>
        <w:rPr>
          <w:rFonts w:hint="eastAsia" w:hAnsi="仿宋_GB2312" w:eastAsia="仿宋_GB2312"/>
          <w:sz w:val="32"/>
          <w:szCs w:val="32"/>
        </w:rPr>
        <w:t>部门支出总体情况表</w:t>
      </w:r>
    </w:p>
    <w:p w14:paraId="1D90246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562FB87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37E08F6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</w:t>
      </w:r>
      <w:r>
        <w:rPr>
          <w:rFonts w:hint="eastAsia" w:hAnsi="仿宋_GB2312" w:eastAsia="仿宋_GB2312"/>
          <w:sz w:val="32"/>
          <w:szCs w:val="32"/>
        </w:rPr>
        <w:t>财政拨款收支总体情况表</w:t>
      </w:r>
    </w:p>
    <w:p w14:paraId="11F0F7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</w:t>
      </w:r>
      <w:r>
        <w:rPr>
          <w:rFonts w:hint="eastAsia" w:hAnsi="仿宋_GB2312" w:eastAsia="仿宋_GB2312"/>
          <w:sz w:val="32"/>
          <w:szCs w:val="32"/>
        </w:rPr>
        <w:t>一般公共预算支出情况表</w:t>
      </w:r>
    </w:p>
    <w:p w14:paraId="5AD358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（八）</w:t>
      </w:r>
      <w:r>
        <w:rPr>
          <w:rFonts w:hint="eastAsia" w:hAnsi="仿宋_GB2312" w:eastAsia="仿宋_GB2312"/>
          <w:sz w:val="32"/>
          <w:szCs w:val="32"/>
        </w:rPr>
        <w:t>一般公共预算基本支出情况表</w:t>
      </w:r>
    </w:p>
    <w:p w14:paraId="48BEE74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hAnsi="仿宋_GB2312" w:eastAsia="仿宋_GB2312"/>
          <w:sz w:val="32"/>
          <w:szCs w:val="32"/>
          <w:lang w:eastAsia="zh-CN"/>
        </w:rPr>
        <w:t>）</w:t>
      </w:r>
      <w:r>
        <w:rPr>
          <w:rFonts w:hAnsi="仿宋_GB2312" w:eastAsia="仿宋_GB2312"/>
          <w:sz w:val="32"/>
          <w:szCs w:val="32"/>
        </w:rPr>
        <w:t>工资福利（政府预算）</w:t>
      </w:r>
    </w:p>
    <w:p w14:paraId="28ED045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（十）工资福利</w:t>
      </w:r>
    </w:p>
    <w:p w14:paraId="5261D2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68655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68DDC5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733BD1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5A9C9F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</w:rPr>
        <w:t>一般公共预算“三公”经费支出情况表</w:t>
      </w:r>
    </w:p>
    <w:p w14:paraId="5C50E31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（十六）</w:t>
      </w:r>
      <w:r>
        <w:rPr>
          <w:rFonts w:hint="eastAsia" w:hAnsi="仿宋_GB2312" w:eastAsia="仿宋_GB2312"/>
          <w:sz w:val="32"/>
          <w:szCs w:val="32"/>
        </w:rPr>
        <w:t>政府性基金预算支出情况表</w:t>
      </w:r>
    </w:p>
    <w:p w14:paraId="778380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81750A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419674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</w:p>
    <w:p w14:paraId="118B107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</w:p>
    <w:p w14:paraId="21DABB7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（二十一）专项清单</w:t>
      </w:r>
    </w:p>
    <w:p w14:paraId="2F435BA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568AF63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454F8E5E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表金额单位转换时可能存在尾数误差）</w:t>
      </w:r>
    </w:p>
    <w:p w14:paraId="54F81124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CCC650F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7123D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527F9398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56D2475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驻醴株洲市国有企业改革事务中心</w:t>
      </w:r>
    </w:p>
    <w:p w14:paraId="5075A2F4">
      <w:pPr>
        <w:tabs>
          <w:tab w:val="left" w:pos="7560"/>
        </w:tabs>
        <w:adjustRightInd w:val="0"/>
        <w:snapToGrid w:val="0"/>
        <w:spacing w:line="560" w:lineRule="exact"/>
        <w:ind w:firstLine="2200" w:firstLineChars="500"/>
        <w:jc w:val="both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 w14:paraId="3093B0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0712AA2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 部门职能职责</w:t>
      </w:r>
    </w:p>
    <w:p w14:paraId="40BD597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</w:t>
      </w:r>
      <w:r>
        <w:rPr>
          <w:rFonts w:hint="eastAsia" w:eastAsia="仿宋_GB2312"/>
          <w:sz w:val="32"/>
          <w:szCs w:val="32"/>
        </w:rPr>
        <w:t xml:space="preserve">负责原株洲市属14家国有企业(其中4家企业已改制，10家企业未改制)的改制维稳工作及解决遗留问题。 </w:t>
      </w:r>
    </w:p>
    <w:p w14:paraId="08CDC89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75974F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both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本单位为</w:t>
      </w:r>
      <w:r>
        <w:rPr>
          <w:rFonts w:hint="eastAsia" w:eastAsia="仿宋_GB2312"/>
          <w:sz w:val="32"/>
          <w:szCs w:val="32"/>
          <w:lang w:val="en-US" w:eastAsia="zh-CN"/>
        </w:rPr>
        <w:t>醴陵市科技和工业信息化局</w:t>
      </w:r>
      <w:r>
        <w:rPr>
          <w:rFonts w:eastAsia="仿宋_GB2312"/>
          <w:sz w:val="32"/>
          <w:szCs w:val="32"/>
        </w:rPr>
        <w:t>局下属二级预算单位，</w:t>
      </w:r>
      <w:r>
        <w:rPr>
          <w:rFonts w:eastAsia="仿宋_GB2312"/>
          <w:color w:val="000000"/>
          <w:sz w:val="32"/>
          <w:szCs w:val="32"/>
        </w:rPr>
        <w:t>属于副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科</w:t>
      </w:r>
      <w:r>
        <w:rPr>
          <w:rFonts w:eastAsia="仿宋_GB2312"/>
          <w:color w:val="000000"/>
          <w:sz w:val="32"/>
          <w:szCs w:val="32"/>
        </w:rPr>
        <w:t>级全额拨款事业单位、公益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二</w:t>
      </w:r>
      <w:r>
        <w:rPr>
          <w:rFonts w:eastAsia="仿宋_GB2312"/>
          <w:color w:val="000000"/>
          <w:sz w:val="32"/>
          <w:szCs w:val="32"/>
        </w:rPr>
        <w:t>类事业单位，共有编制人数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人，实有人数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人。内设科室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个，分别为：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综合股、改制股和财务股。</w:t>
      </w:r>
    </w:p>
    <w:p w14:paraId="4F123F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5E1BD93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驻醴株洲市国有企业改革事务中心只有本级，没有其他预算单位，因此纳入2023年部门预算编制范围的只有驻醴株洲市国有企业改革事务中心本级</w:t>
      </w:r>
      <w:r>
        <w:rPr>
          <w:rFonts w:eastAsia="仿宋_GB2312"/>
          <w:color w:val="000000"/>
          <w:sz w:val="32"/>
          <w:szCs w:val="32"/>
        </w:rPr>
        <w:t>。</w:t>
      </w:r>
    </w:p>
    <w:p w14:paraId="04BAA26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3C4C94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  <w:lang w:val="en-US" w:eastAsia="zh-CN"/>
        </w:rPr>
        <w:t>驻醴株洲市国有企业改革事务中心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hint="eastAsia" w:eastAsia="仿宋_GB2312"/>
          <w:sz w:val="32"/>
          <w:szCs w:val="32"/>
          <w:lang w:val="en-US" w:eastAsia="zh-CN"/>
        </w:rPr>
        <w:t>中心机关</w:t>
      </w:r>
      <w:r>
        <w:rPr>
          <w:rFonts w:eastAsia="仿宋_GB2312"/>
          <w:sz w:val="32"/>
          <w:szCs w:val="32"/>
        </w:rPr>
        <w:t>预算。收入包括一般公共预算收入、上级财政补助收入；支出既包括保障</w:t>
      </w:r>
      <w:r>
        <w:rPr>
          <w:rFonts w:hint="eastAsia" w:eastAsia="仿宋_GB2312"/>
          <w:sz w:val="32"/>
          <w:szCs w:val="32"/>
          <w:lang w:val="en-US" w:eastAsia="zh-CN"/>
        </w:rPr>
        <w:t>中心</w:t>
      </w:r>
      <w:r>
        <w:rPr>
          <w:rFonts w:eastAsia="仿宋_GB2312"/>
          <w:sz w:val="32"/>
          <w:szCs w:val="32"/>
        </w:rPr>
        <w:t>机关基本运行的经费，也包括</w:t>
      </w:r>
      <w:r>
        <w:rPr>
          <w:rFonts w:hint="eastAsia" w:eastAsia="仿宋_GB2312"/>
          <w:sz w:val="32"/>
          <w:szCs w:val="32"/>
        </w:rPr>
        <w:t>解决遗留问题的专项经费</w:t>
      </w:r>
      <w:r>
        <w:rPr>
          <w:rFonts w:eastAsia="仿宋_GB2312"/>
          <w:sz w:val="32"/>
          <w:szCs w:val="32"/>
        </w:rPr>
        <w:t>。（详见附表）</w:t>
      </w:r>
    </w:p>
    <w:p w14:paraId="6C71E1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6137.01</w:t>
      </w:r>
      <w:r>
        <w:rPr>
          <w:rFonts w:eastAsia="仿宋_GB2312"/>
          <w:sz w:val="32"/>
          <w:szCs w:val="32"/>
        </w:rPr>
        <w:t>万元，其中，一般公共预算</w:t>
      </w:r>
      <w:r>
        <w:rPr>
          <w:rFonts w:eastAsia="仿宋_GB2312"/>
          <w:sz w:val="32"/>
          <w:szCs w:val="32"/>
          <w:highlight w:val="none"/>
        </w:rPr>
        <w:t>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6137.01</w:t>
      </w:r>
      <w:r>
        <w:rPr>
          <w:rFonts w:eastAsia="仿宋_GB2312"/>
          <w:sz w:val="32"/>
          <w:szCs w:val="32"/>
          <w:highlight w:val="none"/>
        </w:rPr>
        <w:t>万</w:t>
      </w:r>
      <w:r>
        <w:rPr>
          <w:rFonts w:eastAsia="仿宋_GB2312"/>
          <w:sz w:val="32"/>
          <w:szCs w:val="32"/>
        </w:rPr>
        <w:t>元。因上年结转数暂未最终确定，本年度收支预算中均不含上年结转数字。</w:t>
      </w:r>
    </w:p>
    <w:p w14:paraId="5E4C2F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6137.01</w:t>
      </w:r>
      <w:r>
        <w:rPr>
          <w:rFonts w:eastAsia="仿宋_GB2312"/>
          <w:sz w:val="32"/>
          <w:szCs w:val="32"/>
        </w:rPr>
        <w:t>万元，其中，</w:t>
      </w:r>
      <w:r>
        <w:rPr>
          <w:rFonts w:eastAsia="仿宋_GB2312"/>
          <w:sz w:val="32"/>
          <w:szCs w:val="32"/>
          <w:highlight w:val="none"/>
        </w:rPr>
        <w:t>一般公共服务支出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287.33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</w:rPr>
        <w:t>社会保障和就业支出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5840.51万元，卫生健康支出2.14万元，住房保障支出7.02万元,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共安全支出0万元，国防支出0万元，教育支出0万元，科学技术支出0万元，文化旅游体育与传媒支出0万元，社会保险基金支出0万元，节能环保支出0万元，城乡社区支出0万元，农林水支出0万元，交通运输支出0万元，资源勘探信息等支出0万元，商业服务业等支出0万元，金融支出0万元，援助其他地区支出0万元，自然资源海洋气象等支出0万元，粮油物资储备支出0万元，国有资本经营预算支出0万元，灾害防治及应急管理支出0万元，预备费0万元，其他支出0万元，转移性支出0万元，债务还本支出0万元，债务付息支出0万元，债务发行费用支出0万元，抗疫特别国债安排的支出0万元。</w:t>
      </w:r>
    </w:p>
    <w:p w14:paraId="7FCAF5BF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75.61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27.46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13.18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12.57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17.67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4.73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06D70D3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6061.40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67C8DAE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工作性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14.40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未改制企业维稳、及解决遗留问题。</w:t>
      </w:r>
    </w:p>
    <w:p w14:paraId="02A9CFA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重点专项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6047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10家未改制企业改制遗留问题处置专项。其中215万元用于改制遗留问题处置，另外5832万元用于10家未改制企业职工到期退休补缴养老保险。</w:t>
      </w:r>
    </w:p>
    <w:p w14:paraId="29DEF8A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6137.01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6063.48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auto"/>
          <w:sz w:val="32"/>
          <w:szCs w:val="32"/>
        </w:rPr>
        <w:t>主要原因是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2023年度将10家未改制企业补缴职工养老保险费用纳入年初预算。</w:t>
      </w:r>
    </w:p>
    <w:p w14:paraId="419691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43FA87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6137.01</w:t>
      </w:r>
      <w:r>
        <w:rPr>
          <w:rFonts w:eastAsia="仿宋_GB2312"/>
          <w:sz w:val="32"/>
          <w:szCs w:val="32"/>
        </w:rPr>
        <w:t>万元，具体安排如下：</w:t>
      </w:r>
    </w:p>
    <w:p w14:paraId="66CD6D29">
      <w:pPr>
        <w:pStyle w:val="7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一般公共服务支出（类）政府办公厅（室）及相关机构事务（款）其他政府办公厅（室）及相关机构事务支出项）</w:t>
      </w:r>
    </w:p>
    <w:p w14:paraId="0970B5CF">
      <w:pPr>
        <w:pStyle w:val="7"/>
        <w:numPr>
          <w:ilvl w:val="0"/>
          <w:numId w:val="0"/>
        </w:num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2023年预算支出215万元。</w:t>
      </w:r>
    </w:p>
    <w:p w14:paraId="6BC0F3F5">
      <w:pPr>
        <w:pStyle w:val="7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一般公共服务支出（类）政府办公厅（室）及相关机构事务（款）行政运行（项）</w:t>
      </w:r>
    </w:p>
    <w:p w14:paraId="4C4223ED">
      <w:pPr>
        <w:pStyle w:val="8"/>
        <w:numPr>
          <w:ilvl w:val="0"/>
          <w:numId w:val="0"/>
        </w:numPr>
        <w:ind w:firstLine="640" w:firstLineChars="20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2023年预算支出72.33万元。</w:t>
      </w:r>
    </w:p>
    <w:p w14:paraId="62E71B30">
      <w:pPr>
        <w:pStyle w:val="8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3、卫生健康支出（类）行政事业单位医疗（款）行政单位医疗（项）</w:t>
      </w:r>
    </w:p>
    <w:p w14:paraId="5D70C929">
      <w:pPr>
        <w:pStyle w:val="8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2023年预算支出2.14万元。</w:t>
      </w:r>
    </w:p>
    <w:p w14:paraId="332B231F">
      <w:pPr>
        <w:pStyle w:val="8"/>
        <w:numPr>
          <w:ilvl w:val="0"/>
          <w:numId w:val="0"/>
        </w:num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7A86E672">
      <w:pPr>
        <w:pStyle w:val="8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4、社会保障和就业支出（类）财政代缴社会保险费支出（款）财政代缴其他社会保险费支出（项）</w:t>
      </w:r>
    </w:p>
    <w:p w14:paraId="44E7F1A0">
      <w:pPr>
        <w:pStyle w:val="8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2023年预算支出5832万元。</w:t>
      </w:r>
    </w:p>
    <w:p w14:paraId="11B87B7D">
      <w:pPr>
        <w:pStyle w:val="8"/>
        <w:numPr>
          <w:ilvl w:val="0"/>
          <w:numId w:val="0"/>
        </w:numPr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05019753">
      <w:pPr>
        <w:pStyle w:val="8"/>
        <w:numPr>
          <w:ilvl w:val="0"/>
          <w:numId w:val="0"/>
        </w:numPr>
        <w:ind w:firstLine="640" w:firstLineChars="20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5、 社会保障和就业支出（类）行政事业单位养老支出（款）机关事业单位基本养老保险缴费支出（项）</w:t>
      </w:r>
    </w:p>
    <w:p w14:paraId="6CA6F3E6">
      <w:pPr>
        <w:pStyle w:val="8"/>
        <w:numPr>
          <w:ilvl w:val="0"/>
          <w:numId w:val="0"/>
        </w:numPr>
        <w:ind w:left="-10" w:leftChars="0" w:firstLine="640" w:firstLineChars="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2023年预算支出8.51万元。</w:t>
      </w:r>
    </w:p>
    <w:p w14:paraId="1F69136D">
      <w:pPr>
        <w:pStyle w:val="8"/>
        <w:numPr>
          <w:ilvl w:val="0"/>
          <w:numId w:val="0"/>
        </w:numPr>
        <w:ind w:left="638" w:leftChars="304" w:firstLine="0" w:firstLineChars="0"/>
        <w:rPr>
          <w:rFonts w:hint="default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6、住房保障支出（类）住房改革</w:t>
      </w:r>
      <w:bookmarkStart w:id="1" w:name="_GoBack"/>
      <w:bookmarkEnd w:id="1"/>
      <w:r>
        <w:rPr>
          <w:rFonts w:hint="eastAsia" w:eastAsia="仿宋_GB2312" w:cs="Times New Roman"/>
          <w:sz w:val="32"/>
          <w:szCs w:val="32"/>
          <w:lang w:val="en-US" w:eastAsia="zh-CN"/>
        </w:rPr>
        <w:t>支出（款）住房公积金（项）2023年预算支出7.02万元。</w:t>
      </w:r>
    </w:p>
    <w:p w14:paraId="44DC6E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6684474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1FA6730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70.88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27.46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13.18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12.57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17.67</w:t>
      </w:r>
      <w:r>
        <w:rPr>
          <w:rFonts w:eastAsia="仿宋_GB2312"/>
          <w:sz w:val="32"/>
          <w:szCs w:val="32"/>
        </w:rPr>
        <w:t>万元。</w:t>
      </w:r>
    </w:p>
    <w:p w14:paraId="08BD12D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2、公用类支出。2023年年初预算数为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4.73</w:t>
      </w:r>
      <w:r>
        <w:rPr>
          <w:rFonts w:hint="eastAsia" w:eastAsia="仿宋_GB2312"/>
          <w:sz w:val="32"/>
          <w:szCs w:val="32"/>
        </w:rPr>
        <w:t>万元。其中</w:t>
      </w:r>
      <w:r>
        <w:rPr>
          <w:rFonts w:hint="eastAsia" w:eastAsia="仿宋_GB2312"/>
          <w:sz w:val="32"/>
          <w:szCs w:val="32"/>
          <w:lang w:val="en-US" w:eastAsia="zh-CN"/>
        </w:rPr>
        <w:t>包括办公费1.80万元、福利费1.76万元，工会经费1.17万元。</w:t>
      </w:r>
    </w:p>
    <w:p w14:paraId="07B952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1FC978F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1、其他运转类支出。2023年年初预算数为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14.4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val="en-US" w:eastAsia="zh-CN"/>
        </w:rPr>
        <w:t>运转类支出为未改制企业维稳、及解决遗留问题。</w:t>
      </w:r>
    </w:p>
    <w:p w14:paraId="17326E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2、特定目标类支出</w:t>
      </w:r>
    </w:p>
    <w:p w14:paraId="146E75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（1）</w:t>
      </w:r>
      <w:r>
        <w:rPr>
          <w:rFonts w:hint="eastAsia" w:eastAsia="仿宋_GB2312"/>
          <w:sz w:val="32"/>
          <w:szCs w:val="32"/>
          <w:lang w:val="en-US" w:eastAsia="zh-CN"/>
        </w:rPr>
        <w:t>改制遗留问题处置</w:t>
      </w:r>
      <w:r>
        <w:rPr>
          <w:rFonts w:eastAsia="仿宋_GB2312"/>
          <w:sz w:val="32"/>
          <w:szCs w:val="32"/>
        </w:rPr>
        <w:t>专项</w:t>
      </w:r>
      <w:r>
        <w:rPr>
          <w:rFonts w:hint="eastAsia" w:eastAsia="仿宋_GB2312"/>
          <w:sz w:val="32"/>
          <w:szCs w:val="32"/>
          <w:lang w:val="en-US" w:eastAsia="zh-CN"/>
        </w:rPr>
        <w:t>215</w:t>
      </w:r>
      <w:r>
        <w:rPr>
          <w:rFonts w:eastAsia="仿宋_GB2312"/>
          <w:sz w:val="32"/>
          <w:szCs w:val="32"/>
        </w:rPr>
        <w:t>万元。主要用于</w:t>
      </w:r>
      <w:r>
        <w:rPr>
          <w:rFonts w:hint="eastAsia" w:eastAsia="仿宋_GB2312"/>
          <w:sz w:val="32"/>
          <w:szCs w:val="32"/>
          <w:lang w:val="en-US" w:eastAsia="zh-CN"/>
        </w:rPr>
        <w:t>2023年期间10家未改制企业处理相应的遗留问题。</w:t>
      </w:r>
    </w:p>
    <w:p w14:paraId="7E41C5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</w:t>
      </w:r>
      <w:r>
        <w:rPr>
          <w:rFonts w:hint="eastAsia" w:eastAsia="仿宋_GB2312"/>
          <w:sz w:val="32"/>
          <w:szCs w:val="32"/>
          <w:lang w:val="en-US" w:eastAsia="zh-CN"/>
        </w:rPr>
        <w:t>10家未改制企业职工到期退休补缴养老保险</w:t>
      </w:r>
      <w:r>
        <w:rPr>
          <w:rFonts w:eastAsia="仿宋_GB2312"/>
          <w:sz w:val="32"/>
          <w:szCs w:val="32"/>
        </w:rPr>
        <w:t>专项</w:t>
      </w:r>
      <w:r>
        <w:rPr>
          <w:rFonts w:hint="eastAsia" w:eastAsia="仿宋_GB2312"/>
          <w:sz w:val="32"/>
          <w:szCs w:val="32"/>
          <w:lang w:val="en-US" w:eastAsia="zh-CN"/>
        </w:rPr>
        <w:t>5832</w:t>
      </w:r>
      <w:r>
        <w:rPr>
          <w:rFonts w:eastAsia="仿宋_GB2312"/>
          <w:sz w:val="32"/>
          <w:szCs w:val="32"/>
        </w:rPr>
        <w:t>万元。主要用于</w:t>
      </w:r>
      <w:r>
        <w:rPr>
          <w:rFonts w:hint="eastAsia" w:eastAsia="仿宋_GB2312"/>
          <w:sz w:val="32"/>
          <w:szCs w:val="32"/>
          <w:lang w:val="en-US" w:eastAsia="zh-CN"/>
        </w:rPr>
        <w:t>补缴2023年度10家未改制企业到期退休职工补缴养老保险。</w:t>
      </w:r>
    </w:p>
    <w:p w14:paraId="25A6B376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1B62370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lang w:eastAsia="zh-CN"/>
        </w:rPr>
      </w:pPr>
      <w:r>
        <w:rPr>
          <w:rFonts w:eastAsia="仿宋_GB2312"/>
          <w:bCs/>
          <w:color w:val="auto"/>
          <w:sz w:val="32"/>
          <w:szCs w:val="32"/>
        </w:rPr>
        <w:t>20</w:t>
      </w:r>
      <w:r>
        <w:rPr>
          <w:rFonts w:hint="eastAsia" w:eastAsia="仿宋_GB2312"/>
          <w:bCs/>
          <w:color w:val="auto"/>
          <w:sz w:val="32"/>
          <w:szCs w:val="32"/>
        </w:rPr>
        <w:t>23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 w14:paraId="61C4CFE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4CBB272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</w:t>
      </w:r>
      <w:r>
        <w:rPr>
          <w:rFonts w:eastAsia="仿宋_GB2312"/>
          <w:sz w:val="32"/>
          <w:szCs w:val="32"/>
          <w:highlight w:val="none"/>
        </w:rPr>
        <w:t>经费共安排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19.13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color w:val="auto"/>
          <w:sz w:val="32"/>
          <w:szCs w:val="32"/>
          <w:highlight w:val="none"/>
        </w:rPr>
        <w:t>比上年度预算减少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  <w:highlight w:val="none"/>
        </w:rPr>
        <w:t>万元，</w:t>
      </w:r>
      <w:r>
        <w:rPr>
          <w:rFonts w:eastAsia="仿宋_GB2312"/>
          <w:bCs/>
          <w:color w:val="auto"/>
          <w:sz w:val="32"/>
          <w:szCs w:val="32"/>
          <w:highlight w:val="none"/>
        </w:rPr>
        <w:t>减少的主要原因是：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按上级要求缩减机关运行经费。</w:t>
      </w:r>
    </w:p>
    <w:p w14:paraId="1E1D205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，货物类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  <w:lang w:eastAsia="zh-CN"/>
        </w:rPr>
        <w:t>万元，工程类0万元，服务类0万元</w:t>
      </w:r>
      <w:r>
        <w:rPr>
          <w:rFonts w:eastAsia="仿宋_GB2312"/>
          <w:sz w:val="32"/>
          <w:szCs w:val="32"/>
        </w:rPr>
        <w:t>。</w:t>
      </w:r>
    </w:p>
    <w:p w14:paraId="11D999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年12月31日，本部门共有办公及业务用房</w:t>
      </w:r>
      <w:r>
        <w:rPr>
          <w:rFonts w:hint="eastAsia" w:eastAsia="仿宋_GB2312"/>
          <w:sz w:val="32"/>
          <w:szCs w:val="32"/>
          <w:lang w:val="en-US" w:eastAsia="zh-CN"/>
        </w:rPr>
        <w:t>300</w:t>
      </w:r>
      <w:r>
        <w:rPr>
          <w:rFonts w:eastAsia="仿宋_GB2312"/>
          <w:sz w:val="32"/>
          <w:szCs w:val="32"/>
        </w:rPr>
        <w:t>平方米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办公用房由机关事务局调拨，未办理产权转移手续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；车辆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辆，其中一般公务用车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辆、一般执法执勤用车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辆、货币化用车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辆；单位价值</w:t>
      </w:r>
      <w:r>
        <w:rPr>
          <w:rFonts w:hint="eastAsia" w:eastAsia="仿宋_GB2312"/>
          <w:sz w:val="32"/>
          <w:szCs w:val="32"/>
          <w:lang w:val="en-US" w:eastAsia="zh-CN"/>
        </w:rPr>
        <w:t>200</w:t>
      </w:r>
      <w:r>
        <w:rPr>
          <w:rFonts w:eastAsia="仿宋_GB2312"/>
          <w:sz w:val="32"/>
          <w:szCs w:val="32"/>
        </w:rPr>
        <w:t>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43D7A3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6137.01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75.61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6061.4</w:t>
      </w:r>
      <w:r>
        <w:rPr>
          <w:rFonts w:eastAsia="仿宋_GB2312"/>
          <w:sz w:val="32"/>
          <w:szCs w:val="32"/>
        </w:rPr>
        <w:t>万元（详见附表）。 </w:t>
      </w:r>
    </w:p>
    <w:p w14:paraId="6E2F62E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  <w:r>
        <w:rPr>
          <w:rFonts w:eastAsia="仿宋_GB2312"/>
          <w:color w:val="auto"/>
          <w:sz w:val="32"/>
          <w:szCs w:val="32"/>
        </w:rPr>
        <w:t>本单位</w:t>
      </w:r>
      <w:bookmarkStart w:id="0" w:name="OLE_LINK1"/>
      <w:r>
        <w:rPr>
          <w:rFonts w:hint="eastAsia" w:eastAsia="仿宋_GB2312"/>
          <w:color w:val="000000"/>
          <w:sz w:val="32"/>
          <w:szCs w:val="32"/>
        </w:rPr>
        <w:t>2023年“三公”经费预算数0万元，其中：“因公出国（境）费”0万元、“公务用车购置及运行费”0万元（公务用车购置费0万元、公务用车运行费0万元）、“公务接待费”0万元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与上年持平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，无此安排。</w:t>
      </w:r>
    </w:p>
    <w:p w14:paraId="28DE73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18D6C2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6A94581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 w14:paraId="1FB4F8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未计划举办节庆、晚会、论坛、赛事活动。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5704EE33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 w14:paraId="4EBEF283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本单位20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年预算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未安排个人家庭收支预算；</w:t>
      </w:r>
    </w:p>
    <w:p w14:paraId="29F5606E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本单位20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年预算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未安排三公经费收支预算；</w:t>
      </w:r>
    </w:p>
    <w:p w14:paraId="2F8CD5AF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本单位20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年预算未安排政府性基金收支预算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40ECB4CA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本单位20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年预算未安排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国有资本经营</w:t>
      </w:r>
      <w:r>
        <w:rPr>
          <w:rFonts w:eastAsia="仿宋_GB2312"/>
          <w:color w:val="auto"/>
          <w:sz w:val="32"/>
          <w:szCs w:val="32"/>
          <w:highlight w:val="none"/>
        </w:rPr>
        <w:t>收支预算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6F5E7FE8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本单位20</w:t>
      </w:r>
      <w:r>
        <w:rPr>
          <w:rFonts w:hint="eastAsia" w:eastAsia="仿宋_GB2312"/>
          <w:color w:val="auto"/>
          <w:sz w:val="32"/>
          <w:szCs w:val="32"/>
          <w:highlight w:val="none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>年预算未安排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财政专户管理资金</w:t>
      </w:r>
      <w:r>
        <w:rPr>
          <w:rFonts w:eastAsia="仿宋_GB2312"/>
          <w:color w:val="auto"/>
          <w:sz w:val="32"/>
          <w:szCs w:val="32"/>
          <w:highlight w:val="none"/>
        </w:rPr>
        <w:t>收支预算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0317D87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本单位无门户网站，统一在政府门户网站上公开</w:t>
      </w:r>
    </w:p>
    <w:p w14:paraId="214501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2939AF3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2A2E898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67E3B964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20AE64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0B60677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234D417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265FE7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1FF9F75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36DF51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2B0D4A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20AD48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793F3F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351FB2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5B5E94F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5AD8E83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16EF72F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001AF32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0BA55531">
      <w:pPr>
        <w:tabs>
          <w:tab w:val="left" w:pos="7560"/>
        </w:tabs>
        <w:adjustRightInd w:val="0"/>
        <w:snapToGrid w:val="0"/>
        <w:spacing w:line="560" w:lineRule="exact"/>
        <w:rPr>
          <w:rFonts w:hint="eastAsia" w:eastAsia="楷体_GB2312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567" w:right="567" w:bottom="567" w:left="567" w:header="851" w:footer="1587" w:gutter="0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7A171">
    <w:pPr>
      <w:pStyle w:val="11"/>
      <w:framePr w:wrap="around" w:vAnchor="text" w:hAnchor="margin" w:xAlign="outside" w:y="1"/>
      <w:rPr>
        <w:rStyle w:val="15"/>
        <w:rFonts w:hint="eastAsia" w:ascii="宋体"/>
        <w:sz w:val="28"/>
        <w:szCs w:val="28"/>
      </w:rPr>
    </w:pPr>
    <w:r>
      <w:rPr>
        <w:rStyle w:val="15"/>
        <w:rFonts w:hint="eastAsia" w:ascii="宋体"/>
        <w:color w:val="FFFFFF"/>
        <w:sz w:val="28"/>
        <w:szCs w:val="28"/>
      </w:rPr>
      <w:t>—</w:t>
    </w:r>
    <w:r>
      <w:rPr>
        <w:rStyle w:val="15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5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5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5"/>
        <w:rFonts w:hint="eastAsia" w:ascii="宋体"/>
        <w:sz w:val="28"/>
        <w:szCs w:val="28"/>
      </w:rPr>
      <w:t xml:space="preserve"> —</w:t>
    </w:r>
    <w:r>
      <w:rPr>
        <w:rStyle w:val="15"/>
        <w:rFonts w:hint="eastAsia" w:ascii="宋体"/>
        <w:color w:val="FFFFFF"/>
        <w:sz w:val="28"/>
        <w:szCs w:val="28"/>
      </w:rPr>
      <w:t>—</w:t>
    </w:r>
  </w:p>
  <w:p w14:paraId="5CFC746D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EDEF8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B387AB"/>
    <w:multiLevelType w:val="singleLevel"/>
    <w:tmpl w:val="41B387AB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GE0MGZmMzMzY2Q4ZTRjOTk1OGJmNDY3Y2M2OTI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654C5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5D96CEB"/>
    <w:rsid w:val="081A7C11"/>
    <w:rsid w:val="085772A3"/>
    <w:rsid w:val="095523B6"/>
    <w:rsid w:val="0EA85E0C"/>
    <w:rsid w:val="0FFF2388"/>
    <w:rsid w:val="13947AD3"/>
    <w:rsid w:val="158A2658"/>
    <w:rsid w:val="16B14386"/>
    <w:rsid w:val="1871248E"/>
    <w:rsid w:val="1AFD5B77"/>
    <w:rsid w:val="1B4A6CDF"/>
    <w:rsid w:val="1C1C77F0"/>
    <w:rsid w:val="1D35335A"/>
    <w:rsid w:val="1D7F02EE"/>
    <w:rsid w:val="1D8F3C53"/>
    <w:rsid w:val="1E5932A8"/>
    <w:rsid w:val="2165505F"/>
    <w:rsid w:val="233C30B7"/>
    <w:rsid w:val="23A53317"/>
    <w:rsid w:val="24227894"/>
    <w:rsid w:val="2BA030C2"/>
    <w:rsid w:val="2BD433D6"/>
    <w:rsid w:val="2E9D4BEB"/>
    <w:rsid w:val="32A9256B"/>
    <w:rsid w:val="32AE6AA0"/>
    <w:rsid w:val="3330097C"/>
    <w:rsid w:val="36952654"/>
    <w:rsid w:val="36BB1984"/>
    <w:rsid w:val="37DA1C37"/>
    <w:rsid w:val="396F2F76"/>
    <w:rsid w:val="39E529B5"/>
    <w:rsid w:val="3A5510BC"/>
    <w:rsid w:val="3A55415D"/>
    <w:rsid w:val="3A7D09AD"/>
    <w:rsid w:val="3C09503A"/>
    <w:rsid w:val="3CF864FD"/>
    <w:rsid w:val="3D2B13D8"/>
    <w:rsid w:val="3D823F0E"/>
    <w:rsid w:val="3E1C4D32"/>
    <w:rsid w:val="40426D63"/>
    <w:rsid w:val="4060496F"/>
    <w:rsid w:val="42C4798B"/>
    <w:rsid w:val="4496707C"/>
    <w:rsid w:val="47F9140C"/>
    <w:rsid w:val="4BAD15EE"/>
    <w:rsid w:val="4C1F1C7B"/>
    <w:rsid w:val="4CF55F1E"/>
    <w:rsid w:val="4E3F2145"/>
    <w:rsid w:val="507F3CCA"/>
    <w:rsid w:val="51593E0B"/>
    <w:rsid w:val="519B63B5"/>
    <w:rsid w:val="541A704A"/>
    <w:rsid w:val="54846CD3"/>
    <w:rsid w:val="58F2629D"/>
    <w:rsid w:val="59D522FF"/>
    <w:rsid w:val="5C3F77E0"/>
    <w:rsid w:val="5C4200CE"/>
    <w:rsid w:val="5C79326A"/>
    <w:rsid w:val="5DFB707D"/>
    <w:rsid w:val="5F1A3A5A"/>
    <w:rsid w:val="612A51A9"/>
    <w:rsid w:val="669435F8"/>
    <w:rsid w:val="66AA5374"/>
    <w:rsid w:val="680E1037"/>
    <w:rsid w:val="691F2659"/>
    <w:rsid w:val="6AF66E49"/>
    <w:rsid w:val="6B3414BD"/>
    <w:rsid w:val="6DE273CB"/>
    <w:rsid w:val="6E251381"/>
    <w:rsid w:val="6EDD57FD"/>
    <w:rsid w:val="6FEA015D"/>
    <w:rsid w:val="74824FCD"/>
    <w:rsid w:val="74DD3B38"/>
    <w:rsid w:val="7627167B"/>
    <w:rsid w:val="76E316D1"/>
    <w:rsid w:val="791752BB"/>
    <w:rsid w:val="7BD80ACC"/>
    <w:rsid w:val="7C4C19A1"/>
    <w:rsid w:val="7E69341C"/>
    <w:rsid w:val="7E975501"/>
    <w:rsid w:val="7FAF0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ody Text Indent 2"/>
    <w:basedOn w:val="1"/>
    <w:next w:val="8"/>
    <w:qFormat/>
    <w:uiPriority w:val="0"/>
    <w:pPr>
      <w:adjustRightInd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30"/>
      <w:szCs w:val="30"/>
    </w:rPr>
  </w:style>
  <w:style w:type="paragraph" w:customStyle="1" w:styleId="8">
    <w:name w:val="p0"/>
    <w:next w:val="9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5">
    <w:name w:val="page number"/>
    <w:basedOn w:val="14"/>
    <w:qFormat/>
    <w:uiPriority w:val="0"/>
  </w:style>
  <w:style w:type="character" w:customStyle="1" w:styleId="16">
    <w:name w:val="日期 Char"/>
    <w:basedOn w:val="14"/>
    <w:link w:val="6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10</Pages>
  <Words>3023</Words>
  <Characters>3287</Characters>
  <Lines>25</Lines>
  <Paragraphs>7</Paragraphs>
  <TotalTime>3</TotalTime>
  <ScaleCrop>false</ScaleCrop>
  <LinksUpToDate>false</LinksUpToDate>
  <CharactersWithSpaces>3315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Administrator</cp:lastModifiedBy>
  <cp:lastPrinted>2023-02-16T03:50:00Z</cp:lastPrinted>
  <dcterms:modified xsi:type="dcterms:W3CDTF">2024-11-21T02:22:54Z</dcterms:modified>
  <dc:title>此件拟比照国务院办公厅发文由省政府办公厅转发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47186770F60D410D8C3250E98CCA8FB9_13</vt:lpwstr>
  </property>
</Properties>
</file>