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eastAsia" w:ascii="Times New Roman" w:hAnsi="Times New Roman" w:eastAsia="方正小标宋简体"/>
          <w:sz w:val="48"/>
          <w:szCs w:val="44"/>
        </w:rPr>
      </w:pPr>
      <w:r>
        <w:rPr>
          <w:rFonts w:hint="eastAsia" w:ascii="Times New Roman" w:hAnsi="Times New Roman" w:eastAsia="方正小标宋简体"/>
          <w:sz w:val="48"/>
          <w:szCs w:val="44"/>
        </w:rPr>
        <w:t>2023年度部门（单位）整体支出</w:t>
      </w:r>
    </w:p>
    <w:p>
      <w:pPr>
        <w:snapToGrid w:val="0"/>
        <w:spacing w:line="560" w:lineRule="exact"/>
        <w:jc w:val="center"/>
        <w:rPr>
          <w:rFonts w:hint="eastAsia" w:ascii="Times New Roman" w:hAnsi="Times New Roman" w:eastAsia="方正大标宋简体"/>
          <w:sz w:val="48"/>
          <w:szCs w:val="52"/>
        </w:rPr>
      </w:pPr>
      <w:r>
        <w:rPr>
          <w:rFonts w:hint="eastAsia" w:ascii="Times New Roman" w:hAnsi="Times New Roman" w:eastAsia="方正小标宋简体"/>
          <w:sz w:val="48"/>
          <w:szCs w:val="44"/>
        </w:rPr>
        <w:t>绩效自评报告</w:t>
      </w:r>
    </w:p>
    <w:p>
      <w:pPr>
        <w:spacing w:line="600" w:lineRule="exact"/>
        <w:ind w:firstLine="3520" w:firstLineChars="11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ind w:firstLine="0" w:firstLineChars="0"/>
        <w:jc w:val="center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中共株洲市芦淞区委</w:t>
      </w:r>
    </w:p>
    <w:p>
      <w:pPr>
        <w:spacing w:line="600" w:lineRule="exact"/>
        <w:ind w:firstLine="0" w:firstLineChars="0"/>
        <w:jc w:val="center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>机构编制委员会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办公室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ind w:firstLine="0" w:firstLineChars="0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2880" w:firstLineChars="9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eastAsia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方正小标宋简体" w:cs="Times New Roman"/>
          <w:sz w:val="40"/>
          <w:szCs w:val="32"/>
        </w:rPr>
      </w:pPr>
      <w:r>
        <w:rPr>
          <w:rFonts w:hint="default" w:ascii="Times New Roman" w:hAnsi="Times New Roman" w:eastAsia="方正小标宋简体" w:cs="Times New Roman"/>
          <w:sz w:val="40"/>
          <w:szCs w:val="32"/>
        </w:rPr>
        <w:br w:type="page"/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32"/>
        </w:rPr>
        <w:t>2023年度</w:t>
      </w:r>
      <w:r>
        <w:rPr>
          <w:rFonts w:hint="default" w:ascii="Times New Roman" w:hAnsi="Times New Roman" w:eastAsia="方正小标宋简体" w:cs="Times New Roman"/>
          <w:sz w:val="40"/>
          <w:szCs w:val="32"/>
          <w:lang w:eastAsia="zh-CN"/>
        </w:rPr>
        <w:t>中共株洲市芦淞区委</w:t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32"/>
          <w:lang w:eastAsia="zh-CN"/>
        </w:rPr>
        <w:t>机构编制委员会办公室</w:t>
      </w:r>
      <w:r>
        <w:rPr>
          <w:rFonts w:hint="default" w:ascii="Times New Roman" w:hAnsi="Times New Roman" w:eastAsia="方正小标宋简体" w:cs="Times New Roman"/>
          <w:sz w:val="40"/>
          <w:szCs w:val="32"/>
        </w:rPr>
        <w:t>整体支出</w:t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32"/>
        </w:rPr>
      </w:pPr>
      <w:r>
        <w:rPr>
          <w:rFonts w:hint="default" w:ascii="Times New Roman" w:hAnsi="Times New Roman" w:eastAsia="方正小标宋简体" w:cs="Times New Roman"/>
          <w:sz w:val="40"/>
          <w:szCs w:val="32"/>
        </w:rPr>
        <w:t>绩效自评报告</w:t>
      </w:r>
    </w:p>
    <w:p>
      <w:pPr>
        <w:pStyle w:val="7"/>
        <w:rPr>
          <w:rFonts w:hint="default" w:ascii="Times New Roman" w:hAnsi="Times New Roman" w:eastAsia="方正小标宋简体" w:cs="Times New Roman"/>
          <w:sz w:val="40"/>
          <w:szCs w:val="32"/>
        </w:rPr>
      </w:pPr>
    </w:p>
    <w:p>
      <w:pPr>
        <w:pStyle w:val="7"/>
        <w:rPr>
          <w:rFonts w:hint="default" w:ascii="Times New Roman" w:hAnsi="Times New Roman" w:eastAsia="方正小标宋简体" w:cs="Times New Roman"/>
          <w:sz w:val="40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共株洲市芦淞区委机构编制委员会办公室（以下简称区委编办），是区委工作机关，为正科级，对外使用区事业单位登记管理局名称，归口区委组织部管理。主要职责为贯彻落实中央、省委、市委机构编制工作政策和法规，研究提出全区机构编制工作建议；在区委编委领导下，负责本区党政机关、人大、政协、监委、各民主党派机关、群团组织机关、园区、镇（街道）的机构编制管理工作；根据中央、省委、市委和区委要求和部署，研究起草全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机构改革方案，指导协调全区各级机构改革及机构编制管理等工作。下设1个副科级事业单位，为区机构编制事务中心。区委编办核定行政编制3名，其中主任1名，副主任1名，实有2人；区机构编制事务中心核定事业编制4名，其中主任1名，实有3人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（一）基本支出情况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年预算资金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99.97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年度单位一般公共预算财政拨款收入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110.25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年度单位一般公共预算财政拨款支出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110.25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万元，其中：项目支出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15.09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万元，基本支出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95.16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中：人员经费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87.84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万元，公用经费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（二）项目支出情况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机构改革项目支出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12.79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万元；2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统一社会信用代码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域名管理项目支出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本部门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2023年度年初收支预算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99.97万元，全年实际支出110.25万元。2023年，我办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坚持以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习近平新时代中国特色社会主义思想为指导，深入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学习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贯彻落实习近平总书记关于机构编制工作的重要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论述和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党的二十大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精神，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准确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把握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职能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定位，不断发挥机构编制最大效益，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为助推芦淞高质量发展提供坚强体制机制和机构编制保障。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把加强党的领导贯彻到机构编制工作的各方面和全过程，全年通过区委常委会、区委编委会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、经区委编委领导会签汇报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机构编制工作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开展业务培训、知识竞答各，印发宣传资料，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编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学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编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干品牌越擦越亮，成功入选全省机构编制系统十大创新案例。深入开展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领域调研，梳理相关单位困难及建议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汇总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领域职责调整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不断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加强横向纵向对接协调，进一步保证专业人才力量，基层动植物疫病防控体系建设有力保障，文物和考古机构编制保障有效加强，疾病预防控制体系改革稳步开展，为全区高质量发展赋能增效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重新调整优化各单位编外人员额度，搭建编办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控总量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、人社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管入口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、管调整、管出口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、财政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核经费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、审计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审支出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、用人单位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管日常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的工作格局。有效保障急需紧缺人才用编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多举措完成乡镇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空编补员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。完善《株洲市芦淞区周转编制管理办法》，通过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定期收一批、及时转一批、按需换一批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激发内生动力，经验做法在红星云平台上向全省推介。充分发挥机构编制在管理全流程中的基础性作用，实现人员进出与编制管控同步考虑，提升机构编制实名制管理质效。完成98家事业单位法人年度报告公示，公示率达100%，变更57次，注销9家；机关群团统一赋码变更10次，撤销2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事业单位法人电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子证书申领82家。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展公办中小学教职工编制配置专项调研，科学预测未来十年在校学生数及编制需求数，有针对性地优化布局、整合资源，提高公办中小学教职工编制和资源配置规划上的前瞻性和科学性；开展基层医疗卫生机构专项调研实地调研，针对龙泉街道、贺家土街道人口老龄化严重，增加养老职能，实行普惠型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医养结合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模式；针对白关镇资源紧缺、专业薄弱，在总量内调剂10名编制至乡镇卫生院。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（二）项目支出绩效情况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机构改革项目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年初预算7.5万元，上年结转5.36万元，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年中调整0万元，实际支出12.79万元，结余结转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0.07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项目资金主要用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重点领域调研、执法领域改革、重点领域改革、事业单位登记、机构编制监督检查等。开展事业单位摸底调研，掌握全区事业单位基本情况，打好基础桩。主动推进基层动植物疫病防控体系建设，有效保障文物和考古机构编制，预防控制体系改革稳步开展。高质高效完成事业单位法人年审、变更登记及证书发放等工作，完成98家事业单位法人年度报告公示，公示率达100%，变更57次，注销9家，全市率先完成事业单位法人电子证书82家，为更好服务人民群众提供机关体制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统一社会信用代码和域名管理项目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年初预算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万元，上年结转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万元，年中调整0万元，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实际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支出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，结余结转4.5万元。项目资金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主要用于机关群团赋码管理、域名管理、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实名制管理等。规范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65家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机关群团赋码管理，全年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机关群团统一赋码变更10次，撤销2家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持续优化域名管理，完成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网上名称续费情况，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切实维护好政府网站的权威性。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实名制系统加强横向与纵向对比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，实现人员进出与编制管控同步考虑，机构编制实名制管理质效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得到进一步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一是对绩效管理重视不够，原因是注重日常业务工作且缺乏财务专业人才，对绩效管理认识不足；二是绩效管理制度不够健全，原因是缺少绩效管理的专业化学习。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一是提高绩效管理重要性的认识，及时掌握绩效运行情况，资金支出进度等，确保绩效工作依法依规。二是进一步完善内部控制制度，确保管理制度科学合理。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本单位无独立网站，绩效自评报告将在政府门户网站与决算报告一起公开。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 2023年度部门整体支出绩效评价基础数据表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2023年度部门整体支出绩效自评表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24"/>
        </w:rPr>
      </w:pPr>
      <w:r>
        <w:rPr>
          <w:rFonts w:hint="default" w:ascii="Times New Roman" w:hAnsi="Times New Roman" w:eastAsia="方正大标宋简体" w:cs="Times New Roman"/>
          <w:sz w:val="36"/>
          <w:szCs w:val="36"/>
        </w:rPr>
        <w:t>2023年度部门整体支出绩效评价基础数据表</w:t>
      </w:r>
    </w:p>
    <w:tbl>
      <w:tblPr>
        <w:tblStyle w:val="9"/>
        <w:tblW w:w="103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8"/>
        <w:gridCol w:w="1092"/>
        <w:gridCol w:w="1080"/>
        <w:gridCol w:w="996"/>
        <w:gridCol w:w="1239"/>
        <w:gridCol w:w="1120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62.5%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2023年决算数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11.46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1、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机构改革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5.29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7.5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2、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统一社会信用代码和域名管理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5.57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3、疫情防控经费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0.60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12.56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10.14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其中：办公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1.97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0.8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印刷费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0.36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0.4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邮电费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0.10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0.1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维修（护）费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0.02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培训费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0.06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0.1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专用材料费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0.24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委托业务费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0.94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工会经费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2.50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其他交通费用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3.82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3.64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3.74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其他商品和服务支出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2.55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1.3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会议费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0.3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差旅费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18.03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（2023年完工项目）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8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Times New Roman" w:hAnsi="Times New Roman" w:eastAsia="仿宋_GB2312" w:cs="Times New Roman"/>
          <w:sz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</w:t>
      </w:r>
      <w:r>
        <w:rPr>
          <w:rFonts w:hint="eastAsia" w:eastAsia="仿宋_GB2312" w:cs="Times New Roman"/>
          <w:sz w:val="22"/>
          <w:szCs w:val="22"/>
          <w:lang w:eastAsia="zh-CN"/>
        </w:rPr>
        <w:t>：肖瑟灵珠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 xml:space="preserve">28580543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eastAsia="仿宋_GB2312" w:cs="Times New Roman"/>
          <w:sz w:val="22"/>
          <w:szCs w:val="22"/>
          <w:lang w:eastAsia="zh-CN"/>
        </w:rPr>
        <w:t>马丽娜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default" w:ascii="Times New Roman" w:hAnsi="Times New Roman" w:eastAsia="仿宋_GB2312" w:cs="Times New Roman"/>
          <w:sz w:val="22"/>
        </w:rPr>
      </w:pPr>
    </w:p>
    <w:p>
      <w:pPr>
        <w:widowControl/>
        <w:spacing w:line="400" w:lineRule="exact"/>
        <w:ind w:firstLine="320" w:firstLineChars="100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spacing w:after="120" w:afterLines="50"/>
        <w:jc w:val="center"/>
        <w:rPr>
          <w:rFonts w:hint="default"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color w:val="000000"/>
          <w:sz w:val="36"/>
          <w:szCs w:val="36"/>
        </w:rPr>
        <w:t>2023年度部门整体支出绩效自评表</w:t>
      </w:r>
    </w:p>
    <w:tbl>
      <w:tblPr>
        <w:tblStyle w:val="9"/>
        <w:tblW w:w="105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080"/>
        <w:gridCol w:w="1065"/>
        <w:gridCol w:w="2093"/>
        <w:gridCol w:w="1230"/>
        <w:gridCol w:w="1275"/>
        <w:gridCol w:w="667"/>
        <w:gridCol w:w="1014"/>
        <w:gridCol w:w="1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级预算部门（单位）名称</w:t>
            </w:r>
          </w:p>
        </w:tc>
        <w:tc>
          <w:tcPr>
            <w:tcW w:w="77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中共株洲市芦淞区委机构编制委员会办公室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99.97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110.25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110.25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4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110.25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4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110.25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95.16</w:t>
            </w:r>
            <w:bookmarkStart w:id="2" w:name="_GoBack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4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4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4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5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一是落实上级有关改革部署；二是持续深化重点领域改革；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是分类持续优化人员结构；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是持续优化实名制管理、事业单位法人登记管理、域名管理等服务；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是持续推动机构编制法治化。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全年通过委常委会、区委编委会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、区委编委领导会签，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汇报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机构编制工作。重点领域改革持续深化，基层动植物疫病防控体系建设有力保障，文物和考古机构编制保障有效加强，疾病预防控制体系改革稳步开展，为全区高质量发展赋能增效。有效保障急需紧缺人才用编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多举措完成乡镇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空编补员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。业务管理科学规范，发挥机构编制在管理全流程中的基础性作用，提升机构编制实名制管理质效；完成98家事业单位法人年度报告公示，公示率达100%，变更57次，注销9家；机关群团统一赋码变更10次，撤销2家，事业单位法人电子证书申领82家。开展公办中小学教职工编制配置专项调研，科学预测未来十年在校学生数及编制需求数，有针对性地优化布局、整合资源；开展基层医疗卫生机构专项调研实地调研，针对龙泉街道、贺家土街道人口老龄化严重，增加养老职能，实行普惠型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医养结合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模式；针对白关镇资源紧缺、专业薄弱，在总量内调剂10名编制至乡镇卫生院。开展业务培训、知识竞答各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印发宣传资料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，持续擦亮“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编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编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干小剧场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，进一步增强全区干部的机构编制法治意识。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分)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事业单位法人年度报告公示信息抽查比例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≥3%-10%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&gt;10%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域名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和网上名称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管理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≥125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机构编制实名制系统维护、统计数据服务，办理机构编制调整业务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&gt;117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行政、群团统一社会信用代码管理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65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内控制度有效性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99.8%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16"/>
                <w:szCs w:val="16"/>
                <w:lang w:val="en-US" w:eastAsia="zh-CN"/>
              </w:rPr>
              <w:t>通过内控制度推动行政事业单位财务管理水平，但内控制度监督水平仍需提升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机构编制管理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按时按质完成改革任务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年12月前完成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已完成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高质高效办理各项业务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年12月前完成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已完成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提高政府效率促进社会公益事业发展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好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提高机构编制法规制度知晓度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好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基层医疗卫生机构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公办中小学教职工编制优化调整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eastAsia="zh-CN"/>
              </w:rPr>
              <w:t>到位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到位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完善机构编制管理，推动机构编制法治化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eastAsia="zh-CN"/>
              </w:rPr>
              <w:t>成效明显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eastAsia="zh-CN"/>
              </w:rPr>
              <w:t>成效明显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为服务全局提供机关体制保障，发挥事业单位公益属性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满意度≥98%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99.5%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做好事业单位登记和域名工作，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保障公众知情权和监督权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满意度≥98%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99.8%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成本指标（20分）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社会成本指标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重点工作办结率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调研督导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经济成本指标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工作质量达标率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控制经济成本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到位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到位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bookmarkStart w:id="1" w:name="OLE_LINK2"/>
      <w:r>
        <w:rPr>
          <w:rFonts w:hint="default" w:ascii="Times New Roman" w:hAnsi="Times New Roman" w:eastAsia="仿宋_GB2312" w:cs="Times New Roman"/>
          <w:sz w:val="22"/>
          <w:szCs w:val="22"/>
        </w:rPr>
        <w:t>填表人</w:t>
      </w:r>
      <w:r>
        <w:rPr>
          <w:rFonts w:hint="eastAsia" w:eastAsia="仿宋_GB2312" w:cs="Times New Roman"/>
          <w:sz w:val="22"/>
          <w:szCs w:val="22"/>
          <w:lang w:eastAsia="zh-CN"/>
        </w:rPr>
        <w:t>：肖瑟灵珠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 xml:space="preserve">28580543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马丽娜</w:t>
      </w:r>
      <w:bookmarkEnd w:id="1"/>
    </w:p>
    <w:p>
      <w:pPr>
        <w:pStyle w:val="7"/>
        <w:rPr>
          <w:rFonts w:hint="default" w:ascii="Times New Roman" w:hAnsi="Times New Roman" w:eastAsia="仿宋_GB2312" w:cs="Times New Roman"/>
          <w:sz w:val="18"/>
          <w:szCs w:val="18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Style w:val="11"/>
                              <w:rFonts w:hint="eastAsia" w:asci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Style w:val="11"/>
                        <w:rFonts w:hint="eastAsia" w:asci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30AB5"/>
    <w:multiLevelType w:val="singleLevel"/>
    <w:tmpl w:val="56E30AB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zM3ZTkxYWQ4YTFhNmRiMjhmYjBmNzdhZTI5MzMifQ=="/>
    <w:docVar w:name="KSO_WPS_MARK_KEY" w:val="8cf59947-37f2-4e90-a323-9bfd160949c8"/>
  </w:docVars>
  <w:rsids>
    <w:rsidRoot w:val="3B7EF2ED"/>
    <w:rsid w:val="00205AD1"/>
    <w:rsid w:val="00325708"/>
    <w:rsid w:val="00402268"/>
    <w:rsid w:val="02930AE1"/>
    <w:rsid w:val="03596E6C"/>
    <w:rsid w:val="03AC1B29"/>
    <w:rsid w:val="05322502"/>
    <w:rsid w:val="053D7231"/>
    <w:rsid w:val="061816F7"/>
    <w:rsid w:val="06913258"/>
    <w:rsid w:val="06FC52FC"/>
    <w:rsid w:val="07185488"/>
    <w:rsid w:val="072E6CF9"/>
    <w:rsid w:val="07E920EB"/>
    <w:rsid w:val="096133B5"/>
    <w:rsid w:val="0966277A"/>
    <w:rsid w:val="09EF6C13"/>
    <w:rsid w:val="0BE1433A"/>
    <w:rsid w:val="0CC40CC6"/>
    <w:rsid w:val="0D397CED"/>
    <w:rsid w:val="0DB937C0"/>
    <w:rsid w:val="0E284C24"/>
    <w:rsid w:val="0FB47476"/>
    <w:rsid w:val="10E72CB8"/>
    <w:rsid w:val="1244728E"/>
    <w:rsid w:val="129533B2"/>
    <w:rsid w:val="13200908"/>
    <w:rsid w:val="17DF1E94"/>
    <w:rsid w:val="181E6F8F"/>
    <w:rsid w:val="1A212AE1"/>
    <w:rsid w:val="1F092C5A"/>
    <w:rsid w:val="20D47C91"/>
    <w:rsid w:val="21160CE1"/>
    <w:rsid w:val="2398757C"/>
    <w:rsid w:val="24BD226D"/>
    <w:rsid w:val="24EB531E"/>
    <w:rsid w:val="251173D0"/>
    <w:rsid w:val="2513335E"/>
    <w:rsid w:val="258C3110"/>
    <w:rsid w:val="260A7E09"/>
    <w:rsid w:val="277B1459"/>
    <w:rsid w:val="27F84A8D"/>
    <w:rsid w:val="28AD5878"/>
    <w:rsid w:val="2A996AF5"/>
    <w:rsid w:val="2B002DA1"/>
    <w:rsid w:val="2C8132A3"/>
    <w:rsid w:val="2CBD1932"/>
    <w:rsid w:val="2DEB71E0"/>
    <w:rsid w:val="361372D3"/>
    <w:rsid w:val="361707D4"/>
    <w:rsid w:val="36FE56D0"/>
    <w:rsid w:val="370E3602"/>
    <w:rsid w:val="3825377E"/>
    <w:rsid w:val="3975363A"/>
    <w:rsid w:val="3A1F1E78"/>
    <w:rsid w:val="3B7EF2ED"/>
    <w:rsid w:val="3BAC2284"/>
    <w:rsid w:val="3BAD6E56"/>
    <w:rsid w:val="3C1C2384"/>
    <w:rsid w:val="3C337AB7"/>
    <w:rsid w:val="3C5D7548"/>
    <w:rsid w:val="3D1B5EE6"/>
    <w:rsid w:val="3EC7548D"/>
    <w:rsid w:val="3ECB62CB"/>
    <w:rsid w:val="3EE26F73"/>
    <w:rsid w:val="40C068C0"/>
    <w:rsid w:val="40E85247"/>
    <w:rsid w:val="41DF2451"/>
    <w:rsid w:val="42A930FC"/>
    <w:rsid w:val="42E12896"/>
    <w:rsid w:val="439C1C29"/>
    <w:rsid w:val="441B5F6C"/>
    <w:rsid w:val="44A5030F"/>
    <w:rsid w:val="48831CF9"/>
    <w:rsid w:val="49F51760"/>
    <w:rsid w:val="4B4E2ABA"/>
    <w:rsid w:val="4C55054E"/>
    <w:rsid w:val="4E661EA1"/>
    <w:rsid w:val="4E6879C7"/>
    <w:rsid w:val="4F8C1964"/>
    <w:rsid w:val="4FFB2C00"/>
    <w:rsid w:val="52334FB9"/>
    <w:rsid w:val="523522B6"/>
    <w:rsid w:val="5463310B"/>
    <w:rsid w:val="54A133DF"/>
    <w:rsid w:val="54EA0CE4"/>
    <w:rsid w:val="54F65EBC"/>
    <w:rsid w:val="560335D5"/>
    <w:rsid w:val="567B5454"/>
    <w:rsid w:val="5874683E"/>
    <w:rsid w:val="59276BDD"/>
    <w:rsid w:val="5A4F5EDF"/>
    <w:rsid w:val="5A9B035A"/>
    <w:rsid w:val="5B7912FD"/>
    <w:rsid w:val="5BBB382C"/>
    <w:rsid w:val="5BCD22B6"/>
    <w:rsid w:val="5D4D4958"/>
    <w:rsid w:val="5E2A4C99"/>
    <w:rsid w:val="5E50292A"/>
    <w:rsid w:val="5F3E7A43"/>
    <w:rsid w:val="6065790E"/>
    <w:rsid w:val="613E1478"/>
    <w:rsid w:val="61792F21"/>
    <w:rsid w:val="622D2FAA"/>
    <w:rsid w:val="624B5592"/>
    <w:rsid w:val="65D26C06"/>
    <w:rsid w:val="67B66297"/>
    <w:rsid w:val="67CB3049"/>
    <w:rsid w:val="69DB525A"/>
    <w:rsid w:val="6A665E63"/>
    <w:rsid w:val="6ABC4ECB"/>
    <w:rsid w:val="6B01108C"/>
    <w:rsid w:val="6B3C20BB"/>
    <w:rsid w:val="6BFF59B7"/>
    <w:rsid w:val="6C2D7A60"/>
    <w:rsid w:val="6CF941B4"/>
    <w:rsid w:val="6E3A55D0"/>
    <w:rsid w:val="6E441C04"/>
    <w:rsid w:val="6E6F4406"/>
    <w:rsid w:val="6F254D36"/>
    <w:rsid w:val="70651B61"/>
    <w:rsid w:val="711A54E0"/>
    <w:rsid w:val="723E08BB"/>
    <w:rsid w:val="724F3294"/>
    <w:rsid w:val="726A55B8"/>
    <w:rsid w:val="73092C77"/>
    <w:rsid w:val="75532D78"/>
    <w:rsid w:val="75F84234"/>
    <w:rsid w:val="78AF56D6"/>
    <w:rsid w:val="794454A2"/>
    <w:rsid w:val="7B4D6830"/>
    <w:rsid w:val="7B542EFE"/>
    <w:rsid w:val="7C765821"/>
    <w:rsid w:val="7CD94D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99"/>
    <w:pPr>
      <w:ind w:firstLine="200" w:firstLineChars="200"/>
    </w:pPr>
    <w:rPr>
      <w:rFonts w:eastAsia="仿宋_GB2312"/>
      <w:sz w:val="30"/>
      <w:szCs w:val="30"/>
    </w:rPr>
  </w:style>
  <w:style w:type="paragraph" w:styleId="4">
    <w:name w:val="Balloon Text"/>
    <w:basedOn w:val="1"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Body Text First Indent 2"/>
    <w:basedOn w:val="3"/>
    <w:next w:val="1"/>
    <w:qFormat/>
    <w:uiPriority w:val="99"/>
    <w:pPr>
      <w:ind w:firstLine="420"/>
    </w:pPr>
    <w:rPr>
      <w:rFonts w:eastAsia="宋体"/>
    </w:rPr>
  </w:style>
  <w:style w:type="character" w:styleId="11">
    <w:name w:val="page number"/>
    <w:basedOn w:val="10"/>
    <w:qFormat/>
    <w:uiPriority w:val="0"/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3878</Words>
  <Characters>4287</Characters>
  <Lines>0</Lines>
  <Paragraphs>0</Paragraphs>
  <TotalTime>8</TotalTime>
  <ScaleCrop>false</ScaleCrop>
  <LinksUpToDate>false</LinksUpToDate>
  <CharactersWithSpaces>4479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2024-10-11T11:26:00Z</dcterms:created>
  <dc:creator>kylin</dc:creator>
  <cp:lastModifiedBy>翩翩侠</cp:lastModifiedBy>
  <cp:lastPrinted>2024-10-30T09:50:00Z</cp:lastPrinted>
  <dcterms:modified xsi:type="dcterms:W3CDTF">2024-11-04T08:35:32Z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261C5115EE3C46B6A29E2FB9A27A239A_13</vt:lpwstr>
  </property>
</Properties>
</file>